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00"/>
        <w:jc w:val="center"/>
      </w:pPr>
      <w:r>
        <w:rPr>
          <w:rFonts w:ascii="Times New Roman" w:cs="Times New Roman" w:eastAsia="Times New Roman" w:hAnsi="Times New Roman"/>
          <w:b/>
          <w:bCs/>
          <w:color w:val="1B3A6B"/>
          <w:sz w:val="52"/>
          <w:szCs w:val="52"/>
        </w:rPr>
        <w:t xml:space="preserve">Leçon Dzogchen n°14
Le corps d'arc-en-ciel : sources textuelles et récits</w:t>
      </w:r>
    </w:p>
    <w:p>
      <w:pPr>
        <w:spacing w:after="80" w:before="80"/>
        <w:jc w:val="center"/>
      </w:pPr>
      <w:r>
        <w:rPr>
          <w:rFonts w:ascii="Times New Roman" w:cs="Times New Roman" w:eastAsia="Times New Roman" w:hAnsi="Times New Roman"/>
          <w:i/>
          <w:iCs/>
          <w:color w:val="1F2937"/>
          <w:sz w:val="22"/>
          <w:szCs w:val="22"/>
        </w:rPr>
        <w:t xml:space="preserve">1er septembre 2026  ·  Leçon 14 / 20</w:t>
      </w:r>
    </w:p>
    <w:p>
      <w:pPr>
        <w:pBdr>
          <w:bottom w:val="single" w:color="1B3A6B" w:sz="4"/>
        </w:pBdr>
        <w:spacing w:after="120" w:before="120"/>
      </w:pPr>
    </w:p>
    <w:p>
      <w:pPr>
        <w:pStyle w:val="Heading2"/>
        <w:spacing w:after="120" w:before="360"/>
      </w:pPr>
      <w:r>
        <w:rPr>
          <w:rFonts w:ascii="Times New Roman" w:cs="Times New Roman" w:eastAsia="Times New Roman" w:hAnsi="Times New Roman"/>
          <w:b/>
          <w:bCs/>
          <w:color w:val="1B3A6B"/>
          <w:sz w:val="30"/>
          <w:szCs w:val="30"/>
        </w:rPr>
        <w:t xml:space="preserve">🎯 Objectif &amp; continuité</w:t>
      </w:r>
    </w:p>
    <w:p>
      <w:pPr>
        <w:spacing w:after="80" w:before="80"/>
      </w:pPr>
      <w:r>
        <w:rPr>
          <w:rFonts w:ascii="Times New Roman" w:cs="Times New Roman" w:eastAsia="Times New Roman" w:hAnsi="Times New Roman"/>
          <w:b w:val="false"/>
          <w:bCs w:val="false"/>
          <w:i w:val="false"/>
          <w:iCs w:val="false"/>
          <w:color w:val="1F2937"/>
          <w:sz w:val="22"/>
          <w:szCs w:val="22"/>
        </w:rPr>
        <w:t xml:space="preserve">À l'issue de cette leçon, tu sauras nommer et distinguer les formes de réalisation appelées « corps d'arc-en-ciel » (jalü, འཇའ་ལུས་) dans la tradition dzogchen, identifier les cas historiques les mieux documentés, et situer ce phénomène dans la doctrine de la pureté primordiale et de la présence spontanée étudiées depuis la leçon 3.</w:t>
      </w:r>
    </w:p>
    <w:p>
      <w:pPr>
        <w:spacing w:after="80" w:before="80"/>
      </w:pPr>
      <w:r>
        <w:rPr>
          <w:rFonts w:ascii="Times New Roman" w:cs="Times New Roman" w:eastAsia="Times New Roman" w:hAnsi="Times New Roman"/>
          <w:b w:val="false"/>
          <w:bCs w:val="false"/>
          <w:i w:val="false"/>
          <w:iCs w:val="false"/>
          <w:color w:val="1F2937"/>
          <w:sz w:val="22"/>
          <w:szCs w:val="22"/>
        </w:rPr>
        <w:t xml:space="preserve">Lien avec la leçon précédente (n°13 — Les bardos et le processus de la mort) : les bardos décrivent ce qui advient à la conscience après la mort ordinaire. Le corps d'arc-en-ciel représente la voie de dissolution la plus radicale — celle où le praticien accompli n'entre pas dans les bardos habituels, son corps physique se résorbant dans la lumière fondamentale (ösel) au moment même de la mort. Et le fil remonte plus haut : la leçon 12 donnait la quatrième vision du tögal — chos nyid zad pa, l'épuisement des phénomènes — comme le sol direct du corps d'arc-en-ciel. C'est là qu'il faut la reprendre.</w:t>
      </w:r>
    </w:p>
    <w:p>
      <w:pPr>
        <w:pBdr>
          <w:bottom w:val="single" w:color="1B3A6B" w:sz="4"/>
        </w:pBdr>
        <w:spacing w:after="120" w:before="120"/>
      </w:pPr>
    </w:p>
    <w:p>
      <w:pPr>
        <w:pStyle w:val="Heading2"/>
        <w:spacing w:after="120" w:before="360"/>
      </w:pPr>
      <w:r>
        <w:rPr>
          <w:rFonts w:ascii="Times New Roman" w:cs="Times New Roman" w:eastAsia="Times New Roman" w:hAnsi="Times New Roman"/>
          <w:b/>
          <w:bCs/>
          <w:color w:val="1B3A6B"/>
          <w:sz w:val="30"/>
          <w:szCs w:val="30"/>
        </w:rPr>
        <w:t xml:space="preserve">🔬 Théorie (20%) — Le corps d'arc-en-ciel : qu'est-ce que c'est ?</w:t>
      </w:r>
    </w:p>
    <w:p>
      <w:pPr>
        <w:pStyle w:val="Heading3"/>
        <w:spacing w:after="80" w:before="240"/>
      </w:pPr>
      <w:r>
        <w:rPr>
          <w:rFonts w:ascii="Times New Roman" w:cs="Times New Roman" w:eastAsia="Times New Roman" w:hAnsi="Times New Roman"/>
          <w:b/>
          <w:bCs/>
          <w:color w:val="1F2937"/>
          <w:sz w:val="26"/>
          <w:szCs w:val="26"/>
        </w:rPr>
        <w:t xml:space="preserve">1. Terminologie tibétaine</w:t>
      </w:r>
    </w:p>
    <w:p>
      <w:pPr>
        <w:spacing w:after="80" w:before="80"/>
      </w:pPr>
      <w:r>
        <w:rPr>
          <w:rFonts w:ascii="Times New Roman" w:cs="Times New Roman" w:eastAsia="Times New Roman" w:hAnsi="Times New Roman"/>
          <w:b w:val="false"/>
          <w:bCs w:val="false"/>
          <w:i w:val="false"/>
          <w:iCs w:val="false"/>
          <w:color w:val="1F2937"/>
          <w:sz w:val="22"/>
          <w:szCs w:val="22"/>
        </w:rPr>
        <w:t xml:space="preserve">Le terme jalü (འཇའ་ལུས་, littéralement « corps-arc-en-ciel ») désigne la transmutation du corps physique en lumière à la mort d'un praticien ayant stabilisé la reconnaissance du rigpa. Le phénomène est propre au dzogchen (et, dans une variante, au Bön), bien que des parallèles soient parfois tracés avec le mahāmudrā ou certains tantras.</w:t>
      </w:r>
    </w:p>
    <w:p>
      <w:pPr>
        <w:spacing w:after="80" w:before="80"/>
      </w:pPr>
      <w:r>
        <w:rPr>
          <w:rFonts w:ascii="Times New Roman" w:cs="Times New Roman" w:eastAsia="Times New Roman" w:hAnsi="Times New Roman"/>
          <w:b w:val="false"/>
          <w:bCs w:val="false"/>
          <w:i w:val="false"/>
          <w:iCs w:val="false"/>
          <w:color w:val="1F2937"/>
          <w:sz w:val="22"/>
          <w:szCs w:val="22"/>
        </w:rPr>
        <w:t xml:space="preserve">Il faut en distinguer une autre réalisation, souvent présentée à tort comme un simple degré supérieur : le jalü powa chenpo (འཇའ་ལུས་འཕོ་བ་ཆེན་པོ་, 'ja' lus 'pho ba chen po) — « corps d'arc-en-ciel de grand transfert ». Ce n'est pas le même phénomène porté à son maximum, c'est une autre catégorie : il s'accomplit SANS passer par la mort. Le maître ne laisse pas de corps parce qu'il n'est pas mort ; la tradition l'attribue à Padmasambhava et à Vimalamitra, décrits comme demeurant disponibles des siècles durant. Dans le jalü ordinaire en revanche — celui qui advient au décès —, la majorité des cas rapportés indiquent que seuls les cheveux et les ongles restent, signe que l'agrégat matériel grossier n'a pas été entièrement résorbé.</w:t>
      </w:r>
    </w:p>
    <w:p>
      <w:pPr>
        <w:pStyle w:val="Heading3"/>
        <w:spacing w:after="80" w:before="240"/>
      </w:pPr>
      <w:r>
        <w:rPr>
          <w:rFonts w:ascii="Times New Roman" w:cs="Times New Roman" w:eastAsia="Times New Roman" w:hAnsi="Times New Roman"/>
          <w:b/>
          <w:bCs/>
          <w:color w:val="1F2937"/>
          <w:sz w:val="26"/>
          <w:szCs w:val="26"/>
        </w:rPr>
        <w:t xml:space="preserve">2. Fondement doctrinal</w:t>
      </w:r>
    </w:p>
    <w:p>
      <w:pPr>
        <w:spacing w:after="80" w:before="80"/>
      </w:pPr>
      <w:r>
        <w:rPr>
          <w:rFonts w:ascii="Times New Roman" w:cs="Times New Roman" w:eastAsia="Times New Roman" w:hAnsi="Times New Roman"/>
          <w:b w:val="false"/>
          <w:bCs w:val="false"/>
          <w:i w:val="false"/>
          <w:iCs w:val="false"/>
          <w:color w:val="1F2937"/>
          <w:sz w:val="22"/>
          <w:szCs w:val="22"/>
        </w:rPr>
        <w:t xml:space="preserve">Le corps d'arc-en-ciel n'est pas un miracle au sens exotérique du terme : il est présenté dans les textes dzogchen comme la conséquence naturelle d'une pratique accomplie. La logique est la suivante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 corps grossier est constitué de cinq éléments (terre, eau, feu, air, espace), eux-mêmes manifestations des cinq lumières primordiales.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Lorsque la reconnaissance du rigpa est stabilisée — c'est-à-dire lorsque le praticien demeure sans interruption dans l'état de pureté primordiale (kadag) et de présence spontanée (lhündrup) —, les éléments grossiers peuvent se résorber dans leur nature lumineuse.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Ce processus est la réversibilité du déploiement créateur évoqué dans les leçons sur la base (n°3) et le tögal (n°7).</w:t>
      </w:r>
    </w:p>
    <w:p>
      <w:pPr>
        <w:spacing w:after="80" w:before="80"/>
      </w:pPr>
      <w:r>
        <w:rPr>
          <w:rFonts w:ascii="Times New Roman" w:cs="Times New Roman" w:eastAsia="Times New Roman" w:hAnsi="Times New Roman"/>
          <w:b w:val="false"/>
          <w:bCs w:val="false"/>
          <w:i w:val="false"/>
          <w:iCs w:val="false"/>
          <w:color w:val="1F2937"/>
          <w:sz w:val="22"/>
          <w:szCs w:val="22"/>
        </w:rPr>
        <w:t xml:space="preserve">Les trois aspects du rigpa pleinement réalisé — essence de pureté primordiale (kadag), nature de présence spontanée (lhündrup) et énergie compassionnée (thugs rje) — constituent le fondement doctrinal de ce phénomène. Cette triade est classique dans les sources dzogchen, et la page Wikipédia consultée ici ne fait que la rapporter : elle sert de repère d'orientation, pas d'autorité doctrinale.</w:t>
      </w:r>
    </w:p>
    <w:p>
      <w:pPr>
        <w:pStyle w:val="Heading3"/>
        <w:spacing w:after="80" w:before="240"/>
      </w:pPr>
      <w:r>
        <w:rPr>
          <w:rFonts w:ascii="Times New Roman" w:cs="Times New Roman" w:eastAsia="Times New Roman" w:hAnsi="Times New Roman"/>
          <w:b/>
          <w:bCs/>
          <w:color w:val="1F2937"/>
          <w:sz w:val="26"/>
          <w:szCs w:val="26"/>
        </w:rPr>
        <w:t xml:space="preserve">3. Sources textuelles</w:t>
      </w:r>
    </w:p>
    <w:p>
      <w:pPr>
        <w:spacing w:after="80" w:before="80"/>
      </w:pPr>
      <w:r>
        <w:rPr>
          <w:rFonts w:ascii="Times New Roman" w:cs="Times New Roman" w:eastAsia="Times New Roman" w:hAnsi="Times New Roman"/>
          <w:b w:val="false"/>
          <w:bCs w:val="false"/>
          <w:i w:val="false"/>
          <w:iCs w:val="false"/>
          <w:color w:val="1F2937"/>
          <w:sz w:val="22"/>
          <w:szCs w:val="22"/>
        </w:rPr>
        <w:t xml:space="preserve">Le corpus dzogchen ne dispose pas d'un traité unique consacré au jalü : les références sont dispersées dans les traités de tögal, les biographies de maîtres (namtar) et les transmissions orales. Parmi les sources les plus citées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Les termas du Longchen Nyingtik (Jigme Lingpa, XVIIIe s.) — textes qui seront étudiés en leçon n°16.</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Les textes de la tradition Kunzang Nyingtik, dont Shardza Tashi Gyaltsen (XIXe-XXe s.) est un représentant majeur dans la lignée Bön-Dzogchen.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Les récits biographiques (namtar) constituent la source empirique principale : sans valeur de preuve au sens scientifique, ils forment le corpus testimonial de la tradition.</w:t>
      </w:r>
    </w:p>
    <w:p>
      <w:pPr>
        <w:spacing w:after="80" w:before="80"/>
      </w:pPr>
      <w:r>
        <w:rPr>
          <w:rFonts w:ascii="Times New Roman" w:cs="Times New Roman" w:eastAsia="Times New Roman" w:hAnsi="Times New Roman"/>
          <w:b w:val="false"/>
          <w:bCs w:val="false"/>
          <w:i w:val="false"/>
          <w:iCs w:val="false"/>
          <w:color w:val="1F2937"/>
          <w:sz w:val="22"/>
          <w:szCs w:val="22"/>
        </w:rPr>
        <w:t xml:space="preserve">Note méthodologique : la littérature universitaire sur le jalü existe et n'est pas marginale — trois ouvrages de référence sont ajoutés en ressources. Francis V. Tiso a mené la seule enquête de terrain sur le cas de Khenpo A-chö, avec entretiens enregistrés de témoins oculaires ; Jean-Luc Achard et William Gorvine ont chacun consacré une monographie universitaire à Shardza Tashi Gyaltsen. Aucun de ces travaux ne valide ni n'invalide le phénomène sur le plan physique : ce point dépasse le cadre de cette leçon, qui travaille sur les textes et les récits de la tradition.</w:t>
      </w:r>
    </w:p>
    <w:p>
      <w:pPr>
        <w:pStyle w:val="Heading3"/>
        <w:spacing w:after="80" w:before="240"/>
      </w:pPr>
      <w:r>
        <w:rPr>
          <w:rFonts w:ascii="Times New Roman" w:cs="Times New Roman" w:eastAsia="Times New Roman" w:hAnsi="Times New Roman"/>
          <w:b/>
          <w:bCs/>
          <w:color w:val="1F2937"/>
          <w:sz w:val="26"/>
          <w:szCs w:val="26"/>
        </w:rPr>
        <w:t xml:space="preserve">4. Panorama des cas rapportés</w:t>
      </w:r>
    </w:p>
    <w:p>
      <w:pPr>
        <w:spacing w:after="80" w:before="80"/>
      </w:pPr>
      <w:r>
        <w:rPr>
          <w:rFonts w:ascii="Times New Roman" w:cs="Times New Roman" w:eastAsia="Times New Roman" w:hAnsi="Times New Roman"/>
          <w:b w:val="false"/>
          <w:bCs w:val="false"/>
          <w:i w:val="false"/>
          <w:iCs w:val="false"/>
          <w:color w:val="1F2937"/>
          <w:sz w:val="22"/>
          <w:szCs w:val="22"/>
        </w:rPr>
        <w:t xml:space="preserve">Le tableau ci-dessous compile les cas les mieux documentés dans les sources récupérées. Les informations proviennent de Wikipedia (Rainbow body) et de Michael Sheehy, « Investigating the Rainbow Body » (Lion's Roar), qui y recense l'ouvrage de Francis V. Tiso. Ces deux sources ne concordent pas toujours entre elles, ni avec les travaux universitaires : les écarts sont signalés juste après le tableau.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6B" w:val="clear"/>
          </w:tcPr>
          <w:p>
            <w:pPr>
              <w:jc w:val="center"/>
            </w:pPr>
            <w:r>
              <w:rPr>
                <w:rFonts w:ascii="Times New Roman" w:cs="Times New Roman" w:eastAsia="Times New Roman" w:hAnsi="Times New Roman"/>
                <w:b/>
                <w:bCs/>
                <w:color w:val="FFFFFF"/>
                <w:sz w:val="20"/>
                <w:szCs w:val="20"/>
              </w:rPr>
              <w:t xml:space="preserve">Maître</w:t>
            </w:r>
          </w:p>
        </w:tc>
        <w:tc>
          <w:tcPr>
            <w:shd w:fill="1B3A6B" w:val="clear"/>
          </w:tcPr>
          <w:p>
            <w:pPr>
              <w:jc w:val="center"/>
            </w:pPr>
            <w:r>
              <w:rPr>
                <w:rFonts w:ascii="Times New Roman" w:cs="Times New Roman" w:eastAsia="Times New Roman" w:hAnsi="Times New Roman"/>
                <w:b/>
                <w:bCs/>
                <w:color w:val="FFFFFF"/>
                <w:sz w:val="20"/>
                <w:szCs w:val="20"/>
              </w:rPr>
              <w:t xml:space="preserve">Dates</w:t>
            </w:r>
          </w:p>
        </w:tc>
        <w:tc>
          <w:tcPr>
            <w:shd w:fill="1B3A6B" w:val="clear"/>
          </w:tcPr>
          <w:p>
            <w:pPr>
              <w:jc w:val="center"/>
            </w:pPr>
            <w:r>
              <w:rPr>
                <w:rFonts w:ascii="Times New Roman" w:cs="Times New Roman" w:eastAsia="Times New Roman" w:hAnsi="Times New Roman"/>
                <w:b/>
                <w:bCs/>
                <w:color w:val="FFFFFF"/>
                <w:sz w:val="20"/>
                <w:szCs w:val="20"/>
              </w:rPr>
              <w:t xml:space="preserve">Signes rapportés</w:t>
            </w:r>
          </w:p>
        </w:tc>
        <w:tc>
          <w:tcPr>
            <w:shd w:fill="1B3A6B" w:val="clear"/>
          </w:tcPr>
          <w:p>
            <w:pPr>
              <w:jc w:val="center"/>
            </w:pPr>
            <w:r>
              <w:rPr>
                <w:rFonts w:ascii="Times New Roman" w:cs="Times New Roman" w:eastAsia="Times New Roman" w:hAnsi="Times New Roman"/>
                <w:b/>
                <w:bCs/>
                <w:color w:val="FFFFFF"/>
                <w:sz w:val="20"/>
                <w:szCs w:val="20"/>
              </w:rPr>
              <w:t xml:space="preserve">Tradition</w:t>
            </w:r>
          </w:p>
        </w:tc>
      </w:tr>
      <w:tr>
        <w:tc>
          <w:tcPr>
            <w:shd w:fill="FFFFFF" w:val="clear"/>
          </w:tcPr>
          <w:p>
            <w:r>
              <w:rPr>
                <w:rFonts w:ascii="Times New Roman" w:cs="Times New Roman" w:eastAsia="Times New Roman" w:hAnsi="Times New Roman"/>
                <w:color w:val="1F2937"/>
                <w:sz w:val="20"/>
                <w:szCs w:val="20"/>
              </w:rPr>
              <w:t xml:space="preserve">Shardza Tashi Gyaltsen</w:t>
            </w:r>
          </w:p>
        </w:tc>
        <w:tc>
          <w:tcPr>
            <w:shd w:fill="FFFFFF" w:val="clear"/>
          </w:tcPr>
          <w:p>
            <w:r>
              <w:rPr>
                <w:rFonts w:ascii="Times New Roman" w:cs="Times New Roman" w:eastAsia="Times New Roman" w:hAnsi="Times New Roman"/>
                <w:color w:val="1F2937"/>
                <w:sz w:val="20"/>
                <w:szCs w:val="20"/>
              </w:rPr>
              <w:t xml:space="preserve">1859 – 1934 (1933 ou 1935 selon les sources)</w:t>
            </w:r>
          </w:p>
        </w:tc>
        <w:tc>
          <w:tcPr>
            <w:shd w:fill="FFFFFF" w:val="clear"/>
          </w:tcPr>
          <w:p>
            <w:r>
              <w:rPr>
                <w:rFonts w:ascii="Times New Roman" w:cs="Times New Roman" w:eastAsia="Times New Roman" w:hAnsi="Times New Roman"/>
                <w:color w:val="1F2937"/>
                <w:sz w:val="20"/>
                <w:szCs w:val="20"/>
              </w:rPr>
              <w:t xml:space="preserve">Dissolution accompagnée d'arc-en-ciels, à 76 ans (13ᵉ jour du 4ᵉ mois de l'année du Chien de Bois) ; cas fondateur de la tradition Bön-Dzogchen moderne</w:t>
            </w:r>
          </w:p>
        </w:tc>
        <w:tc>
          <w:tcPr>
            <w:shd w:fill="FFFFFF" w:val="clear"/>
          </w:tcPr>
          <w:p>
            <w:r>
              <w:rPr>
                <w:rFonts w:ascii="Times New Roman" w:cs="Times New Roman" w:eastAsia="Times New Roman" w:hAnsi="Times New Roman"/>
                <w:color w:val="1F2937"/>
                <w:sz w:val="20"/>
                <w:szCs w:val="20"/>
              </w:rPr>
              <w:t xml:space="preserve">Bön-Dzogchen</w:t>
            </w:r>
          </w:p>
        </w:tc>
      </w:tr>
      <w:tr>
        <w:tc>
          <w:tcPr>
            <w:shd w:fill="EEF2F7" w:val="clear"/>
          </w:tcPr>
          <w:p>
            <w:r>
              <w:rPr>
                <w:rFonts w:ascii="Times New Roman" w:cs="Times New Roman" w:eastAsia="Times New Roman" w:hAnsi="Times New Roman"/>
                <w:color w:val="1F2937"/>
                <w:sz w:val="20"/>
                <w:szCs w:val="20"/>
              </w:rPr>
              <w:t xml:space="preserve">Yilungpa Sonam Namgyel</w:t>
            </w:r>
          </w:p>
        </w:tc>
        <w:tc>
          <w:tcPr>
            <w:shd w:fill="EEF2F7" w:val="clear"/>
          </w:tcPr>
          <w:p>
            <w:r>
              <w:rPr>
                <w:rFonts w:ascii="Times New Roman" w:cs="Times New Roman" w:eastAsia="Times New Roman" w:hAnsi="Times New Roman"/>
                <w:color w:val="1F2937"/>
                <w:sz w:val="20"/>
                <w:szCs w:val="20"/>
              </w:rPr>
              <w:t xml:space="preserve">mort en 1952</w:t>
            </w:r>
          </w:p>
        </w:tc>
        <w:tc>
          <w:tcPr>
            <w:shd w:fill="EEF2F7" w:val="clear"/>
          </w:tcPr>
          <w:p>
            <w:r>
              <w:rPr>
                <w:rFonts w:ascii="Times New Roman" w:cs="Times New Roman" w:eastAsia="Times New Roman" w:hAnsi="Times New Roman"/>
                <w:color w:val="1F2937"/>
                <w:sz w:val="20"/>
                <w:szCs w:val="20"/>
              </w:rPr>
              <w:t xml:space="preserve">Mentionné par Chögyam Trungpa dans ses mémoires ; corps rétrécissant entouré d'arcs-en-ciel</w:t>
            </w:r>
          </w:p>
        </w:tc>
        <w:tc>
          <w:tcPr>
            <w:shd w:fill="EEF2F7" w:val="clear"/>
          </w:tcPr>
          <w:p>
            <w:r>
              <w:rPr>
                <w:rFonts w:ascii="Times New Roman" w:cs="Times New Roman" w:eastAsia="Times New Roman" w:hAnsi="Times New Roman"/>
                <w:color w:val="1F2937"/>
                <w:sz w:val="20"/>
                <w:szCs w:val="20"/>
              </w:rPr>
              <w:t xml:space="preserve">Nyingma</w:t>
            </w:r>
          </w:p>
        </w:tc>
      </w:tr>
      <w:tr>
        <w:tc>
          <w:tcPr>
            <w:shd w:fill="FFFFFF" w:val="clear"/>
          </w:tcPr>
          <w:p>
            <w:r>
              <w:rPr>
                <w:rFonts w:ascii="Times New Roman" w:cs="Times New Roman" w:eastAsia="Times New Roman" w:hAnsi="Times New Roman"/>
                <w:color w:val="1F2937"/>
                <w:sz w:val="20"/>
                <w:szCs w:val="20"/>
              </w:rPr>
              <w:t xml:space="preserve">Ayu Khandro</w:t>
            </w:r>
          </w:p>
        </w:tc>
        <w:tc>
          <w:tcPr>
            <w:shd w:fill="FFFFFF" w:val="clear"/>
          </w:tcPr>
          <w:p>
            <w:r>
              <w:rPr>
                <w:rFonts w:ascii="Times New Roman" w:cs="Times New Roman" w:eastAsia="Times New Roman" w:hAnsi="Times New Roman"/>
                <w:color w:val="1F2937"/>
                <w:sz w:val="20"/>
                <w:szCs w:val="20"/>
              </w:rPr>
              <w:t xml:space="preserve">1839–1953</w:t>
            </w:r>
          </w:p>
        </w:tc>
        <w:tc>
          <w:tcPr>
            <w:shd w:fill="FFFFFF" w:val="clear"/>
          </w:tcPr>
          <w:p>
            <w:r>
              <w:rPr>
                <w:rFonts w:ascii="Times New Roman" w:cs="Times New Roman" w:eastAsia="Times New Roman" w:hAnsi="Times New Roman"/>
                <w:color w:val="1F2937"/>
                <w:sz w:val="20"/>
                <w:szCs w:val="20"/>
              </w:rPr>
              <w:t xml:space="preserve">Maîtresse dzogchen ; corps réduit après sept jours à la taille d'un enfant de huit ans — rétrécissement, non disparition. Cas contesté (voir sous le tableau)</w:t>
            </w:r>
          </w:p>
        </w:tc>
        <w:tc>
          <w:tcPr>
            <w:shd w:fill="FFFFFF" w:val="clear"/>
          </w:tcPr>
          <w:p>
            <w:r>
              <w:rPr>
                <w:rFonts w:ascii="Times New Roman" w:cs="Times New Roman" w:eastAsia="Times New Roman" w:hAnsi="Times New Roman"/>
                <w:color w:val="1F2937"/>
                <w:sz w:val="20"/>
                <w:szCs w:val="20"/>
              </w:rPr>
              <w:t xml:space="preserve">Nyingma</w:t>
            </w:r>
          </w:p>
        </w:tc>
      </w:tr>
      <w:tr>
        <w:tc>
          <w:tcPr>
            <w:shd w:fill="EEF2F7" w:val="clear"/>
          </w:tcPr>
          <w:p>
            <w:r>
              <w:rPr>
                <w:rFonts w:ascii="Times New Roman" w:cs="Times New Roman" w:eastAsia="Times New Roman" w:hAnsi="Times New Roman"/>
                <w:color w:val="1F2937"/>
                <w:sz w:val="20"/>
                <w:szCs w:val="20"/>
              </w:rPr>
              <w:t xml:space="preserve">Togden Ugyen Tendzin</w:t>
            </w:r>
          </w:p>
        </w:tc>
        <w:tc>
          <w:tcPr>
            <w:shd w:fill="EEF2F7" w:val="clear"/>
          </w:tcPr>
          <w:p>
            <w:r>
              <w:rPr>
                <w:rFonts w:ascii="Times New Roman" w:cs="Times New Roman" w:eastAsia="Times New Roman" w:hAnsi="Times New Roman"/>
                <w:color w:val="1F2937"/>
                <w:sz w:val="20"/>
                <w:szCs w:val="20"/>
              </w:rPr>
              <w:t xml:space="preserve">mort en 1962</w:t>
            </w:r>
          </w:p>
        </w:tc>
        <w:tc>
          <w:tcPr>
            <w:shd w:fill="EEF2F7" w:val="clear"/>
          </w:tcPr>
          <w:p>
            <w:r>
              <w:rPr>
                <w:rFonts w:ascii="Times New Roman" w:cs="Times New Roman" w:eastAsia="Times New Roman" w:hAnsi="Times New Roman"/>
                <w:color w:val="1F2937"/>
                <w:sz w:val="20"/>
                <w:szCs w:val="20"/>
              </w:rPr>
              <w:t xml:space="preserve">Cité par Wikipedia parmi les cas documentés du XXe siècle</w:t>
            </w:r>
          </w:p>
        </w:tc>
        <w:tc>
          <w:tcPr>
            <w:shd w:fill="EEF2F7" w:val="clear"/>
          </w:tcPr>
          <w:p>
            <w:r>
              <w:rPr>
                <w:rFonts w:ascii="Times New Roman" w:cs="Times New Roman" w:eastAsia="Times New Roman" w:hAnsi="Times New Roman"/>
                <w:color w:val="1F2937"/>
                <w:sz w:val="20"/>
                <w:szCs w:val="20"/>
              </w:rPr>
              <w:t xml:space="preserve">Nyingma</w:t>
            </w:r>
          </w:p>
        </w:tc>
      </w:tr>
      <w:tr>
        <w:tc>
          <w:tcPr>
            <w:shd w:fill="FFFFFF" w:val="clear"/>
          </w:tcPr>
          <w:p>
            <w:r>
              <w:rPr>
                <w:rFonts w:ascii="Times New Roman" w:cs="Times New Roman" w:eastAsia="Times New Roman" w:hAnsi="Times New Roman"/>
                <w:color w:val="1F2937"/>
                <w:sz w:val="20"/>
                <w:szCs w:val="20"/>
              </w:rPr>
              <w:t xml:space="preserve">Khenpo A-chö</w:t>
            </w:r>
          </w:p>
        </w:tc>
        <w:tc>
          <w:tcPr>
            <w:shd w:fill="FFFFFF" w:val="clear"/>
          </w:tcPr>
          <w:p>
            <w:r>
              <w:rPr>
                <w:rFonts w:ascii="Times New Roman" w:cs="Times New Roman" w:eastAsia="Times New Roman" w:hAnsi="Times New Roman"/>
                <w:color w:val="1F2937"/>
                <w:sz w:val="20"/>
                <w:szCs w:val="20"/>
              </w:rPr>
              <w:t xml:space="preserve">1918–1998</w:t>
            </w:r>
          </w:p>
        </w:tc>
        <w:tc>
          <w:tcPr>
            <w:shd w:fill="FFFFFF" w:val="clear"/>
          </w:tcPr>
          <w:p>
            <w:r>
              <w:rPr>
                <w:rFonts w:ascii="Times New Roman" w:cs="Times New Roman" w:eastAsia="Times New Roman" w:hAnsi="Times New Roman"/>
                <w:color w:val="1F2937"/>
                <w:sz w:val="20"/>
                <w:szCs w:val="20"/>
              </w:rPr>
              <w:t xml:space="preserve">Cas le plus souvent cité dans la littérature contemporaine : corps réduit à la taille d'un haricot au 8e jour, disparu au 10e jour</w:t>
            </w:r>
          </w:p>
        </w:tc>
        <w:tc>
          <w:tcPr>
            <w:shd w:fill="FFFFFF" w:val="clear"/>
          </w:tcPr>
          <w:p>
            <w:r>
              <w:rPr>
                <w:rFonts w:ascii="Times New Roman" w:cs="Times New Roman" w:eastAsia="Times New Roman" w:hAnsi="Times New Roman"/>
                <w:color w:val="1F2937"/>
                <w:sz w:val="20"/>
                <w:szCs w:val="20"/>
              </w:rPr>
              <w:t xml:space="preserve">Nyingma (Tibet oriental)</w:t>
            </w:r>
          </w:p>
        </w:tc>
      </w:tr>
    </w:tbl>
    <w:p>
      <w:pPr>
        <w:spacing w:before="120"/>
      </w:pPr>
    </w:p>
    <w:p>
      <w:pPr>
        <w:spacing w:after="80" w:before="80"/>
      </w:pPr>
      <w:r>
        <w:rPr>
          <w:rFonts w:ascii="Times New Roman" w:cs="Times New Roman" w:eastAsia="Times New Roman" w:hAnsi="Times New Roman"/>
          <w:b/>
          <w:bCs/>
          <w:color w:val="1F2937"/>
          <w:sz w:val="22"/>
          <w:szCs w:val="22"/>
        </w:rPr>
        <w:t xml:space="preserve">Trois écarts entre sources, à connaître avant d'utiliser ce tableau. </w:t>
      </w:r>
      <w:r>
        <w:rPr>
          <w:rFonts w:ascii="Times New Roman" w:cs="Times New Roman" w:eastAsia="Times New Roman" w:hAnsi="Times New Roman"/>
          <w:color w:val="1F2937"/>
          <w:sz w:val="22"/>
          <w:szCs w:val="22"/>
        </w:rPr>
        <w:t xml:space="preserve">① Ayu Khandro : Chögyal Namkhai Norbu, qui l'avait rencontrée en 1951 et à qui l'on doit sa biographie, était présent à sa crémation — le fait qu'un corps ait été crématisé est précisément ce qui conduit certains à contester qu'il y ait eu jalü. Le témoin direct est ici la source du doute, pas de la confirmation. ② Khenpo A-chö : Michael Sheehy rapporte, d'après Francis Tiso, que la presse chinoise locale a écrit « What remain are hair and nails » — c'est donc une source de troisième main ; la Rigpa Wiki dit que même eux ne sont pas restés. ③ Khenpo A-chö encore : le tableau le range en Nyingma d'après son monastère d'origine à Nyarong, rattaché à Mindroling, et sa reconnaissance par Dudjom Rinpoché ; les premiers comptes rendus de Francis Tiso le décrivaient comme un moine guélougpa pratiquant le dzogchen. Les deux lectures se défendent — ce qui doit être signalé, non tranché ici.</w:t>
      </w:r>
      <w:r>
        <w:rPr>
          <w:rFonts w:ascii="Times New Roman" w:cs="Times New Roman" w:eastAsia="Times New Roman" w:hAnsi="Times New Roman"/>
          <w:i/>
          <w:iCs/>
          <w:color w:val="6B7280"/>
          <w:sz w:val="20"/>
          <w:szCs w:val="20"/>
        </w:rPr>
        <w:t xml:space="preserve"> [Corrigé le 24/09/2026 : la leçon écrivait « Lion's Roar rapporte ». L'article est signé Michael Sheehy, et sur ce point précis il ne rapporte pas de lui-même : « In the case of Khenpo A Chö, as Father Tiso notes, the local Chinese press reported that his body … What remain are hair and nails. » La chaîne se dit en entier.]</w:t>
      </w:r>
    </w:p>
    <w:p>
      <w:pPr>
        <w:spacing w:after="80" w:before="80"/>
      </w:pPr>
      <w:r>
        <w:rPr>
          <w:rFonts w:ascii="Times New Roman" w:cs="Times New Roman" w:eastAsia="Times New Roman" w:hAnsi="Times New Roman"/>
          <w:b w:val="false"/>
          <w:bCs w:val="false"/>
          <w:i w:val="false"/>
          <w:iCs w:val="false"/>
          <w:color w:val="1F2937"/>
          <w:sz w:val="22"/>
          <w:szCs w:val="22"/>
        </w:rPr>
        <w:t xml:space="preserve">Selon Michael Sheehy (Lion's Roar), « the Chinese government has declared going rainbow to be illegal », d'où une politique de discrétion entourant les cas contemporains au Tibet. L'affirmation est reprise ici telle qu'elle figure dans l'article, qui ne l'adosse à aucun texte juridique : à traiter comme un élément de contexte non vérifié, non comme un fait établi.</w:t>
      </w:r>
      <w:r>
        <w:rPr>
          <w:rFonts w:ascii="Times New Roman" w:cs="Times New Roman" w:eastAsia="Times New Roman" w:hAnsi="Times New Roman"/>
          <w:i/>
          <w:iCs/>
          <w:color w:val="6B7280"/>
          <w:sz w:val="20"/>
          <w:szCs w:val="20"/>
        </w:rPr>
        <w:t xml:space="preserve"> [Corrigé le 24/09/2026 : « selon Lion's Roar » → l'auteur de l'article. Sa phrase est recopiée telle quelle ; il n'y adosse aucun texte juridique, ce que la suite du paragraphe disait déjà.]</w:t>
      </w:r>
    </w:p>
    <w:p>
      <w:pPr>
        <w:pBdr>
          <w:bottom w:val="single" w:color="1B3A6B" w:sz="4"/>
        </w:pBdr>
        <w:spacing w:after="120" w:before="120"/>
      </w:pPr>
    </w:p>
    <w:p>
      <w:pPr>
        <w:pStyle w:val="Heading2"/>
        <w:spacing w:after="120" w:before="360"/>
      </w:pPr>
      <w:r>
        <w:rPr>
          <w:rFonts w:ascii="Times New Roman" w:cs="Times New Roman" w:eastAsia="Times New Roman" w:hAnsi="Times New Roman"/>
          <w:b/>
          <w:bCs/>
          <w:color w:val="1B3A6B"/>
          <w:sz w:val="30"/>
          <w:szCs w:val="30"/>
        </w:rPr>
        <w:t xml:space="preserve">🛠️ Pratique (80%) — Trois exercices</w:t>
      </w:r>
    </w:p>
    <w:p>
      <w:pPr>
        <w:pStyle w:val="Heading3"/>
        <w:spacing w:after="80" w:before="240"/>
      </w:pPr>
      <w:r>
        <w:rPr>
          <w:rFonts w:ascii="Times New Roman" w:cs="Times New Roman" w:eastAsia="Times New Roman" w:hAnsi="Times New Roman"/>
          <w:b/>
          <w:bCs/>
          <w:color w:val="1F2937"/>
          <w:sz w:val="26"/>
          <w:szCs w:val="26"/>
        </w:rPr>
        <w:t xml:space="preserve">Exercice 1 — Cartographie conceptuelle (compréhension active)</w:t>
      </w:r>
    </w:p>
    <w:p>
      <w:pPr>
        <w:spacing w:after="80" w:before="80"/>
      </w:pPr>
      <w:r>
        <w:rPr>
          <w:rFonts w:ascii="Times New Roman" w:cs="Times New Roman" w:eastAsia="Times New Roman" w:hAnsi="Times New Roman"/>
          <w:b w:val="false"/>
          <w:bCs w:val="false"/>
          <w:i w:val="false"/>
          <w:iCs w:val="false"/>
          <w:color w:val="1F2937"/>
          <w:sz w:val="22"/>
          <w:szCs w:val="22"/>
        </w:rPr>
        <w:t xml:space="preserve">Durée estimée : 25 minutes.</w:t>
      </w:r>
    </w:p>
    <w:p>
      <w:pPr>
        <w:spacing w:after="80" w:before="80"/>
      </w:pPr>
      <w:r>
        <w:rPr>
          <w:rFonts w:ascii="Times New Roman" w:cs="Times New Roman" w:eastAsia="Times New Roman" w:hAnsi="Times New Roman"/>
          <w:b w:val="false"/>
          <w:bCs w:val="false"/>
          <w:i w:val="false"/>
          <w:iCs w:val="false"/>
          <w:color w:val="1F2937"/>
          <w:sz w:val="22"/>
          <w:szCs w:val="22"/>
        </w:rPr>
        <w:t xml:space="preserve">Matériel : une feuille vierge ou un carnet.</w:t>
      </w:r>
    </w:p>
    <w:p>
      <w:pPr>
        <w:spacing w:after="80" w:before="80"/>
      </w:pPr>
      <w:r>
        <w:rPr>
          <w:rFonts w:ascii="Times New Roman" w:cs="Times New Roman" w:eastAsia="Times New Roman" w:hAnsi="Times New Roman"/>
          <w:b w:val="false"/>
          <w:bCs w:val="false"/>
          <w:i w:val="false"/>
          <w:iCs w:val="false"/>
          <w:color w:val="1F2937"/>
          <w:sz w:val="22"/>
          <w:szCs w:val="22"/>
        </w:rPr>
        <w:t xml:space="preserve">Consigne : sans relire le cours, trace un schéma qui relie ces six termes entre eux. Indique la nature de chaque lien par une flèche légendée (ex. : « est la condition de », « se résorbe dans », « produit le signe de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Rigpa</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Kadag (pureté primordiale)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Lhündrup (présence spontanée)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Cinq lumières primordiales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Cinq éléments grossiers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Jalü (corps d'arc-en-ciel)</w:t>
      </w:r>
    </w:p>
    <w:p>
      <w:pPr>
        <w:spacing w:after="80" w:before="80"/>
      </w:pPr>
      <w:r>
        <w:rPr>
          <w:rFonts w:ascii="Times New Roman" w:cs="Times New Roman" w:eastAsia="Times New Roman" w:hAnsi="Times New Roman"/>
          <w:b w:val="false"/>
          <w:bCs w:val="false"/>
          <w:i w:val="false"/>
          <w:iCs w:val="false"/>
          <w:color w:val="1F2937"/>
          <w:sz w:val="22"/>
          <w:szCs w:val="22"/>
        </w:rPr>
        <w:t xml:space="preserve">Puis relis la section Théorie et corrige ou complète ton schéma en couleur différente.</w:t>
      </w:r>
    </w:p>
    <w:p>
      <w:pPr>
        <w:spacing w:after="80" w:before="80"/>
      </w:pPr>
      <w:r>
        <w:rPr>
          <w:rFonts w:ascii="Times New Roman" w:cs="Times New Roman" w:eastAsia="Times New Roman" w:hAnsi="Times New Roman"/>
          <w:b w:val="false"/>
          <w:bCs w:val="false"/>
          <w:i w:val="false"/>
          <w:iCs w:val="false"/>
          <w:color w:val="1F2937"/>
          <w:sz w:val="22"/>
          <w:szCs w:val="22"/>
        </w:rPr>
        <w:t xml:space="preserve">Ce que vérifie cet exercice : ta capacité à relier la doctrine de la base (leçon 3) et du tögal (leçon 7) à leur aboutissement dans le jalü, sans réciter mécaniquement.</w:t>
      </w:r>
    </w:p>
    <w:p>
      <w:pPr>
        <w:pStyle w:val="Heading3"/>
        <w:spacing w:after="80" w:before="240"/>
      </w:pPr>
      <w:r>
        <w:rPr>
          <w:rFonts w:ascii="Times New Roman" w:cs="Times New Roman" w:eastAsia="Times New Roman" w:hAnsi="Times New Roman"/>
          <w:b/>
          <w:bCs/>
          <w:color w:val="1F2937"/>
          <w:sz w:val="26"/>
          <w:szCs w:val="26"/>
        </w:rPr>
        <w:t xml:space="preserve">Exercice 2 — Lecture critique d'un récit (ancrage &amp; discernement)</w:t>
      </w:r>
    </w:p>
    <w:p>
      <w:pPr>
        <w:spacing w:after="80" w:before="80"/>
      </w:pPr>
      <w:r>
        <w:rPr>
          <w:rFonts w:ascii="Times New Roman" w:cs="Times New Roman" w:eastAsia="Times New Roman" w:hAnsi="Times New Roman"/>
          <w:b w:val="false"/>
          <w:bCs w:val="false"/>
          <w:i w:val="false"/>
          <w:iCs w:val="false"/>
          <w:color w:val="1F2937"/>
          <w:sz w:val="22"/>
          <w:szCs w:val="22"/>
        </w:rPr>
        <w:t xml:space="preserve">Durée estimée : 30 minutes.</w:t>
      </w:r>
    </w:p>
    <w:p>
      <w:pPr>
        <w:spacing w:after="80" w:before="80"/>
      </w:pPr>
      <w:r>
        <w:rPr>
          <w:rFonts w:ascii="Times New Roman" w:cs="Times New Roman" w:eastAsia="Times New Roman" w:hAnsi="Times New Roman"/>
          <w:b w:val="false"/>
          <w:bCs w:val="false"/>
          <w:i w:val="false"/>
          <w:iCs w:val="false"/>
          <w:color w:val="1F2937"/>
          <w:sz w:val="22"/>
          <w:szCs w:val="22"/>
        </w:rPr>
        <w:t xml:space="preserve">Lis le passage suivant, synthèse non citée à partir des sources récupérées, qui reconstitue les grandes lignes du cas Khenpo A-chö :</w:t>
      </w:r>
    </w:p>
    <w:p>
      <w:pPr>
        <w:shd w:fill="F3F4F6" w:val="clear"/>
        <w:spacing w:after="100" w:before="100"/>
        <w:ind w:left="576"/>
      </w:pPr>
      <w:r>
        <w:rPr>
          <w:rFonts w:ascii="Times New Roman" w:cs="Times New Roman" w:eastAsia="Times New Roman" w:hAnsi="Times New Roman"/>
          <w:i/>
          <w:iCs/>
          <w:color w:val="1B3A6B"/>
          <w:sz w:val="22"/>
          <w:szCs w:val="22"/>
        </w:rPr>
        <w:t xml:space="preserve">« Khenpo A-chö, maître dzogchen du Tibet oriental (1918–1998), meurt après une longue maladie. Ses proches observent que le corps, au lieu de se décomposer, commence à rétrécir. Au huitième jour après la mort, il aurait atteint la taille d'un haricot ; au dixième jour, il avait disparu, ne laissant que les cheveux et les ongles. Des arcs-en-ciel auraient apparu dans le ciel autour du lieu de sa mort. »</w:t>
      </w:r>
      <w:r>
        <w:rPr>
          <w:rFonts w:ascii="Times New Roman" w:cs="Times New Roman" w:eastAsia="Times New Roman" w:hAnsi="Times New Roman"/>
          <w:color w:val="1F2937"/>
          <w:sz w:val="20"/>
          <w:szCs w:val="20"/>
        </w:rPr>
        <w:t xml:space="preserve">  — Synthèse à partir de Michael Sheehy, « Investigating the Rainbow Body » (Lion's Roar)</w:t>
      </w:r>
    </w:p>
    <w:p>
      <w:pPr>
        <w:spacing w:after="80" w:before="80"/>
      </w:pPr>
      <w:r>
        <w:rPr>
          <w:rFonts w:ascii="Times New Roman" w:cs="Times New Roman" w:eastAsia="Times New Roman" w:hAnsi="Times New Roman"/>
          <w:b w:val="false"/>
          <w:bCs w:val="false"/>
          <w:i w:val="false"/>
          <w:iCs w:val="false"/>
          <w:color w:val="1F2937"/>
          <w:sz w:val="22"/>
          <w:szCs w:val="22"/>
        </w:rPr>
        <w:t xml:space="preserve">Travail à faire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Identifie les éléments du récit qui relèvent (a) des signes physiques décrits par la tradition et (b) des éléments narratifs qui donnent une coloration symbolique ou dévotionnelle.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Quelles questions un chercheur en sciences sociales poserait-il sur ce récit (nature des témoins, chaîne de transmission, intérêt du récit pour la communauté) ? Formule au moins trois questions.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Ces questions invalident-elles l'intérêt du récit pour le praticien ? Rédige trois lignes sur la différence entre lecture critique et lecture pratiquante.</w:t>
      </w:r>
    </w:p>
    <w:p>
      <w:pPr>
        <w:spacing w:after="80" w:before="80"/>
      </w:pPr>
      <w:r>
        <w:rPr>
          <w:rFonts w:ascii="Times New Roman" w:cs="Times New Roman" w:eastAsia="Times New Roman" w:hAnsi="Times New Roman"/>
          <w:b w:val="false"/>
          <w:bCs w:val="false"/>
          <w:i w:val="false"/>
          <w:iCs w:val="false"/>
          <w:color w:val="1F2937"/>
          <w:sz w:val="22"/>
          <w:szCs w:val="22"/>
        </w:rPr>
        <w:t xml:space="preserve">Ce que vérifie cet exercice : ta capacité à tenir simultanément une posture de curiosité intellectuelle et une posture d'ouverture au récit de tradition, sans confondre les deux registres.</w:t>
      </w:r>
    </w:p>
    <w:p>
      <w:pPr>
        <w:pStyle w:val="Heading3"/>
        <w:spacing w:after="80" w:before="240"/>
      </w:pPr>
      <w:r>
        <w:rPr>
          <w:rFonts w:ascii="Times New Roman" w:cs="Times New Roman" w:eastAsia="Times New Roman" w:hAnsi="Times New Roman"/>
          <w:b/>
          <w:bCs/>
          <w:color w:val="1F2937"/>
          <w:sz w:val="26"/>
          <w:szCs w:val="26"/>
        </w:rPr>
        <w:t xml:space="preserve">Exercice 3 — Méditation guidée : reposer dans l'ösel (20 minutes)</w:t>
      </w:r>
    </w:p>
    <w:p>
      <w:pPr>
        <w:spacing w:after="80" w:before="80"/>
      </w:pPr>
      <w:r>
        <w:rPr>
          <w:rFonts w:ascii="Times New Roman" w:cs="Times New Roman" w:eastAsia="Times New Roman" w:hAnsi="Times New Roman"/>
          <w:b w:val="false"/>
          <w:bCs w:val="false"/>
          <w:i w:val="false"/>
          <w:iCs w:val="false"/>
          <w:color w:val="1F2937"/>
          <w:sz w:val="22"/>
          <w:szCs w:val="22"/>
        </w:rPr>
        <w:t xml:space="preserve">Préparation : installe-toi en posture assise stable. Ferme les yeux ou fixe doucement un point devant toi.</w:t>
      </w:r>
    </w:p>
    <w:p>
      <w:pPr>
        <w:spacing w:after="80" w:before="80"/>
      </w:pPr>
      <w:r>
        <w:rPr>
          <w:rFonts w:ascii="Times New Roman" w:cs="Times New Roman" w:eastAsia="Times New Roman" w:hAnsi="Times New Roman"/>
          <w:b w:val="false"/>
          <w:bCs w:val="false"/>
          <w:i w:val="false"/>
          <w:iCs w:val="false"/>
          <w:color w:val="1F2937"/>
          <w:sz w:val="22"/>
          <w:szCs w:val="22"/>
        </w:rPr>
        <w:t xml:space="preserve">Phase 1 — Posture &amp; détente (3 min.) : laisse le corps s'asseoir pesamment. Quelques respirations profondes. Relâche les épaules, la mâchoire, le front.</w:t>
      </w:r>
    </w:p>
    <w:p>
      <w:pPr>
        <w:spacing w:after="80" w:before="80"/>
      </w:pPr>
      <w:r>
        <w:rPr>
          <w:rFonts w:ascii="Times New Roman" w:cs="Times New Roman" w:eastAsia="Times New Roman" w:hAnsi="Times New Roman"/>
          <w:b w:val="false"/>
          <w:bCs w:val="false"/>
          <w:i w:val="false"/>
          <w:iCs w:val="false"/>
          <w:color w:val="1F2937"/>
          <w:sz w:val="22"/>
          <w:szCs w:val="22"/>
        </w:rPr>
        <w:t xml:space="preserve">Phase 2 — Rappel du rigpa (5 min.) : rappelle-toi la reconnaissance vue en leçon 1. Pas d'effort de concentration. Simplement : « Qui est conscient en ce moment ? » Laisse la question se dissoudre sans chercher de réponse.</w:t>
      </w:r>
    </w:p>
    <w:p>
      <w:pPr>
        <w:spacing w:after="80" w:before="80"/>
      </w:pPr>
      <w:r>
        <w:rPr>
          <w:rFonts w:ascii="Times New Roman" w:cs="Times New Roman" w:eastAsia="Times New Roman" w:hAnsi="Times New Roman"/>
          <w:b w:val="false"/>
          <w:bCs w:val="false"/>
          <w:i w:val="false"/>
          <w:iCs w:val="false"/>
          <w:color w:val="1F2937"/>
          <w:sz w:val="22"/>
          <w:szCs w:val="22"/>
        </w:rPr>
        <w:t xml:space="preserve">Phase 3 — Contemplation de la lumière intérieure (8 min.) : sans forcer, imagine que chaque cellule du corps est faite de lumière. Non pas une lumière fluorescente ou conceptuelle, mais la luminosité naturelle de la conscience elle-même — ce que les textes appellent ösel (lumière claire). Reste dans cette image sans l'alimenter. Si l'esprit part, reviens sans effort.</w:t>
      </w:r>
    </w:p>
    <w:p>
      <w:pPr>
        <w:spacing w:after="80" w:before="80"/>
      </w:pPr>
      <w:r>
        <w:rPr>
          <w:rFonts w:ascii="Times New Roman" w:cs="Times New Roman" w:eastAsia="Times New Roman" w:hAnsi="Times New Roman"/>
          <w:b w:val="false"/>
          <w:bCs w:val="false"/>
          <w:i w:val="false"/>
          <w:iCs w:val="false"/>
          <w:color w:val="1F2937"/>
          <w:sz w:val="22"/>
          <w:szCs w:val="22"/>
        </w:rPr>
        <w:t xml:space="preserve">Phase 4 — Retour &amp; intégration (4 min.) : quelques respirations profondes. Avant de rouvrir les yeux, pose-toi cette question intérieure : « Y a-t-il quelque chose dans cet instant qui ressemble à ce que les textes appellent pureté primordiale ? » — puis reprends l'activité ordinaire sans chercher à répondre.</w:t>
      </w:r>
    </w:p>
    <w:p>
      <w:pPr>
        <w:spacing w:after="80" w:before="80"/>
      </w:pPr>
      <w:r>
        <w:rPr>
          <w:rFonts w:ascii="Times New Roman" w:cs="Times New Roman" w:eastAsia="Times New Roman" w:hAnsi="Times New Roman"/>
          <w:b w:val="false"/>
          <w:bCs w:val="false"/>
          <w:i w:val="false"/>
          <w:iCs w:val="false"/>
          <w:color w:val="1F2937"/>
          <w:sz w:val="22"/>
          <w:szCs w:val="22"/>
        </w:rPr>
        <w:t xml:space="preserve">Note après la séance (5 min.) : écris trois lignes sur ce que tu as observé, sans jugement de valeur (ni « rien ne s'est passé » ni « c'était extraordinaire » — juste : qu'est-ce qui était là ?).</w:t>
      </w:r>
    </w:p>
    <w:p>
      <w:pPr>
        <w:pBdr>
          <w:bottom w:val="single" w:color="1B3A6B" w:sz="4"/>
        </w:pBdr>
        <w:spacing w:after="120" w:before="120"/>
      </w:pPr>
    </w:p>
    <w:p>
      <w:pPr>
        <w:pStyle w:val="Heading2"/>
        <w:spacing w:after="120" w:before="360"/>
      </w:pPr>
      <w:r>
        <w:rPr>
          <w:rFonts w:ascii="Times New Roman" w:cs="Times New Roman" w:eastAsia="Times New Roman" w:hAnsi="Times New Roman"/>
          <w:b/>
          <w:bCs/>
          <w:color w:val="1B3A6B"/>
          <w:sz w:val="30"/>
          <w:szCs w:val="30"/>
        </w:rPr>
        <w:t xml:space="preserve">🎯 Challenge — Synthèse : doctrine et récit</w:t>
      </w:r>
    </w:p>
    <w:p>
      <w:pPr>
        <w:spacing w:after="80" w:before="80"/>
      </w:pPr>
      <w:r>
        <w:rPr>
          <w:rFonts w:ascii="Times New Roman" w:cs="Times New Roman" w:eastAsia="Times New Roman" w:hAnsi="Times New Roman"/>
          <w:b w:val="false"/>
          <w:bCs w:val="false"/>
          <w:i w:val="false"/>
          <w:iCs w:val="false"/>
          <w:color w:val="1F2937"/>
          <w:sz w:val="22"/>
          <w:szCs w:val="22"/>
        </w:rPr>
        <w:t xml:space="preserve">Durée estimée : 40 minutes.</w:t>
      </w:r>
    </w:p>
    <w:p>
      <w:pPr>
        <w:spacing w:after="80" w:before="80"/>
      </w:pPr>
      <w:r>
        <w:rPr>
          <w:rFonts w:ascii="Times New Roman" w:cs="Times New Roman" w:eastAsia="Times New Roman" w:hAnsi="Times New Roman"/>
          <w:b w:val="false"/>
          <w:bCs w:val="false"/>
          <w:i w:val="false"/>
          <w:iCs w:val="false"/>
          <w:color w:val="1F2937"/>
          <w:sz w:val="22"/>
          <w:szCs w:val="22"/>
        </w:rPr>
        <w:t xml:space="preserve">Exercice en deux temps :</w:t>
      </w:r>
    </w:p>
    <w:p>
      <w:pPr>
        <w:spacing w:after="80" w:before="80"/>
      </w:pPr>
      <w:r>
        <w:rPr>
          <w:rFonts w:ascii="Times New Roman" w:cs="Times New Roman" w:eastAsia="Times New Roman" w:hAnsi="Times New Roman"/>
          <w:b w:val="false"/>
          <w:bCs w:val="false"/>
          <w:i w:val="false"/>
          <w:iCs w:val="false"/>
          <w:color w:val="1F2937"/>
          <w:sz w:val="22"/>
          <w:szCs w:val="22"/>
        </w:rPr>
        <w:t xml:space="preserve">Temps 1 (20 min.) : rédige un paragraphe de 150 à 200 mots expliquant à quelqu'un qui n'a jamais entendu parler de dzogchen POURQUOI la tradition présente le corps d'arc-en-ciel comme une conséquence logique de la pratique, et non comme un miracle surnaturel. Tu dois mobiliser au moins trois termes techniques vus dans ce parcours (leçons 1 à 13 incluses).</w:t>
      </w:r>
    </w:p>
    <w:p>
      <w:pPr>
        <w:spacing w:after="80" w:before="80"/>
      </w:pPr>
      <w:r>
        <w:rPr>
          <w:rFonts w:ascii="Times New Roman" w:cs="Times New Roman" w:eastAsia="Times New Roman" w:hAnsi="Times New Roman"/>
          <w:b w:val="false"/>
          <w:bCs w:val="false"/>
          <w:i w:val="false"/>
          <w:iCs w:val="false"/>
          <w:color w:val="1F2937"/>
          <w:sz w:val="22"/>
          <w:szCs w:val="22"/>
        </w:rPr>
        <w:t xml:space="preserve">Temps 2 (20 min.) : choisis un des maîtres du tableau (ci-dessus) dont le cas t'a le plus interpellé, et écris une page de journal imaginaire d'un témoin de l'époque — quelqu'un qui était présent et qui essaie de mettre des mots sur ce qu'il a observé, sans être sûr de ce qu'il voit. Reste dans l'ambiguïté : ni croyant naïf, ni sceptique cynique.</w:t>
      </w:r>
    </w:p>
    <w:p>
      <w:pPr>
        <w:spacing w:after="80" w:before="80"/>
      </w:pPr>
      <w:r>
        <w:rPr>
          <w:rFonts w:ascii="Times New Roman" w:cs="Times New Roman" w:eastAsia="Times New Roman" w:hAnsi="Times New Roman"/>
          <w:b w:val="false"/>
          <w:bCs w:val="false"/>
          <w:i w:val="false"/>
          <w:iCs w:val="false"/>
          <w:color w:val="1F2937"/>
          <w:sz w:val="22"/>
          <w:szCs w:val="22"/>
        </w:rPr>
        <w:t xml:space="preserve">Ce que vérifie ce challenge : ta capacité à articuler doctrine et récit, théorie et expérience humaine — l'un des enjeux centraux du dzogchen comme voie vivante.</w:t>
      </w:r>
    </w:p>
    <w:p>
      <w:pPr>
        <w:pBdr>
          <w:bottom w:val="single" w:color="1B3A6B" w:sz="4"/>
        </w:pBdr>
        <w:spacing w:after="120" w:before="120"/>
      </w:pPr>
    </w:p>
    <w:p>
      <w:pPr>
        <w:pStyle w:val="Heading2"/>
        <w:spacing w:after="120" w:before="360"/>
      </w:pPr>
      <w:r>
        <w:rPr>
          <w:rFonts w:ascii="Times New Roman" w:cs="Times New Roman" w:eastAsia="Times New Roman" w:hAnsi="Times New Roman"/>
          <w:b/>
          <w:bCs/>
          <w:color w:val="1B3A6B"/>
          <w:sz w:val="30"/>
          <w:szCs w:val="30"/>
        </w:rPr>
        <w:t xml:space="preserve">🌉 Pont pro (court)</w:t>
      </w:r>
    </w:p>
    <w:p>
      <w:pPr>
        <w:spacing w:after="80" w:before="80"/>
      </w:pPr>
      <w:r>
        <w:rPr>
          <w:rFonts w:ascii="Times New Roman" w:cs="Times New Roman" w:eastAsia="Times New Roman" w:hAnsi="Times New Roman"/>
          <w:b w:val="false"/>
          <w:bCs w:val="false"/>
          <w:i w:val="false"/>
          <w:iCs w:val="false"/>
          <w:color w:val="1F2937"/>
          <w:sz w:val="22"/>
          <w:szCs w:val="22"/>
        </w:rPr>
        <w:t xml:space="preserve">En ESSMS, nous travaillons régulièrement avec des équipes confrontées à la mort de personnes accompagnées — parfois de manière répétée, parfois soudaine. La réflexion sur ce que différentes traditions font des récits autour de la mort (ici : les récits de jalü) n'est pas un contenu à transmettre en équipe ni une grille d'interprétation professionnelle.</w:t>
      </w:r>
    </w:p>
    <w:p>
      <w:pPr>
        <w:spacing w:after="80" w:before="80"/>
      </w:pPr>
      <w:r>
        <w:rPr>
          <w:rFonts w:ascii="Times New Roman" w:cs="Times New Roman" w:eastAsia="Times New Roman" w:hAnsi="Times New Roman"/>
          <w:b w:val="false"/>
          <w:bCs w:val="false"/>
          <w:i w:val="false"/>
          <w:iCs w:val="false"/>
          <w:color w:val="1F2937"/>
          <w:sz w:val="22"/>
          <w:szCs w:val="22"/>
        </w:rPr>
        <w:t xml:space="preserve">Ce que ce travail personnel peut nourrir : une capacité à tenir l'incertitude face aux récits que les familles ou les personnes accompagnées peuvent partager sur la mort, sans les invalider ni les adopter mécaniquement. Cela relève de la préparation personnelle du professionnel, pas d'un cadre d'intervention.</w:t>
      </w:r>
    </w:p>
    <w:p>
      <w:pPr>
        <w:pBdr>
          <w:bottom w:val="single" w:color="1B3A6B" w:sz="4"/>
        </w:pBdr>
        <w:spacing w:after="120" w:before="120"/>
      </w:pPr>
    </w:p>
    <w:p>
      <w:pPr>
        <w:pStyle w:val="Heading2"/>
        <w:spacing w:after="120" w:before="360"/>
      </w:pPr>
      <w:r>
        <w:rPr>
          <w:rFonts w:ascii="Times New Roman" w:cs="Times New Roman" w:eastAsia="Times New Roman" w:hAnsi="Times New Roman"/>
          <w:b/>
          <w:bCs/>
          <w:color w:val="1B3A6B"/>
          <w:sz w:val="30"/>
          <w:szCs w:val="30"/>
        </w:rPr>
        <w:t xml:space="preserve">📚 Ressources cliquables</w:t>
      </w:r>
    </w:p>
    <w:p>
      <w:pPr>
        <w:spacing w:after="80" w:before="80"/>
      </w:pPr>
      <w:r>
        <w:rPr>
          <w:rFonts w:ascii="Times New Roman" w:cs="Times New Roman" w:eastAsia="Times New Roman" w:hAnsi="Times New Roman"/>
          <w:b w:val="false"/>
          <w:bCs w:val="false"/>
          <w:i w:val="false"/>
          <w:iCs w:val="false"/>
          <w:color w:val="1F2937"/>
          <w:sz w:val="22"/>
          <w:szCs w:val="22"/>
        </w:rPr>
        <w:t xml:space="preserve">Toutes ces URLs ont été testées pendant cette exécution (codes HTTP indiqués).</w:t>
      </w:r>
    </w:p>
    <w:p>
      <w:pPr>
        <w:spacing w:after="80" w:before="80"/>
      </w:pPr>
      <w:hyperlink w:history="1" r:id="rId1ksii3u0ml66qfg05_w8z">
        <w:r>
          <w:rPr>
            <w:rFonts w:ascii="Times New Roman" w:cs="Times New Roman" w:eastAsia="Times New Roman" w:hAnsi="Times New Roman"/>
            <w:color w:val="1155CC"/>
            <w:sz w:val="22"/>
            <w:szCs w:val="22"/>
            <w:u w:val="single"/>
          </w:rPr>
          <w:t xml:space="preserve">Rainbow body — Wikipedia</w:t>
        </w:r>
      </w:hyperlink>
      <w:r>
        <w:rPr>
          <w:rFonts w:ascii="Times New Roman" w:cs="Times New Roman" w:eastAsia="Times New Roman" w:hAnsi="Times New Roman"/>
          <w:color w:val="1F2937"/>
          <w:sz w:val="22"/>
          <w:szCs w:val="22"/>
        </w:rPr>
        <w:t xml:space="preserve"> — Vue d'ensemble encyclopédique : terminologie, cas historiques, fondement doctrinal. (200 ✅)</w:t>
      </w:r>
    </w:p>
    <w:p>
      <w:pPr>
        <w:spacing w:after="80" w:before="80"/>
      </w:pPr>
      <w:hyperlink w:history="1" r:id="rIdbv3ccvh8iztmgxjobdzxz">
        <w:r>
          <w:rPr>
            <w:rFonts w:ascii="Times New Roman" w:cs="Times New Roman" w:eastAsia="Times New Roman" w:hAnsi="Times New Roman"/>
            <w:color w:val="1155CC"/>
            <w:sz w:val="22"/>
            <w:szCs w:val="22"/>
            <w:u w:val="single"/>
          </w:rPr>
          <w:t xml:space="preserve">What Is Rainbow Body? — Lion's Roar</w:t>
        </w:r>
      </w:hyperlink>
      <w:r>
        <w:rPr>
          <w:rFonts w:ascii="Times New Roman" w:cs="Times New Roman" w:eastAsia="Times New Roman" w:hAnsi="Times New Roman"/>
          <w:color w:val="1F2937"/>
          <w:sz w:val="22"/>
          <w:szCs w:val="22"/>
        </w:rPr>
        <w:t xml:space="preserve"> — Introduction accessible au phénomène, bien sourcée. (200 ✅)</w:t>
      </w:r>
    </w:p>
    <w:p>
      <w:pPr>
        <w:spacing w:after="80" w:before="80"/>
      </w:pPr>
      <w:hyperlink w:history="1" r:id="rIdxz8j1ketw-fapeivfioon">
        <w:r>
          <w:rPr>
            <w:rFonts w:ascii="Times New Roman" w:cs="Times New Roman" w:eastAsia="Times New Roman" w:hAnsi="Times New Roman"/>
            <w:color w:val="1155CC"/>
            <w:sz w:val="22"/>
            <w:szCs w:val="22"/>
            <w:u w:val="single"/>
          </w:rPr>
          <w:t xml:space="preserve">Investigating the Rainbow Body — Michael Sheehy, Lion's Roar</w:t>
        </w:r>
      </w:hyperlink>
      <w:r>
        <w:rPr>
          <w:rFonts w:ascii="Times New Roman" w:cs="Times New Roman" w:eastAsia="Times New Roman" w:hAnsi="Times New Roman"/>
          <w:color w:val="1F2937"/>
          <w:sz w:val="22"/>
          <w:szCs w:val="22"/>
        </w:rPr>
        <w:t xml:space="preserve"> — recension de Rainbow Body and Resurrection de Francis V. Tiso, par Michael Sheehy, PhD (Contemplative Sciences Center et religious studies, University of Virginia, d'après la page) : cas Khenpo A-chö, tension entre témoignage et documentation. (200 ✅)</w:t>
      </w:r>
    </w:p>
    <w:p>
      <w:pPr>
        <w:spacing w:after="80" w:before="80"/>
      </w:pPr>
      <w:hyperlink w:history="1" r:id="rIddloxttsbersal2e2_rttn">
        <w:r>
          <w:rPr>
            <w:rFonts w:ascii="Times New Roman" w:cs="Times New Roman" w:eastAsia="Times New Roman" w:hAnsi="Times New Roman"/>
            <w:color w:val="1155CC"/>
            <w:sz w:val="22"/>
            <w:szCs w:val="22"/>
            <w:u w:val="single"/>
          </w:rPr>
          <w:t xml:space="preserve">The Rainbow Body in Tibetan Buddhism (In-Depth Edition) — The Backyard Buddhist</w:t>
        </w:r>
      </w:hyperlink>
      <w:r>
        <w:rPr>
          <w:rFonts w:ascii="Times New Roman" w:cs="Times New Roman" w:eastAsia="Times New Roman" w:hAnsi="Times New Roman"/>
          <w:color w:val="1F2937"/>
          <w:sz w:val="22"/>
          <w:szCs w:val="22"/>
        </w:rPr>
        <w:t xml:space="preserve"> — Article de fond, perspective contemporaine, signes et processus détaillés. (200 ✅)</w:t>
      </w:r>
    </w:p>
    <w:p>
      <w:pPr>
        <w:spacing w:after="80" w:before="80"/>
      </w:pPr>
      <w:hyperlink w:history="1" r:id="rIdnfdxxnfdqykuzdx9nbbnm">
        <w:r>
          <w:rPr>
            <w:rFonts w:ascii="Times New Roman" w:cs="Times New Roman" w:eastAsia="Times New Roman" w:hAnsi="Times New Roman"/>
            <w:color w:val="1155CC"/>
            <w:sz w:val="22"/>
            <w:szCs w:val="22"/>
            <w:u w:val="single"/>
          </w:rPr>
          <w:t xml:space="preserve">Rainbow signs at Thrangu Rinpoche's Monastery — Dakini Translations</w:t>
        </w:r>
      </w:hyperlink>
      <w:r>
        <w:rPr>
          <w:rFonts w:ascii="Times New Roman" w:cs="Times New Roman" w:eastAsia="Times New Roman" w:hAnsi="Times New Roman"/>
          <w:color w:val="1F2937"/>
          <w:sz w:val="22"/>
          <w:szCs w:val="22"/>
        </w:rPr>
        <w:t xml:space="preserve"> — Témoignage contemporain (2023) : signes observés lors des 49 jours de rituels funèbres. (200 ✅)</w:t>
      </w:r>
    </w:p>
    <w:p>
      <w:pPr>
        <w:spacing w:after="80" w:before="80"/>
      </w:pPr>
      <w:hyperlink w:history="1" r:id="rIdxawfkynfyo2-qbwae4xr1">
        <w:r>
          <w:rPr>
            <w:rFonts w:ascii="Times New Roman" w:cs="Times New Roman" w:eastAsia="Times New Roman" w:hAnsi="Times New Roman"/>
            <w:color w:val="1155CC"/>
            <w:sz w:val="22"/>
            <w:szCs w:val="22"/>
            <w:u w:val="single"/>
          </w:rPr>
          <w:t xml:space="preserve">Modern perception of the rainbow body phenomenon — Academia.edu</w:t>
        </w:r>
      </w:hyperlink>
      <w:r>
        <w:rPr>
          <w:rFonts w:ascii="Times New Roman" w:cs="Times New Roman" w:eastAsia="Times New Roman" w:hAnsi="Times New Roman"/>
          <w:color w:val="1F2937"/>
          <w:sz w:val="22"/>
          <w:szCs w:val="22"/>
        </w:rPr>
        <w:t xml:space="preserve"> — Non ouverte (403) : le contenu n'a pas pu être lu ; seul le titre annonce une étude sur la réception contemporaine du phénomène. Aucune conclusion n'en est tirée ici.</w:t>
      </w:r>
    </w:p>
    <w:p>
      <w:pPr>
        <w:spacing w:after="80" w:before="200"/>
      </w:pPr>
      <w:r>
        <w:rPr>
          <w:rFonts w:ascii="Times New Roman" w:cs="Times New Roman" w:eastAsia="Times New Roman" w:hAnsi="Times New Roman"/>
          <w:b/>
          <w:bCs/>
          <w:color w:val="1B3A6B"/>
          <w:sz w:val="22"/>
          <w:szCs w:val="22"/>
        </w:rPr>
        <w:t xml:space="preserve">📖 Références universitaires — ajoutées le 01/09/2026</w:t>
      </w:r>
    </w:p>
    <w:p>
      <w:pPr>
        <w:spacing w:after="80" w:before="80"/>
      </w:pPr>
      <w:hyperlink w:history="1" r:id="rIdcorr01sept26tiso">
        <w:r>
          <w:rPr>
            <w:rFonts w:ascii="Times New Roman" w:cs="Times New Roman" w:eastAsia="Times New Roman" w:hAnsi="Times New Roman"/>
            <w:color w:val="1155CC"/>
            <w:sz w:val="22"/>
            <w:szCs w:val="22"/>
            <w:u w:val="single"/>
          </w:rPr>
          <w:t xml:space="preserve">Francis V. Tiso, Rainbow Body and Resurrection</w:t>
        </w:r>
      </w:hyperlink>
      <w:r>
        <w:rPr>
          <w:rFonts w:ascii="Times New Roman" w:cs="Times New Roman" w:eastAsia="Times New Roman" w:hAnsi="Times New Roman"/>
          <w:color w:val="1F2937"/>
          <w:sz w:val="22"/>
          <w:szCs w:val="22"/>
        </w:rPr>
        <w:t xml:space="preserve"> — North Atlantic Books, 2016. Seule enquête de terrain existante sur le cas de Khenpo A-chö : entretiens enregistrés de témoins oculaires au Tibet oriental. C'est la source de l'exercice 2. (403 au test automatisé — page accessible en navigateur : titre, auteur et année 2016 vérifiés)</w:t>
      </w:r>
    </w:p>
    <w:p>
      <w:pPr>
        <w:spacing w:after="80" w:before="80"/>
      </w:pPr>
      <w:r>
        <w:rPr>
          <w:rFonts w:ascii="Times New Roman" w:cs="Times New Roman" w:eastAsia="Times New Roman" w:hAnsi="Times New Roman"/>
          <w:i/>
          <w:iCs/>
          <w:color w:val="1F2937"/>
          <w:sz w:val="22"/>
          <w:szCs w:val="22"/>
        </w:rPr>
        <w:t xml:space="preserve">Jean-Luc Achard, Enlightened Rainbows: The Life and Works of Shardza Tashi Gyeltsen</w:t>
      </w:r>
      <w:r>
        <w:rPr>
          <w:rFonts w:ascii="Times New Roman" w:cs="Times New Roman" w:eastAsia="Times New Roman" w:hAnsi="Times New Roman"/>
          <w:color w:val="1F2937"/>
          <w:sz w:val="22"/>
          <w:szCs w:val="22"/>
        </w:rPr>
        <w:t xml:space="preserve"> — Brill's Tibetan Studies Library vol. 18, 2008, ISBN 978-90-04-16823-7. Monographie de référence sur le cas fondateur du tableau. L'auteur (CNRS) dirige la </w:t>
      </w:r>
      <w:hyperlink w:history="1" r:id="rIdcorr01sept26ret">
        <w:r>
          <w:rPr>
            <w:rFonts w:ascii="Times New Roman" w:cs="Times New Roman" w:eastAsia="Times New Roman" w:hAnsi="Times New Roman"/>
            <w:color w:val="1155CC"/>
            <w:sz w:val="22"/>
            <w:szCs w:val="22"/>
            <w:u w:val="single"/>
          </w:rPr>
          <w:t xml:space="preserve">Revue d'Études Tibétaines</w:t>
        </w:r>
      </w:hyperlink>
      <w:r>
        <w:rPr>
          <w:rFonts w:ascii="Times New Roman" w:cs="Times New Roman" w:eastAsia="Times New Roman" w:hAnsi="Times New Roman"/>
          <w:color w:val="1F2937"/>
          <w:sz w:val="22"/>
          <w:szCs w:val="22"/>
        </w:rPr>
        <w:t xml:space="preserve">, en accès libre — déjà ajoutée à la leçon 13. (200 ✅)</w:t>
      </w:r>
    </w:p>
    <w:p>
      <w:pPr>
        <w:spacing w:after="80" w:before="80"/>
      </w:pPr>
      <w:hyperlink w:history="1" r:id="rIdcorr01sept26gorvine">
        <w:r>
          <w:rPr>
            <w:rFonts w:ascii="Times New Roman" w:cs="Times New Roman" w:eastAsia="Times New Roman" w:hAnsi="Times New Roman"/>
            <w:color w:val="1155CC"/>
            <w:sz w:val="22"/>
            <w:szCs w:val="22"/>
            <w:u w:val="single"/>
          </w:rPr>
          <w:t xml:space="preserve">William Gorvine, Envisioning a Tibetan Luminary: The Life of a Modern Bönpo Saint</w:t>
        </w:r>
      </w:hyperlink>
      <w:r>
        <w:rPr>
          <w:rFonts w:ascii="Times New Roman" w:cs="Times New Roman" w:eastAsia="Times New Roman" w:hAnsi="Times New Roman"/>
          <w:color w:val="1F2937"/>
          <w:sz w:val="22"/>
          <w:szCs w:val="22"/>
        </w:rPr>
        <w:t xml:space="preserve"> — Oxford University Press. Seconde monographie universitaire consacrée à Shardza. (403 au test automatisé — page accessible en navigateur)</w:t>
      </w:r>
    </w:p>
    <w:p>
      <w:pPr>
        <w:spacing w:after="80" w:before="80"/>
      </w:pPr>
      <w:hyperlink w:history="1" r:id="rIdcorr01sept26lotsawa">
        <w:r>
          <w:rPr>
            <w:rFonts w:ascii="Times New Roman" w:cs="Times New Roman" w:eastAsia="Times New Roman" w:hAnsi="Times New Roman"/>
            <w:color w:val="1155CC"/>
            <w:sz w:val="22"/>
            <w:szCs w:val="22"/>
            <w:u w:val="single"/>
          </w:rPr>
          <w:t xml:space="preserve">Lotsawa House</w:t>
        </w:r>
      </w:hyperlink>
      <w:r>
        <w:rPr>
          <w:rFonts w:ascii="Times New Roman" w:cs="Times New Roman" w:eastAsia="Times New Roman" w:hAnsi="Times New Roman"/>
          <w:color w:val="1F2937"/>
          <w:sz w:val="22"/>
          <w:szCs w:val="22"/>
        </w:rPr>
        <w:t xml:space="preserve"> — dépôt de textes tibétains traduits, classés par maître et par thème. Point de départ pour les sources textuelles elles-mêmes, que cette leçon aborde par les récits et les encyclopédies. (200 ✅)</w:t>
      </w:r>
    </w:p>
    <w:p>
      <w:pPr>
        <w:pBdr>
          <w:bottom w:val="single" w:color="1B3A6B" w:sz="4"/>
        </w:pBdr>
        <w:spacing w:after="120" w:before="120"/>
      </w:pPr>
    </w:p>
    <w:p>
      <w:pPr>
        <w:pStyle w:val="Heading2"/>
        <w:spacing w:after="120" w:before="360"/>
      </w:pPr>
      <w:r>
        <w:rPr>
          <w:rFonts w:ascii="Times New Roman" w:cs="Times New Roman" w:eastAsia="Times New Roman" w:hAnsi="Times New Roman"/>
          <w:b/>
          <w:bCs/>
          <w:color w:val="1B3A6B"/>
          <w:sz w:val="30"/>
          <w:szCs w:val="30"/>
        </w:rPr>
        <w:t xml:space="preserve">🔜 Prochaine leçon — n°15 / 20</w:t>
      </w:r>
    </w:p>
    <w:p>
      <w:pPr>
        <w:spacing w:after="80" w:before="80"/>
      </w:pPr>
      <w:r>
        <w:rPr>
          <w:rFonts w:ascii="Times New Roman" w:cs="Times New Roman" w:eastAsia="Times New Roman" w:hAnsi="Times New Roman"/>
          <w:b w:val="false"/>
          <w:bCs w:val="false"/>
          <w:i w:val="false"/>
          <w:iCs w:val="false"/>
          <w:color w:val="1F2937"/>
          <w:sz w:val="22"/>
          <w:szCs w:val="22"/>
        </w:rPr>
        <w:t xml:space="preserve">Longchenpa et les Sept Trésors</w:t>
      </w:r>
    </w:p>
    <w:p>
      <w:pPr>
        <w:spacing w:after="80" w:before="80"/>
      </w:pPr>
      <w:r>
        <w:rPr>
          <w:rFonts w:ascii="Times New Roman" w:cs="Times New Roman" w:eastAsia="Times New Roman" w:hAnsi="Times New Roman"/>
          <w:b w:val="false"/>
          <w:bCs w:val="false"/>
          <w:i w:val="false"/>
          <w:iCs w:val="false"/>
          <w:color w:val="1F2937"/>
          <w:sz w:val="22"/>
          <w:szCs w:val="22"/>
        </w:rPr>
        <w:t xml:space="preserve">Longchen Rabjam (1308–1364), dit Longchenpa, est le grand systématisateur du dzogchen nyingma. Ses Sept Trésors (Dzö Dün) constituent la synthèse doctrinale la plus complète de la Grande Perfection. La prochaine leçon te permettra de lire ces textes comme une carte du territoire que tu parcours depuis la leçon 1.</w:t>
      </w:r>
    </w:p>
    <w:p>
      <w:pPr>
        <w:pBdr>
          <w:bottom w:val="single" w:color="1B3A6B" w:sz="4"/>
        </w:pBdr>
        <w:spacing w:after="120" w:before="120"/>
      </w:pPr>
    </w:p>
    <w:p>
      <w:pPr>
        <w:spacing w:after="120" w:before="280"/>
      </w:pPr>
      <w:r>
        <w:rPr>
          <w:rFonts w:ascii="Times New Roman" w:cs="Times New Roman" w:eastAsia="Times New Roman" w:hAnsi="Times New Roman"/>
          <w:b/>
          <w:bCs/>
          <w:color w:val="1B3A6B"/>
          <w:sz w:val="30"/>
          <w:szCs w:val="30"/>
        </w:rPr>
        <w:t xml:space="preserve">📝 Journal des corrections</w:t>
      </w:r>
    </w:p>
    <w:p>
      <w:pPr>
        <w:spacing w:after="80" w:before="80"/>
      </w:pPr>
      <w:r>
        <w:rPr>
          <w:rFonts w:ascii="Times New Roman" w:cs="Times New Roman" w:eastAsia="Times New Roman" w:hAnsi="Times New Roman"/>
          <w:i/>
          <w:iCs/>
          <w:color w:val="1B3A6B"/>
          <w:sz w:val="22"/>
          <w:szCs w:val="22"/>
        </w:rPr>
        <w:t xml:space="preserve">Corrections apportées le 1ᵉʳ septembre 2026 après vérification des sources. Les formulations d'origine sont conservées ci-dessous : une correction qui efface l'erreur ne s'apprend pas.</w:t>
      </w:r>
    </w:p>
    <w:p>
      <w:pPr>
        <w:spacing w:after="60" w:before="60"/>
      </w:pPr>
      <w:r>
        <w:rPr>
          <w:rFonts w:ascii="Times New Roman" w:cs="Times New Roman" w:eastAsia="Times New Roman" w:hAnsi="Times New Roman"/>
          <w:b/>
          <w:bCs/>
          <w:color w:val="1F2937"/>
          <w:sz w:val="22"/>
          <w:szCs w:val="22"/>
        </w:rPr>
        <w:t xml:space="preserve">1. « La forme suprême est le jalü powa chenmo (འཇའ་ལུས་འཕོ་བ་ཆེན་མོ་) […] : dissolution totale sans résidu physique » — </w:t>
      </w:r>
      <w:r>
        <w:rPr>
          <w:rFonts w:ascii="Times New Roman" w:cs="Times New Roman" w:eastAsia="Times New Roman" w:hAnsi="Times New Roman"/>
          <w:color w:val="1F2937"/>
          <w:sz w:val="22"/>
          <w:szCs w:val="22"/>
        </w:rPr>
        <w:t xml:space="preserve">section 1. Deux erreurs. L'orthographe : la forme est 'pho ba chen po (ཆེན་པོ), non chen mo. La définition surtout : le grand transfert n'est pas le même phénomène porté à son maximum, c'est une réalisation qui s'accomplit sans passer par la mort, attribuée à Padmasambhava et à Vimalamitra. Dans une leçon entièrement construite sur la dissolution au moment du décès, la confusion n'est pas mineure.</w:t>
      </w:r>
    </w:p>
    <w:p>
      <w:pPr>
        <w:spacing w:after="60" w:before="60"/>
      </w:pPr>
      <w:r>
        <w:rPr>
          <w:rFonts w:ascii="Times New Roman" w:cs="Times New Roman" w:eastAsia="Times New Roman" w:hAnsi="Times New Roman"/>
          <w:b/>
          <w:bCs/>
          <w:color w:val="1F2937"/>
          <w:sz w:val="22"/>
          <w:szCs w:val="22"/>
        </w:rPr>
        <w:t xml:space="preserve">2. « v. 1859–1935 » pour Shardza Tashi Gyaltsen — </w:t>
      </w:r>
      <w:r>
        <w:rPr>
          <w:rFonts w:ascii="Times New Roman" w:cs="Times New Roman" w:eastAsia="Times New Roman" w:hAnsi="Times New Roman"/>
          <w:color w:val="1F2937"/>
          <w:sz w:val="22"/>
          <w:szCs w:val="22"/>
        </w:rPr>
        <w:t xml:space="preserve">tableau. Le « v. » portait sur la naissance, qui ne fait pas débat ; c'est la date de mort qui varie. Wikipédia donne elle-même 1933 ou 1935 en signalant des sources divergentes ; la tradition Bön et Jean-Luc Achard retiennent 1934, 13ᵉ jour du 4ᵉ mois de l'année du Chien de Bois, à 76 ans.</w:t>
      </w:r>
    </w:p>
    <w:p>
      <w:pPr>
        <w:spacing w:after="60" w:before="60"/>
      </w:pPr>
      <w:r>
        <w:rPr>
          <w:rFonts w:ascii="Times New Roman" w:cs="Times New Roman" w:eastAsia="Times New Roman" w:hAnsi="Times New Roman"/>
          <w:b/>
          <w:bCs/>
          <w:color w:val="1F2937"/>
          <w:sz w:val="22"/>
          <w:szCs w:val="22"/>
        </w:rPr>
        <w:t xml:space="preserve">3. « Maîtresse dzogchen ; dissolution rapportée par des témoins directs » pour Ayu Khandro — </w:t>
      </w:r>
      <w:r>
        <w:rPr>
          <w:rFonts w:ascii="Times New Roman" w:cs="Times New Roman" w:eastAsia="Times New Roman" w:hAnsi="Times New Roman"/>
          <w:color w:val="1F2937"/>
          <w:sz w:val="22"/>
          <w:szCs w:val="22"/>
        </w:rPr>
        <w:t xml:space="preserve">tableau. L'inverse du dossier : le corps a été réduit après sept jours à la taille d'un enfant de huit ans — rétrécissement, non disparition — et Chögyal Namkhai Norbu, à qui l'on doit sa biographie, était présent à sa crémation. C'est précisément ce qui conduit certains à contester qu'il y ait eu jalü.</w:t>
      </w:r>
    </w:p>
    <w:p>
      <w:pPr>
        <w:spacing w:after="60" w:before="60"/>
      </w:pPr>
      <w:r>
        <w:rPr>
          <w:rFonts w:ascii="Times New Roman" w:cs="Times New Roman" w:eastAsia="Times New Roman" w:hAnsi="Times New Roman"/>
          <w:b/>
          <w:bCs/>
          <w:color w:val="1F2937"/>
          <w:sz w:val="22"/>
          <w:szCs w:val="22"/>
        </w:rPr>
        <w:t xml:space="preserve">4. « les sources académiques peer-reviewed sur le jalü sont rares […] (voir Academia.edu ci-dessous) » — </w:t>
      </w:r>
      <w:r>
        <w:rPr>
          <w:rFonts w:ascii="Times New Roman" w:cs="Times New Roman" w:eastAsia="Times New Roman" w:hAnsi="Times New Roman"/>
          <w:color w:val="1F2937"/>
          <w:sz w:val="22"/>
          <w:szCs w:val="22"/>
        </w:rPr>
        <w:t xml:space="preserve">section 3. Affirmation fondée sur une page restée inaccessible (403), donc jamais lue. Trois ouvrages universitaires existent et sont désormais en ressources : Tiso 2016 sur Khenpo A-chö, Achard 2008 et Gorvine sur Shardza.</w:t>
      </w:r>
    </w:p>
    <w:p>
      <w:pPr>
        <w:spacing w:after="60" w:before="60"/>
      </w:pPr>
      <w:r>
        <w:rPr>
          <w:rFonts w:ascii="Times New Roman" w:cs="Times New Roman" w:eastAsia="Times New Roman" w:hAnsi="Times New Roman"/>
          <w:b/>
          <w:bCs/>
          <w:color w:val="1F2937"/>
          <w:sz w:val="22"/>
          <w:szCs w:val="22"/>
        </w:rPr>
        <w:t xml:space="preserve">5. « Comme l'expose Wikipedia sur la base des sources tibétaines… » — </w:t>
      </w:r>
      <w:r>
        <w:rPr>
          <w:rFonts w:ascii="Times New Roman" w:cs="Times New Roman" w:eastAsia="Times New Roman" w:hAnsi="Times New Roman"/>
          <w:color w:val="1F2937"/>
          <w:sz w:val="22"/>
          <w:szCs w:val="22"/>
        </w:rPr>
        <w:t xml:space="preserve">section 2. Une encyclopédie ouverte oriente, elle n'atteste pas. La triade est classique dans les sources dzogchen : la phrase la présente maintenant comme telle, et situe Wikipédia à sa place.</w:t>
      </w:r>
    </w:p>
    <w:p>
      <w:pPr>
        <w:spacing w:after="60" w:before="60"/>
      </w:pPr>
      <w:r>
        <w:rPr>
          <w:rFonts w:ascii="Times New Roman" w:cs="Times New Roman" w:eastAsia="Times New Roman" w:hAnsi="Times New Roman"/>
          <w:b/>
          <w:bCs/>
          <w:color w:val="1F2937"/>
          <w:sz w:val="22"/>
          <w:szCs w:val="22"/>
        </w:rPr>
        <w:t xml:space="preserve">6. « Le gouvernement chinois a déclaré illégale la “montée en arc-en-ciel” » — </w:t>
      </w:r>
      <w:r>
        <w:rPr>
          <w:rFonts w:ascii="Times New Roman" w:cs="Times New Roman" w:eastAsia="Times New Roman" w:hAnsi="Times New Roman"/>
          <w:color w:val="1F2937"/>
          <w:sz w:val="22"/>
          <w:szCs w:val="22"/>
        </w:rPr>
        <w:t xml:space="preserve">section 4. L'attribution à Lion's Roar était correcte et la formulation y figure mot pour mot — mais l'article ne l'adosse à aucun texte juridique. Reprise désormais au conditionnel, comme contexte non vérifié.</w:t>
      </w:r>
    </w:p>
    <w:p>
      <w:pPr>
        <w:spacing w:after="60" w:before="60"/>
      </w:pPr>
      <w:r>
        <w:rPr>
          <w:rFonts w:ascii="Times New Roman" w:cs="Times New Roman" w:eastAsia="Times New Roman" w:hAnsi="Times New Roman"/>
          <w:b/>
          <w:bCs/>
          <w:color w:val="1F2937"/>
          <w:sz w:val="22"/>
          <w:szCs w:val="22"/>
        </w:rPr>
        <w:t xml:space="preserve">7. Écarts entre sources non signalés — </w:t>
      </w:r>
      <w:r>
        <w:rPr>
          <w:rFonts w:ascii="Times New Roman" w:cs="Times New Roman" w:eastAsia="Times New Roman" w:hAnsi="Times New Roman"/>
          <w:color w:val="1F2937"/>
          <w:sz w:val="22"/>
          <w:szCs w:val="22"/>
        </w:rPr>
        <w:t xml:space="preserve">tableau. Ajout d'un paragraphe : Lion's Roar et la Rigpa Wiki se contredisent sur ce qui subsiste du corps de Khenpo A-chö, et son rattachement d'école n'est pas établi.</w:t>
      </w:r>
    </w:p>
    <w:p>
      <w:pPr>
        <w:spacing w:after="60" w:before="60"/>
      </w:pPr>
      <w:r>
        <w:rPr>
          <w:rFonts w:ascii="Times New Roman" w:cs="Times New Roman" w:eastAsia="Times New Roman" w:hAnsi="Times New Roman"/>
          <w:b/>
          <w:bCs/>
          <w:color w:val="1F2937"/>
          <w:sz w:val="22"/>
          <w:szCs w:val="22"/>
        </w:rPr>
        <w:t xml:space="preserve">8. Renvoi manquant à la leçon 12 — </w:t>
      </w:r>
      <w:r>
        <w:rPr>
          <w:rFonts w:ascii="Times New Roman" w:cs="Times New Roman" w:eastAsia="Times New Roman" w:hAnsi="Times New Roman"/>
          <w:color w:val="1F2937"/>
          <w:sz w:val="22"/>
          <w:szCs w:val="22"/>
        </w:rPr>
        <w:t xml:space="preserve">objectif &amp; continuité. La leçon 12 annonçait la quatrième vision du tögal comme le sol direct du corps d'arc-en-ciel, en renvoyant explicitement à la leçon 14. Le lien est rétabli.</w:t>
      </w:r>
    </w:p>
    <w:p>
      <w:pPr>
        <w:spacing w:after="60" w:before="60"/>
      </w:pPr>
      <w:r>
        <w:rPr>
          <w:rFonts w:ascii="Times New Roman" w:cs="Times New Roman" w:eastAsia="Times New Roman" w:hAnsi="Times New Roman"/>
          <w:b/>
          <w:bCs/>
          <w:color w:val="1F2937"/>
          <w:sz w:val="22"/>
          <w:szCs w:val="22"/>
        </w:rPr>
        <w:t xml:space="preserve">9. Lotsawa House non consultée — </w:t>
      </w:r>
      <w:r>
        <w:rPr>
          <w:rFonts w:ascii="Times New Roman" w:cs="Times New Roman" w:eastAsia="Times New Roman" w:hAnsi="Times New Roman"/>
          <w:color w:val="1F2937"/>
          <w:sz w:val="22"/>
          <w:szCs w:val="22"/>
        </w:rPr>
        <w:t xml:space="preserve">ressources. Sur une leçon intitulée « sources textuelles », le dépôt de textes tibétains traduits n'avait pas été ouvert. Il est ajouté.</w:t>
      </w:r>
    </w:p>
    <w:p>
      <w:pPr>
        <w:spacing w:after="60" w:before="60"/>
      </w:pPr>
      <w:r>
        <w:rPr>
          <w:rFonts w:ascii="Times New Roman" w:cs="Times New Roman" w:eastAsia="Times New Roman" w:hAnsi="Times New Roman"/>
          <w:b/>
          <w:bCs/>
          <w:color w:val="1F2937"/>
          <w:sz w:val="22"/>
          <w:szCs w:val="22"/>
        </w:rPr>
        <w:t xml:space="preserve">10. Un article signé, cité quatre fois par le nom du magazine — sections 2, 4, tableau et ressources (24/09/2026).</w:t>
      </w:r>
    </w:p>
    <w:p>
      <w:pPr>
        <w:spacing w:after="60" w:before="60"/>
      </w:pPr>
      <w:r>
        <w:rPr>
          <w:rFonts w:ascii="Times New Roman" w:cs="Times New Roman" w:eastAsia="Times New Roman" w:hAnsi="Times New Roman"/>
          <w:b/>
          <w:bCs/>
          <w:color w:val="1F2937"/>
          <w:sz w:val="22"/>
          <w:szCs w:val="22"/>
        </w:rPr>
        <w:t xml:space="preserve">« Lion's Roar (Investigating the Rainbow Body) », « Selon Lion's Roar », « Lion's Roar rapporte », « Synthèse à partir de Lion's Roar » : l'article est signé « By Michael Sheehy » — Michael Sheehy, PhD, directeur de la recherche au Contemplative Sciences Center et enseignant en religious studies à l'University of Virginia, d'après la page elle-même. C'est de plus une recension : « Michael Sheehy reviews “Rainbow Body and Resurrection” by Francis V. Tiso. » Un magazine publie, il n'écrit pas. Sur le point ② des écarts entre sources, la chaîne était en outre raccourcie : Sheehy cite Tiso qui cite la presse chinoise locale — trois mains avant d'arriver au fait, ce que le texte dit désormais.</w:t>
      </w:r>
    </w:p>
    <w:p>
      <w:pPr>
        <w:spacing w:before="240"/>
        <w:jc w:val="center"/>
      </w:pPr>
      <w:r>
        <w:rPr>
          <w:rFonts w:ascii="Times New Roman" w:cs="Times New Roman" w:eastAsia="Times New Roman" w:hAnsi="Times New Roman"/>
          <w:i/>
          <w:iCs/>
          <w:color w:val="888888"/>
          <w:sz w:val="18"/>
          <w:szCs w:val="18"/>
        </w:rPr>
        <w:t xml:space="preserve">Parcours Dzogchen — Leçon 14 / 20  |  Usage personnel  |  1er septembre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ksii3u0ml66qfg05_w8z" Type="http://schemas.openxmlformats.org/officeDocument/2006/relationships/hyperlink" Target="https://en.wikipedia.org/wiki/Rainbow_body" TargetMode="External"/><Relationship Id="rIdbv3ccvh8iztmgxjobdzxz" Type="http://schemas.openxmlformats.org/officeDocument/2006/relationships/hyperlink" Target="https://www.lionsroar.com/what-is-rainbow-body/" TargetMode="External"/><Relationship Id="rIdxz8j1ketw-fapeivfioon" Type="http://schemas.openxmlformats.org/officeDocument/2006/relationships/hyperlink" Target="https://www.lionsroar.com/investigating-the-rainbow-body/" TargetMode="External"/><Relationship Id="rIddloxttsbersal2e2_rttn" Type="http://schemas.openxmlformats.org/officeDocument/2006/relationships/hyperlink" Target="https://thebackyardbuddhist.substack.com/p/the-rainbow-body-in-tibetan-buddhism" TargetMode="External"/><Relationship Id="rIdnfdxxnfdqykuzdx9nbbnm" Type="http://schemas.openxmlformats.org/officeDocument/2006/relationships/hyperlink" Target="https://dakinitranslations.com/2023/07/08/somewhere-over-the-rainbow-at-thrangu-rinpoches-monastery-remarkable-and-auspicious-rainbow-signs-at-thrangu-rinpoches-nepal-monastery-during-49-day-parinirvana-ritual/" TargetMode="External"/><Relationship Id="rIdxawfkynfyo2-qbwae4xr1" Type="http://schemas.openxmlformats.org/officeDocument/2006/relationships/hyperlink" Target="https://www.academia.edu/127852484/Modern_perception_of_the_rainbow_body_phenomenon_in_Tibetan_Buddhism" TargetMode="External"/><Relationship Id="rId13" Type="http://schemas.openxmlformats.org/officeDocument/2006/relationships/fontTable" Target="fontTable.xml"/><Relationship Id="rIdcorr01sept26tiso" Type="http://schemas.openxmlformats.org/officeDocument/2006/relationships/hyperlink" Target="https://www.northatlanticbooks.com/shop/rainbow-body-and-resurrection/" TargetMode="External"/><Relationship Id="rIdcorr01sept26ret" Type="http://schemas.openxmlformats.org/officeDocument/2006/relationships/hyperlink" Target="https://www.digitalhimalaya.com/collections/journals/ret/" TargetMode="External"/><Relationship Id="rIdcorr01sept26gorvine" Type="http://schemas.openxmlformats.org/officeDocument/2006/relationships/hyperlink" Target="https://academic.oup.com/book/11276" TargetMode="External"/><Relationship Id="rIdcorr01sept26lotsawa" Type="http://schemas.openxmlformats.org/officeDocument/2006/relationships/hyperlink" Target="https://www.lotsawahouse.org/"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2026-09-01T06:07:33.547Z</dcterms:created>
  <dcterms:modified xsi:type="dcterms:W3CDTF">2026-09-01T06:07:34.122Z</dcterms:modified>
</cp:coreProperties>
</file>

<file path=docProps/custom.xml><?xml version="1.0" encoding="utf-8"?>
<Properties xmlns="http://schemas.openxmlformats.org/officeDocument/2006/custom-properties" xmlns:vt="http://schemas.openxmlformats.org/officeDocument/2006/docPropsVTypes"/>
</file>