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00"/>
        <w:jc w:val="center"/>
      </w:pPr>
      <w:r>
        <w:rPr>
          <w:rFonts w:ascii="Times New Roman" w:cs="Times New Roman" w:eastAsia="Times New Roman" w:hAnsi="Times New Roman"/>
          <w:b/>
          <w:bCs/>
          <w:color w:val="1B3A6B"/>
          <w:sz w:val="52"/>
          <w:szCs w:val="52"/>
        </w:rPr>
        <w:t xml:space="preserve">Leçon Dzogchen n°16</w:t>
      </w:r>
    </w:p>
    <w:p>
      <w:pPr>
        <w:spacing w:after="60" w:before="60"/>
        <w:jc w:val="center"/>
      </w:pPr>
      <w:r>
        <w:rPr>
          <w:rFonts w:ascii="Times New Roman" w:cs="Times New Roman" w:eastAsia="Times New Roman" w:hAnsi="Times New Roman"/>
          <w:b/>
          <w:bCs/>
          <w:color w:val="1B3A6B"/>
          <w:sz w:val="36"/>
          <w:szCs w:val="36"/>
        </w:rPr>
        <w:t xml:space="preserve">Jigme Lingpa, le Longchen Nyingtik et la révélation des termas</w:t>
      </w:r>
    </w:p>
    <w:p>
      <w:pPr>
        <w:spacing w:after="40" w:before="40"/>
        <w:jc w:val="center"/>
      </w:pPr>
      <w:r>
        <w:rPr>
          <w:rFonts w:ascii="Times New Roman" w:cs="Times New Roman" w:eastAsia="Times New Roman" w:hAnsi="Times New Roman"/>
          <w:color w:val="6B7280"/>
          <w:sz w:val="22"/>
          <w:szCs w:val="22"/>
        </w:rPr>
        <w:t xml:space="preserve">15 septembre 2026  ·  Leçon 16 / 20</w:t>
      </w:r>
    </w:p>
    <w:p>
      <w:pPr>
        <w:spacing w:after="120" w:before="120"/>
      </w:pPr>
      <w:r>
        <w:rPr>
          <w:rFonts w:ascii="Times New Roman" w:cs="Times New Roman" w:eastAsia="Times New Roman" w:hAnsi="Times New Roman"/>
          <w:color w:val="D1D5DB"/>
          <w:sz w:val="18"/>
          <w:szCs w:val="18"/>
        </w:rPr>
        <w:t xml:space="preserve">─────────────────────────────────────────────</w:t>
      </w:r>
    </w:p>
    <w:p>
      <w:pPr>
        <w:pStyle w:val="Heading2"/>
        <w:spacing w:after="80" w:before="280"/>
      </w:pPr>
      <w:r>
        <w:rPr>
          <w:rFonts w:ascii="Times New Roman" w:cs="Times New Roman" w:eastAsia="Times New Roman" w:hAnsi="Times New Roman"/>
          <w:b/>
          <w:bCs/>
          <w:color w:val="1B3A6B"/>
          <w:sz w:val="30"/>
          <w:szCs w:val="30"/>
        </w:rPr>
        <w:t xml:space="preserve">🎯 Objectif &amp; continuité</w:t>
      </w:r>
    </w:p>
    <w:p>
      <w:pPr>
        <w:spacing w:after="60" w:before="60"/>
      </w:pPr>
      <w:r>
        <w:rPr>
          <w:rFonts w:ascii="Times New Roman" w:cs="Times New Roman" w:eastAsia="Times New Roman" w:hAnsi="Times New Roman"/>
          <w:color w:val="1F2937"/>
          <w:sz w:val="22"/>
          <w:szCs w:val="22"/>
        </w:rPr>
        <w:t xml:space="preserve">À la fin de cette leçon, tu comprendras :</w:t>
      </w:r>
    </w:p>
    <w:p>
      <w:pPr>
        <w:spacing w:after="40" w:before="40"/>
        <w:ind w:left="360" w:hanging="360"/>
      </w:pPr>
      <w:r>
        <w:rPr>
          <w:rFonts w:ascii="Times New Roman" w:cs="Times New Roman" w:eastAsia="Times New Roman" w:hAnsi="Times New Roman"/>
          <w:color w:val="1F2937"/>
          <w:sz w:val="22"/>
          <w:szCs w:val="22"/>
        </w:rPr>
        <w:t xml:space="preserve">• ce qu'est un terma — et pourquoi la distinction entre terma terrestre et terma mental est décisive pour saisir comment fonctionne le Longchen Nyingtik ;</w:t>
      </w:r>
    </w:p>
    <w:p>
      <w:pPr>
        <w:spacing w:after="40" w:before="40"/>
        <w:ind w:left="360" w:hanging="360"/>
      </w:pPr>
      <w:r>
        <w:rPr>
          <w:rFonts w:ascii="Times New Roman" w:cs="Times New Roman" w:eastAsia="Times New Roman" w:hAnsi="Times New Roman"/>
          <w:color w:val="1F2937"/>
          <w:sz w:val="22"/>
          <w:szCs w:val="22"/>
        </w:rPr>
        <w:t xml:space="preserve">• comment Jigme Lingpa a reçu, gardé secret, puis transmis ce cycle — à quelle date, dans quelles circonstances, à qui ;</w:t>
      </w:r>
    </w:p>
    <w:p>
      <w:pPr>
        <w:spacing w:after="40" w:before="40"/>
        <w:ind w:left="360" w:hanging="360"/>
      </w:pPr>
      <w:r>
        <w:rPr>
          <w:rFonts w:ascii="Times New Roman" w:cs="Times New Roman" w:eastAsia="Times New Roman" w:hAnsi="Times New Roman"/>
          <w:color w:val="1F2937"/>
          <w:sz w:val="22"/>
          <w:szCs w:val="22"/>
        </w:rPr>
        <w:t xml:space="preserve">• pourquoi ce cycle est devenu la collection Dzogchen la plus répandue jusqu'à aujourd'hui.</w:t>
      </w:r>
    </w:p>
    <w:p>
      <w:pPr>
        <w:spacing w:after="40" w:before="80"/>
      </w:pPr>
      <w:r>
        <w:rPr>
          <w:rFonts w:ascii="Times New Roman" w:cs="Times New Roman" w:eastAsia="Times New Roman" w:hAnsi="Times New Roman"/>
          <w:b/>
          <w:bCs/>
          <w:color w:val="1F2937"/>
          <w:sz w:val="22"/>
          <w:szCs w:val="22"/>
        </w:rPr>
        <w:t xml:space="preserve">Continuité avec la leçon précédente : </w:t>
      </w:r>
      <w:r>
        <w:rPr>
          <w:rFonts w:ascii="Times New Roman" w:cs="Times New Roman" w:eastAsia="Times New Roman" w:hAnsi="Times New Roman"/>
          <w:color w:val="1F2937"/>
          <w:sz w:val="22"/>
          <w:szCs w:val="22"/>
        </w:rPr>
        <w:t xml:space="preserve">La leçon 15 a présenté Longchenpa (1308-1364, selon les sources consultées pour cette leçon) et ses Sept Trésors, le sommet de la littérature Dzogchen du XIVe siècle. Elle annonçait ce rendez-vous : Jigme Lingpa reçoit la transmission de Longchenpa par visions — non pas en le côtoyant, mais près de quatre siècles après sa disparition. C'est précisément ce que la notion de terma mental permet de comprendre.</w:t>
      </w:r>
    </w:p>
    <w:p>
      <w:pPr>
        <w:spacing w:after="120" w:before="120"/>
      </w:pPr>
      <w:r>
        <w:rPr>
          <w:rFonts w:ascii="Times New Roman" w:cs="Times New Roman" w:eastAsia="Times New Roman" w:hAnsi="Times New Roman"/>
          <w:color w:val="D1D5DB"/>
          <w:sz w:val="18"/>
          <w:szCs w:val="18"/>
        </w:rPr>
        <w:t xml:space="preserve">─────────────────────────────────────────────</w:t>
      </w:r>
    </w:p>
    <w:p>
      <w:pPr>
        <w:pStyle w:val="Heading2"/>
        <w:spacing w:after="80" w:before="280"/>
      </w:pPr>
      <w:r>
        <w:rPr>
          <w:rFonts w:ascii="Times New Roman" w:cs="Times New Roman" w:eastAsia="Times New Roman" w:hAnsi="Times New Roman"/>
          <w:b/>
          <w:bCs/>
          <w:color w:val="1B3A6B"/>
          <w:sz w:val="30"/>
          <w:szCs w:val="30"/>
        </w:rPr>
        <w:t xml:space="preserve">🔬 Théorie (20%)</w:t>
      </w:r>
    </w:p>
    <w:p>
      <w:pPr>
        <w:pStyle w:val="Heading3"/>
        <w:spacing w:after="60" w:before="200"/>
      </w:pPr>
      <w:r>
        <w:rPr>
          <w:rFonts w:ascii="Times New Roman" w:cs="Times New Roman" w:eastAsia="Times New Roman" w:hAnsi="Times New Roman"/>
          <w:b/>
          <w:bCs/>
          <w:color w:val="1F2937"/>
          <w:sz w:val="26"/>
          <w:szCs w:val="26"/>
        </w:rPr>
        <w:t xml:space="preserve">1. Jigme Lingpa — repères biographiques</w:t>
      </w:r>
    </w:p>
    <w:p>
      <w:pPr>
        <w:spacing w:after="60" w:before="60"/>
      </w:pPr>
      <w:r>
        <w:rPr>
          <w:rFonts w:ascii="Times New Roman" w:cs="Times New Roman" w:eastAsia="Times New Roman" w:hAnsi="Times New Roman"/>
          <w:color w:val="1F2937"/>
          <w:sz w:val="22"/>
          <w:szCs w:val="22"/>
        </w:rPr>
        <w:t xml:space="preserve">Jigme Lingpa est né en 1729 ou 1730 (les sources divergent sur ce point précis : Wikipedia le catégorise sous l'année 1729, le texte de la même page donne 1730 comme la quasi-totalité des ouvrages contemporains, et une notice d'autorité affichée par le bloc « Authority control » de cette même page porte « 1729 or 1730 ») et est mort en 1798. Il est formé au monastère de Palri, dans la vallée de Chonggye au Tibet.</w:t>
      </w:r>
      <w:r>
        <w:rPr>
          <w:rFonts w:ascii="Times New Roman" w:cs="Times New Roman" w:eastAsia="Times New Roman" w:hAnsi="Times New Roman"/>
          <w:i/>
          <w:iCs/>
          <w:color w:val="6B7280"/>
          <w:sz w:val="20"/>
          <w:szCs w:val="20"/>
        </w:rPr>
        <w:t xml:space="preserve"> [Corrigé le 24/09/2026 : la leçon nommait « la Bibliothèque nationale de France », qui n'a été ni ouverte ni listée en ressources — la mention vient du bloc Authority control en bas de la page Wikipédia. B6 : une source nommée est une source liée.]</w:t>
      </w:r>
    </w:p>
    <w:p>
      <w:pPr>
        <w:spacing w:after="60" w:before="60"/>
      </w:pPr>
      <w:r>
        <w:rPr>
          <w:rFonts w:ascii="Times New Roman" w:cs="Times New Roman" w:eastAsia="Times New Roman" w:hAnsi="Times New Roman"/>
          <w:color w:val="1F2937"/>
          <w:sz w:val="22"/>
          <w:szCs w:val="22"/>
        </w:rPr>
        <w:t xml:space="preserve">La tradition le tient pour l'émanation simultanée de deux figures majeures : Vimalamitra et le roi Trisong Deutsen. Cette double filiation fait de lui l'héritier des deux grandes lignées Dzogchen tibétaines : le Vima Nyingtik et le Khandro Nyingtik — soit les deux branches des Nyingtik issues respectivement de Vimalamitra et de Guru Rinpoche (Padmasambhava).</w:t>
      </w:r>
      <w:r>
        <w:rPr>
          <w:rFonts w:ascii="Times New Roman" w:cs="Times New Roman" w:eastAsia="Times New Roman" w:hAnsi="Times New Roman"/>
          <w:i/>
          <w:iCs/>
          <w:color w:val="6B7280"/>
          <w:sz w:val="20"/>
          <w:szCs w:val="20"/>
        </w:rPr>
        <w:t xml:space="preserve"> [Corrigé le 24/09/2026 : la phrase était donnée « selon Tulku Thondup et Harold Talbott (rapportés par Wikipedia) ». Le wikitexte de la page, relu le 24/09/2026, porte sur cette phrase exactement {{cn|date=June 2021}} — « citation needed » depuis juin 2021 : elle n'a AUCUN auteur. Thondup et Talbott ne figurent qu'en bibliographie de la page, pour d'autres passages.]</w:t>
      </w:r>
    </w:p>
    <w:p>
      <w:pPr>
        <w:spacing w:after="60" w:before="60"/>
      </w:pPr>
      <w:r>
        <w:rPr>
          <w:rFonts w:ascii="Times New Roman" w:cs="Times New Roman" w:eastAsia="Times New Roman" w:hAnsi="Times New Roman"/>
          <w:color w:val="1F2937"/>
          <w:sz w:val="22"/>
          <w:szCs w:val="22"/>
        </w:rPr>
        <w:t xml:space="preserve">Ses principales œuvres écrites — à distinguer de ses révélations de termas :</w:t>
      </w:r>
    </w:p>
    <w:p>
      <w:pPr>
        <w:spacing w:after="40" w:before="40"/>
        <w:ind w:left="360" w:hanging="360"/>
      </w:pPr>
      <w:r>
        <w:rPr>
          <w:rFonts w:ascii="Times New Roman" w:cs="Times New Roman" w:eastAsia="Times New Roman" w:hAnsi="Times New Roman"/>
          <w:color w:val="1F2937"/>
          <w:sz w:val="22"/>
          <w:szCs w:val="22"/>
        </w:rPr>
        <w:t xml:space="preserve">• Yonten Dzö (Trésor des Qualités Précieuses) avec son vaste auto-commentaire — œuvre théologique personnelle ;</w:t>
      </w:r>
    </w:p>
    <w:p>
      <w:pPr>
        <w:spacing w:after="40" w:before="40"/>
        <w:ind w:left="360" w:hanging="360"/>
      </w:pPr>
      <w:r>
        <w:rPr>
          <w:rFonts w:ascii="Times New Roman" w:cs="Times New Roman" w:eastAsia="Times New Roman" w:hAnsi="Times New Roman"/>
          <w:color w:val="1F2937"/>
          <w:sz w:val="22"/>
          <w:szCs w:val="22"/>
        </w:rPr>
        <w:t xml:space="preserve">• Yeshe Lama — exposé accessible du Dzogchen, notamment des pratiques de trekchö et tögal ;</w:t>
      </w:r>
      <w:r>
        <w:rPr>
          <w:rFonts w:ascii="Times New Roman" w:cs="Times New Roman" w:eastAsia="Times New Roman" w:hAnsi="Times New Roman"/>
          <w:i/>
          <w:iCs/>
          <w:color w:val="6B7280"/>
          <w:sz w:val="20"/>
          <w:szCs w:val="20"/>
        </w:rPr>
        <w:t xml:space="preserve"> [Corrigé le 24/09/2026 : ni « Yeshe Lama » ni « Kunzang Lama'i Shelung » n'apparaissent sur aucune des pages ouvertes pour cette leçon — la page Lotsawa House de Jigme Lingpa (51 683 caractères) n'en porte pas une occurrence. L'attribution reste, sans source : à vérifier avant tout réemploi (A6).]</w:t>
      </w:r>
    </w:p>
    <w:p>
      <w:pPr>
        <w:spacing w:after="40" w:before="40"/>
        <w:ind w:left="360" w:hanging="360"/>
      </w:pPr>
      <w:r>
        <w:rPr>
          <w:rFonts w:ascii="Times New Roman" w:cs="Times New Roman" w:eastAsia="Times New Roman" w:hAnsi="Times New Roman"/>
          <w:color w:val="1F2937"/>
          <w:sz w:val="22"/>
          <w:szCs w:val="22"/>
        </w:rPr>
        <w:t xml:space="preserve">• Coordination de l'édition du Nyingma Gyübum (collection des tantras nyingma), avec le soutien royal de Derge ;</w:t>
      </w:r>
    </w:p>
    <w:p>
      <w:pPr>
        <w:spacing w:after="40" w:before="40"/>
        <w:ind w:left="360" w:hanging="360"/>
      </w:pPr>
      <w:r>
        <w:rPr>
          <w:rFonts w:ascii="Times New Roman" w:cs="Times New Roman" w:eastAsia="Times New Roman" w:hAnsi="Times New Roman"/>
          <w:color w:val="1F2937"/>
          <w:sz w:val="22"/>
          <w:szCs w:val="22"/>
        </w:rPr>
        <w:t xml:space="preserve">• Adornment of Dohā — autobiographie versifiée, composée en 1786.</w:t>
      </w:r>
    </w:p>
    <w:p>
      <w:pPr>
        <w:pStyle w:val="Heading3"/>
        <w:spacing w:after="60" w:before="200"/>
      </w:pPr>
      <w:r>
        <w:rPr>
          <w:rFonts w:ascii="Times New Roman" w:cs="Times New Roman" w:eastAsia="Times New Roman" w:hAnsi="Times New Roman"/>
          <w:b/>
          <w:bCs/>
          <w:color w:val="1F2937"/>
          <w:sz w:val="26"/>
          <w:szCs w:val="26"/>
        </w:rPr>
        <w:t xml:space="preserve">2. Qu'est-ce qu'un terma ?</w:t>
      </w:r>
    </w:p>
    <w:p>
      <w:pPr>
        <w:spacing w:after="60" w:before="60"/>
      </w:pPr>
      <w:r>
        <w:rPr>
          <w:rFonts w:ascii="Times New Roman" w:cs="Times New Roman" w:eastAsia="Times New Roman" w:hAnsi="Times New Roman"/>
          <w:color w:val="1F2937"/>
          <w:sz w:val="22"/>
          <w:szCs w:val="22"/>
        </w:rPr>
        <w:t xml:space="preserve">Le mot tibétain terma (གཏེར་མ) signifie « trésor caché ». La tradition attribue l'origine du système à Padmasambhava et Yeshe Tsogyal au VIIIe siècle : ces maîtres auraient dissimulé des enseignements destinés à être découverts lorsque le temps serait venu.</w:t>
      </w:r>
    </w:p>
    <w:p>
      <w:pPr>
        <w:spacing w:after="40" w:before="80"/>
      </w:pPr>
      <w:r>
        <w:rPr>
          <w:rFonts w:ascii="Times New Roman" w:cs="Times New Roman" w:eastAsia="Times New Roman" w:hAnsi="Times New Roman"/>
          <w:b/>
          <w:bCs/>
          <w:color w:val="1F2937"/>
          <w:sz w:val="22"/>
          <w:szCs w:val="22"/>
        </w:rPr>
        <w:t xml:space="preserve">Deux types principaux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clear"/>
          </w:tcPr>
          <w:p>
            <w:pPr>
              <w:jc w:val="center"/>
            </w:pPr>
            <w:r>
              <w:rPr>
                <w:rFonts w:ascii="Times New Roman" w:cs="Times New Roman" w:eastAsia="Times New Roman" w:hAnsi="Times New Roman"/>
                <w:b/>
                <w:bCs/>
                <w:color w:val="FFFFFF"/>
                <w:sz w:val="20"/>
                <w:szCs w:val="20"/>
              </w:rPr>
              <w:t xml:space="preserve">Type</w:t>
            </w:r>
          </w:p>
        </w:tc>
        <w:tc>
          <w:tcPr>
            <w:shd w:fill="1B3A6B" w:val="clear"/>
          </w:tcPr>
          <w:p>
            <w:pPr>
              <w:jc w:val="center"/>
            </w:pPr>
            <w:r>
              <w:rPr>
                <w:rFonts w:ascii="Times New Roman" w:cs="Times New Roman" w:eastAsia="Times New Roman" w:hAnsi="Times New Roman"/>
                <w:b/>
                <w:bCs/>
                <w:color w:val="FFFFFF"/>
                <w:sz w:val="20"/>
                <w:szCs w:val="20"/>
              </w:rPr>
              <w:t xml:space="preserve">Description</w:t>
            </w:r>
          </w:p>
        </w:tc>
        <w:tc>
          <w:tcPr>
            <w:shd w:fill="1B3A6B" w:val="clear"/>
          </w:tcPr>
          <w:p>
            <w:pPr>
              <w:jc w:val="center"/>
            </w:pPr>
            <w:r>
              <w:rPr>
                <w:rFonts w:ascii="Times New Roman" w:cs="Times New Roman" w:eastAsia="Times New Roman" w:hAnsi="Times New Roman"/>
                <w:b/>
                <w:bCs/>
                <w:color w:val="FFFFFF"/>
                <w:sz w:val="20"/>
                <w:szCs w:val="20"/>
              </w:rPr>
              <w:t xml:space="preserve">Support</w:t>
            </w:r>
          </w:p>
        </w:tc>
      </w:tr>
      <w:tr>
        <w:tc>
          <w:tcPr>
            <w:shd w:fill="FFFFFF" w:val="clear"/>
          </w:tcPr>
          <w:p>
            <w:r>
              <w:rPr>
                <w:rFonts w:ascii="Times New Roman" w:cs="Times New Roman" w:eastAsia="Times New Roman" w:hAnsi="Times New Roman"/>
                <w:color w:val="1F2937"/>
                <w:sz w:val="20"/>
                <w:szCs w:val="20"/>
              </w:rPr>
              <w:t xml:space="preserve">Terma terrestre (sa-ter)</w:t>
            </w:r>
          </w:p>
        </w:tc>
        <w:tc>
          <w:tcPr>
            <w:shd w:fill="FFFFFF" w:val="clear"/>
          </w:tcPr>
          <w:p>
            <w:r>
              <w:rPr>
                <w:rFonts w:ascii="Times New Roman" w:cs="Times New Roman" w:eastAsia="Times New Roman" w:hAnsi="Times New Roman"/>
                <w:color w:val="1F2937"/>
                <w:sz w:val="20"/>
                <w:szCs w:val="20"/>
              </w:rPr>
              <w:t xml:space="preserve">Objets physiques — textes, reliques, images — cachés dans des lieux sacrés : rochers, temples, lacs</w:t>
            </w:r>
          </w:p>
        </w:tc>
        <w:tc>
          <w:tcPr>
            <w:shd w:fill="FFFFFF" w:val="clear"/>
          </w:tcPr>
          <w:p>
            <w:r>
              <w:rPr>
                <w:rFonts w:ascii="Times New Roman" w:cs="Times New Roman" w:eastAsia="Times New Roman" w:hAnsi="Times New Roman"/>
                <w:color w:val="1F2937"/>
                <w:sz w:val="20"/>
                <w:szCs w:val="20"/>
              </w:rPr>
              <w:t xml:space="preserve">Matériau physique découvert par le tertön</w:t>
            </w:r>
          </w:p>
        </w:tc>
      </w:tr>
      <w:tr>
        <w:tc>
          <w:tcPr>
            <w:shd w:fill="EEF2F7" w:val="clear"/>
          </w:tcPr>
          <w:p>
            <w:r>
              <w:rPr>
                <w:rFonts w:ascii="Times New Roman" w:cs="Times New Roman" w:eastAsia="Times New Roman" w:hAnsi="Times New Roman"/>
                <w:color w:val="1F2937"/>
                <w:sz w:val="20"/>
                <w:szCs w:val="20"/>
              </w:rPr>
              <w:t xml:space="preserve">Terma mental (dgongs-ter)</w:t>
            </w:r>
          </w:p>
        </w:tc>
        <w:tc>
          <w:tcPr>
            <w:shd w:fill="EEF2F7" w:val="clear"/>
          </w:tcPr>
          <w:p>
            <w:r>
              <w:rPr>
                <w:rFonts w:ascii="Times New Roman" w:cs="Times New Roman" w:eastAsia="Times New Roman" w:hAnsi="Times New Roman"/>
                <w:color w:val="1F2937"/>
                <w:sz w:val="20"/>
                <w:szCs w:val="20"/>
              </w:rPr>
              <w:t xml:space="preserve">Transmissions dissimulées dans le continuum mental de disciples désignés, « activées » en méditation</w:t>
            </w:r>
          </w:p>
        </w:tc>
        <w:tc>
          <w:tcPr>
            <w:shd w:fill="EEF2F7" w:val="clear"/>
          </w:tcPr>
          <w:p>
            <w:r>
              <w:rPr>
                <w:rFonts w:ascii="Times New Roman" w:cs="Times New Roman" w:eastAsia="Times New Roman" w:hAnsi="Times New Roman"/>
                <w:color w:val="1F2937"/>
                <w:sz w:val="20"/>
                <w:szCs w:val="20"/>
              </w:rPr>
              <w:t xml:space="preserve">Conscience du tertön — aucun objet physique</w:t>
            </w:r>
          </w:p>
        </w:tc>
      </w:tr>
    </w:tbl>
    <w:p>
      <w:pPr>
        <w:spacing w:after="40" w:before="60"/>
      </w:pPr>
    </w:p>
    <w:p>
      <w:pPr>
        <w:spacing w:after="60" w:before="60"/>
      </w:pPr>
      <w:r>
        <w:rPr>
          <w:rFonts w:ascii="Times New Roman" w:cs="Times New Roman" w:eastAsia="Times New Roman" w:hAnsi="Times New Roman"/>
          <w:color w:val="1F2937"/>
          <w:sz w:val="22"/>
          <w:szCs w:val="22"/>
        </w:rPr>
        <w:t xml:space="preserve">Note sur le régime de ce tableau : ces deux catégories sont des cadres doctrinaux de la tradition nyingma, non des catégories vérifiées par une étude empirique externe.</w:t>
      </w:r>
    </w:p>
    <w:p>
      <w:pPr>
        <w:spacing w:after="60" w:before="60"/>
      </w:pPr>
      <w:r>
        <w:rPr>
          <w:rFonts w:ascii="Times New Roman" w:cs="Times New Roman" w:eastAsia="Times New Roman" w:hAnsi="Times New Roman"/>
          <w:color w:val="1F2937"/>
          <w:sz w:val="22"/>
          <w:szCs w:val="22"/>
        </w:rPr>
        <w:t xml:space="preserve">Le Longchen Nyingtik est un terma mental : Jigme Lingpa n'a pas trouvé de texte dissimulé dans la terre, mais a « éveillé » un cycle complet d'enseignements à l'intérieur de son propre esprit lors d'une expérience visionnaire. Selon la tradition rapportée par Wikipedia (Terma), le tertön doit transcrire la révélation deux fois de mémoire en une seule séance ininterrompue, et les deux versions sont comparées pour en authentifier la cohérence.</w:t>
      </w:r>
    </w:p>
    <w:p>
      <w:pPr>
        <w:pStyle w:val="Heading3"/>
        <w:spacing w:after="60" w:before="200"/>
      </w:pPr>
      <w:r>
        <w:rPr>
          <w:rFonts w:ascii="Times New Roman" w:cs="Times New Roman" w:eastAsia="Times New Roman" w:hAnsi="Times New Roman"/>
          <w:b/>
          <w:bCs/>
          <w:color w:val="1F2937"/>
          <w:sz w:val="26"/>
          <w:szCs w:val="26"/>
        </w:rPr>
        <w:t xml:space="preserve">3. La révélation du Longchen Nyingtik — trois moments clés</w:t>
      </w:r>
    </w:p>
    <w:p>
      <w:pPr>
        <w:spacing w:after="60" w:before="60"/>
      </w:pPr>
      <w:r>
        <w:rPr>
          <w:rFonts w:ascii="Times New Roman" w:cs="Times New Roman" w:eastAsia="Times New Roman" w:hAnsi="Times New Roman"/>
          <w:color w:val="1F2937"/>
          <w:sz w:val="22"/>
          <w:szCs w:val="22"/>
        </w:rPr>
        <w:t xml:space="preserve">Le Longchen Nyingtik ne surgit pas d'un seul coup : sa révélation se déroule sur plusieurs années.</w:t>
      </w:r>
    </w:p>
    <w:p>
      <w:pPr>
        <w:spacing w:after="20" w:before="100"/>
      </w:pPr>
      <w:r>
        <w:rPr>
          <w:rFonts w:ascii="Times New Roman" w:cs="Times New Roman" w:eastAsia="Times New Roman" w:hAnsi="Times New Roman"/>
          <w:b/>
          <w:bCs/>
          <w:color w:val="1F2937"/>
          <w:sz w:val="22"/>
          <w:szCs w:val="22"/>
        </w:rPr>
        <w:t xml:space="preserve">Premier moment — 1757 : la vision fondatrice</w:t>
      </w:r>
    </w:p>
    <w:p>
      <w:pPr>
        <w:spacing w:after="60" w:before="60"/>
      </w:pPr>
      <w:r>
        <w:rPr>
          <w:rFonts w:ascii="Times New Roman" w:cs="Times New Roman" w:eastAsia="Times New Roman" w:hAnsi="Times New Roman"/>
          <w:color w:val="1F2937"/>
          <w:sz w:val="22"/>
          <w:szCs w:val="22"/>
        </w:rPr>
        <w:t xml:space="preserve">Selon Tulku Thondup (rapporté par Wikipedia / Jigme Lingpa) :</w:t>
      </w:r>
    </w:p>
    <w:p>
      <w:pPr>
        <w:shd w:fill="F3F4F6" w:val="clear"/>
        <w:spacing w:after="80" w:before="80"/>
        <w:ind w:left="360" w:right="360"/>
      </w:pPr>
      <w:r>
        <w:rPr>
          <w:rFonts w:ascii="Times New Roman" w:cs="Times New Roman" w:eastAsia="Times New Roman" w:hAnsi="Times New Roman"/>
          <w:i/>
          <w:iCs/>
          <w:color w:val="1B3A6B"/>
          <w:sz w:val="22"/>
          <w:szCs w:val="22"/>
        </w:rPr>
        <w:t xml:space="preserve">« </w:t>
      </w:r>
      <w:r>
        <w:rPr>
          <w:rFonts w:ascii="Times New Roman" w:cs="Times New Roman" w:eastAsia="Times New Roman" w:hAnsi="Times New Roman"/>
          <w:i/>
          <w:iCs/>
          <w:color w:val="1B3A6B"/>
          <w:sz w:val="22"/>
          <w:szCs w:val="22"/>
        </w:rPr>
        <w:t xml:space="preserve">In the evening of the twenty-fifth day of the tenth month of the Fire Ox year of the thirteenth Rabjung cycle (1757), Jikmé Lingpa went to bed with an unbearable devotion to Guru Rinpoche in his heart; a stream of tears of sadness continuously wet his face because he was not in Guru Rinpoche's presence [...]. He remained in the depths of that meditation experience of clear luminosity for a long time. While being absorbed in that luminous clarity, he experienced flying a long distance through the sky while riding a white lion.</w:t>
      </w:r>
      <w:r>
        <w:rPr>
          <w:rFonts w:ascii="Times New Roman" w:cs="Times New Roman" w:eastAsia="Times New Roman" w:hAnsi="Times New Roman"/>
          <w:i/>
          <w:iCs/>
          <w:color w:val="1B3A6B"/>
          <w:sz w:val="22"/>
          <w:szCs w:val="22"/>
        </w:rPr>
        <w:t xml:space="preserve"> »</w:t>
      </w:r>
      <w:r>
        <w:rPr>
          <w:rFonts w:ascii="Times New Roman" w:cs="Times New Roman" w:eastAsia="Times New Roman" w:hAnsi="Times New Roman"/>
          <w:i/>
          <w:iCs/>
          <w:color w:val="6B7280"/>
          <w:sz w:val="20"/>
          <w:szCs w:val="20"/>
        </w:rPr>
        <w:t xml:space="preserve"> — Tulku Thondup, rapporté par Wikipedia / Jigme Lingpa, référence Thondup (1994/1996), pp. 122-123</w:t>
      </w:r>
    </w:p>
    <w:p>
      <w:pPr>
        <w:spacing w:after="60" w:before="60"/>
      </w:pPr>
      <w:r>
        <w:rPr>
          <w:rFonts w:ascii="Times New Roman" w:cs="Times New Roman" w:eastAsia="Times New Roman" w:hAnsi="Times New Roman"/>
          <w:color w:val="1F2937"/>
          <w:sz w:val="22"/>
          <w:szCs w:val="22"/>
        </w:rPr>
        <w:t xml:space="preserve">Dans cette vision, des ḍākinīs lui remettent un coffre contenant cinq rouleaux jaunes et sept perles de cristal. Sur instruction d'une ḍākinī, il avale ces objets. Selon Tulku Thondup : « all the words and meaning of the Longchen Nyingtik terma were awakened in his mind » (ibid.). Jigme Lingpa « kept this terma secret for years » (Wikipedia) — deux ans si l'on compte de 1757 à 1759, mais la source ne donne pas de nombre.</w:t>
      </w:r>
      <w:r>
        <w:rPr>
          <w:rFonts w:ascii="Times New Roman" w:cs="Times New Roman" w:eastAsia="Times New Roman" w:hAnsi="Times New Roman"/>
          <w:i/>
          <w:iCs/>
          <w:color w:val="6B7280"/>
          <w:sz w:val="20"/>
          <w:szCs w:val="20"/>
        </w:rPr>
        <w:t xml:space="preserve"> [Corrigé le 24/09/2026 : « pendant deux ans » était une déduction (1757 → 1759) présentée comme un fait de la source, qui écrit « for years ».]</w:t>
      </w:r>
    </w:p>
    <w:p>
      <w:pPr>
        <w:spacing w:after="20" w:before="100"/>
      </w:pPr>
      <w:r>
        <w:rPr>
          <w:rFonts w:ascii="Times New Roman" w:cs="Times New Roman" w:eastAsia="Times New Roman" w:hAnsi="Times New Roman"/>
          <w:b/>
          <w:bCs/>
          <w:color w:val="1F2937"/>
          <w:sz w:val="22"/>
          <w:szCs w:val="22"/>
        </w:rPr>
        <w:t xml:space="preserve">Deuxième moment — 1759-1764 : la transcription</w:t>
      </w:r>
    </w:p>
    <w:p>
      <w:pPr>
        <w:spacing w:after="60" w:before="60"/>
      </w:pPr>
      <w:r>
        <w:rPr>
          <w:rFonts w:ascii="Times New Roman" w:cs="Times New Roman" w:eastAsia="Times New Roman" w:hAnsi="Times New Roman"/>
          <w:color w:val="1F2937"/>
          <w:sz w:val="22"/>
          <w:szCs w:val="22"/>
        </w:rPr>
        <w:t xml:space="preserve">Selon Tulku Thondup (ibid.) :</w:t>
      </w:r>
    </w:p>
    <w:p>
      <w:pPr>
        <w:shd w:fill="F3F4F6" w:val="clear"/>
        <w:spacing w:after="80" w:before="80"/>
        <w:ind w:left="360" w:right="360"/>
      </w:pPr>
      <w:r>
        <w:rPr>
          <w:rFonts w:ascii="Times New Roman" w:cs="Times New Roman" w:eastAsia="Times New Roman" w:hAnsi="Times New Roman"/>
          <w:i/>
          <w:iCs/>
          <w:color w:val="1B3A6B"/>
          <w:sz w:val="22"/>
          <w:szCs w:val="22"/>
        </w:rPr>
        <w:t xml:space="preserve">« </w:t>
      </w:r>
      <w:r>
        <w:rPr>
          <w:rFonts w:ascii="Times New Roman" w:cs="Times New Roman" w:eastAsia="Times New Roman" w:hAnsi="Times New Roman"/>
          <w:i/>
          <w:iCs/>
          <w:color w:val="1B3A6B"/>
          <w:sz w:val="22"/>
          <w:szCs w:val="22"/>
        </w:rPr>
        <w:t xml:space="preserve">In the earth-hare year (1759) he started another three-year retreat at Chimpu. During that retreat, because he was inspired by three successive pure visions of Longchen Rabjam, and he was urged by repeated requests of ḍākinīs, he transcribed his terma as the cycle of Longchen Nyingtik.</w:t>
      </w:r>
      <w:r>
        <w:rPr>
          <w:rFonts w:ascii="Times New Roman" w:cs="Times New Roman" w:eastAsia="Times New Roman" w:hAnsi="Times New Roman"/>
          <w:i/>
          <w:iCs/>
          <w:color w:val="1B3A6B"/>
          <w:sz w:val="22"/>
          <w:szCs w:val="22"/>
        </w:rPr>
        <w:t xml:space="preserve"> »</w:t>
      </w:r>
      <w:r>
        <w:rPr>
          <w:rFonts w:ascii="Times New Roman" w:cs="Times New Roman" w:eastAsia="Times New Roman" w:hAnsi="Times New Roman"/>
          <w:i/>
          <w:iCs/>
          <w:color w:val="6B7280"/>
          <w:sz w:val="20"/>
          <w:szCs w:val="20"/>
        </w:rPr>
        <w:t xml:space="preserve"> — Tulku Thondup, ibid.</w:t>
      </w:r>
    </w:p>
    <w:p>
      <w:pPr>
        <w:spacing w:after="60" w:before="60"/>
      </w:pPr>
      <w:r>
        <w:rPr>
          <w:rFonts w:ascii="Times New Roman" w:cs="Times New Roman" w:eastAsia="Times New Roman" w:hAnsi="Times New Roman"/>
          <w:color w:val="1F2937"/>
          <w:sz w:val="22"/>
          <w:szCs w:val="22"/>
        </w:rPr>
        <w:t xml:space="preserve">Chimpu est un lieu de retraite en falaise près du monastère de Samye — exactement là où Longchenpa lui-même avait séjourné au XIVe siècle. Les trois visions de Longchenpa (Longchen Rabjam) constituent le lien de transmission entre les deux maîtres séparés de près de quatre siècles.</w:t>
      </w:r>
    </w:p>
    <w:p>
      <w:pPr>
        <w:spacing w:after="20" w:before="100"/>
      </w:pPr>
      <w:r>
        <w:rPr>
          <w:rFonts w:ascii="Times New Roman" w:cs="Times New Roman" w:eastAsia="Times New Roman" w:hAnsi="Times New Roman"/>
          <w:b/>
          <w:bCs/>
          <w:color w:val="1F2937"/>
          <w:sz w:val="22"/>
          <w:szCs w:val="22"/>
        </w:rPr>
        <w:t xml:space="preserve">Troisième moment — 1764 : la première transmission publique</w:t>
      </w:r>
    </w:p>
    <w:p>
      <w:pPr>
        <w:spacing w:after="60" w:before="60"/>
      </w:pPr>
      <w:r>
        <w:rPr>
          <w:rFonts w:ascii="Times New Roman" w:cs="Times New Roman" w:eastAsia="Times New Roman" w:hAnsi="Times New Roman"/>
          <w:color w:val="1F2937"/>
          <w:sz w:val="22"/>
          <w:szCs w:val="22"/>
        </w:rPr>
        <w:t xml:space="preserve">Toujours selon Tulku Thondup : le 10e jour du 6e mois de l'année du Singe (1764), Jigme Lingpa transmet pour la première fois le cycle à quinze disciples par les empouvoirements et les instructions (ibid.). Deux d'entre eux deviennent les principaux héritiers de la lignée : le Premier Dodrupchen Jigme Trinle Özer et Jigme Gyalwe Nyugu.</w:t>
      </w:r>
    </w:p>
    <w:p>
      <w:pPr>
        <w:pStyle w:val="Heading3"/>
        <w:spacing w:after="60" w:before="200"/>
      </w:pPr>
      <w:r>
        <w:rPr>
          <w:rFonts w:ascii="Times New Roman" w:cs="Times New Roman" w:eastAsia="Times New Roman" w:hAnsi="Times New Roman"/>
          <w:b/>
          <w:bCs/>
          <w:color w:val="1F2937"/>
          <w:sz w:val="26"/>
          <w:szCs w:val="26"/>
        </w:rPr>
        <w:t xml:space="preserve">4. Le Longchen Nyingtik — structure et portée</w:t>
      </w:r>
    </w:p>
    <w:p>
      <w:pPr>
        <w:spacing w:after="60" w:before="60"/>
      </w:pPr>
      <w:r>
        <w:rPr>
          <w:rFonts w:ascii="Times New Roman" w:cs="Times New Roman" w:eastAsia="Times New Roman" w:hAnsi="Times New Roman"/>
          <w:color w:val="1F2937"/>
          <w:sz w:val="22"/>
          <w:szCs w:val="22"/>
        </w:rPr>
        <w:t xml:space="preserve">Le nom « Longchen Nyingtik » signifie littéralement l'essence intérieure (nyingtik) de la Vaste Étendue (longchen) — le mot longchen faisant écho à la fois au nom de Longchenpa et au terme tibétain désignant le vaste espace de la conscience primordiale.</w:t>
      </w:r>
    </w:p>
    <w:p>
      <w:pPr>
        <w:spacing w:after="60" w:before="60"/>
      </w:pPr>
      <w:r>
        <w:rPr>
          <w:rFonts w:ascii="Times New Roman" w:cs="Times New Roman" w:eastAsia="Times New Roman" w:hAnsi="Times New Roman"/>
          <w:color w:val="1F2937"/>
          <w:sz w:val="22"/>
          <w:szCs w:val="22"/>
        </w:rPr>
        <w:t xml:space="preserve">Le cycle « constitutes a complete path to enlightenment » selon Dilgo Khyentse Rinpoché, cité par Wikipedia / Longchen Nyingtik, où Sam van Schaik en détaille les 21 sections thématiques :</w:t>
      </w:r>
      <w:r>
        <w:rPr>
          <w:rFonts w:ascii="Times New Roman" w:cs="Times New Roman" w:eastAsia="Times New Roman" w:hAnsi="Times New Roman"/>
          <w:i/>
          <w:iCs/>
          <w:color w:val="6B7280"/>
          <w:sz w:val="20"/>
          <w:szCs w:val="20"/>
        </w:rPr>
        <w:t xml:space="preserve"> [Corrigé le 24/09/2026 : « selon longchennyingtik.org » — ce site ne porte ni le nombre 21 ni le mot « sections » sur ses pages The History et The Practice, rouvertes le 24/09. Les 21 sections sont celles que Sam van Schaik énumère sur Wikipedia / Longchen Nyingtik, et « a complete path to enlightenment » y est la phrase de Dilgo Khyentse Rinpoché. Le nombre et la liste étaient justes ; leur source ne l'était pas.]</w:t>
      </w:r>
    </w:p>
    <w:p>
      <w:pPr>
        <w:spacing w:after="40" w:before="40"/>
        <w:ind w:left="360" w:hanging="360"/>
      </w:pPr>
      <w:r>
        <w:rPr>
          <w:rFonts w:ascii="Times New Roman" w:cs="Times New Roman" w:eastAsia="Times New Roman" w:hAnsi="Times New Roman"/>
          <w:color w:val="1F2937"/>
          <w:sz w:val="22"/>
          <w:szCs w:val="22"/>
        </w:rPr>
        <w:t xml:space="preserve">• Pratiques préliminaires (ngöndro) — thème de la leçon 9 ;</w:t>
      </w:r>
    </w:p>
    <w:p>
      <w:pPr>
        <w:spacing w:after="40" w:before="40"/>
        <w:ind w:left="360" w:hanging="360"/>
      </w:pPr>
      <w:r>
        <w:rPr>
          <w:rFonts w:ascii="Times New Roman" w:cs="Times New Roman" w:eastAsia="Times New Roman" w:hAnsi="Times New Roman"/>
          <w:color w:val="1F2937"/>
          <w:sz w:val="22"/>
          <w:szCs w:val="22"/>
        </w:rPr>
        <w:t xml:space="preserve">• Guru yoga (Rigdzin Düpa, centré sur Padmasambhava) ;</w:t>
      </w:r>
    </w:p>
    <w:p>
      <w:pPr>
        <w:spacing w:after="40" w:before="40"/>
        <w:ind w:left="360" w:hanging="360"/>
      </w:pPr>
      <w:r>
        <w:rPr>
          <w:rFonts w:ascii="Times New Roman" w:cs="Times New Roman" w:eastAsia="Times New Roman" w:hAnsi="Times New Roman"/>
          <w:color w:val="1F2937"/>
          <w:sz w:val="22"/>
          <w:szCs w:val="22"/>
        </w:rPr>
        <w:t xml:space="preserve">• Pratiques de divinités et de protecteurs ;</w:t>
      </w:r>
    </w:p>
    <w:p>
      <w:pPr>
        <w:spacing w:after="40" w:before="40"/>
        <w:ind w:left="360" w:hanging="360"/>
      </w:pPr>
      <w:r>
        <w:rPr>
          <w:rFonts w:ascii="Times New Roman" w:cs="Times New Roman" w:eastAsia="Times New Roman" w:hAnsi="Times New Roman"/>
          <w:color w:val="1F2937"/>
          <w:sz w:val="22"/>
          <w:szCs w:val="22"/>
        </w:rPr>
        <w:t xml:space="preserve">• Travail sur les canaux et les vents (tsa lung) ;</w:t>
      </w:r>
    </w:p>
    <w:p>
      <w:pPr>
        <w:spacing w:after="40" w:before="40"/>
        <w:ind w:left="360" w:hanging="360"/>
      </w:pPr>
      <w:r>
        <w:rPr>
          <w:rFonts w:ascii="Times New Roman" w:cs="Times New Roman" w:eastAsia="Times New Roman" w:hAnsi="Times New Roman"/>
          <w:color w:val="1F2937"/>
          <w:sz w:val="22"/>
          <w:szCs w:val="22"/>
        </w:rPr>
        <w:t xml:space="preserve">• Ati Yoga / Dzogchen — le cœur innermost du cycle.</w:t>
      </w:r>
    </w:p>
    <w:p>
      <w:pPr>
        <w:spacing w:after="60" w:before="60"/>
      </w:pPr>
      <w:r>
        <w:rPr>
          <w:rFonts w:ascii="Times New Roman" w:cs="Times New Roman" w:eastAsia="Times New Roman" w:hAnsi="Times New Roman"/>
          <w:color w:val="1F2937"/>
          <w:sz w:val="22"/>
          <w:szCs w:val="22"/>
        </w:rPr>
        <w:t xml:space="preserve">Lotsawa House recense 122 traductions anglaises de textes du Longchen Nyingtik, auxquelles s'ajoutent des versions en français (37), en espagnol (12), en allemand (20) et d'autres langues.</w:t>
      </w:r>
    </w:p>
    <w:p>
      <w:pPr>
        <w:pStyle w:val="Heading3"/>
        <w:spacing w:after="60" w:before="200"/>
      </w:pPr>
      <w:r>
        <w:rPr>
          <w:rFonts w:ascii="Times New Roman" w:cs="Times New Roman" w:eastAsia="Times New Roman" w:hAnsi="Times New Roman"/>
          <w:b/>
          <w:bCs/>
          <w:color w:val="1F2937"/>
          <w:sz w:val="26"/>
          <w:szCs w:val="26"/>
        </w:rPr>
        <w:t xml:space="preserve">5. La lignée après Jigme Lingpa</w:t>
      </w:r>
    </w:p>
    <w:p>
      <w:pPr>
        <w:spacing w:after="60" w:before="60"/>
      </w:pPr>
      <w:r>
        <w:rPr>
          <w:rFonts w:ascii="Times New Roman" w:cs="Times New Roman" w:eastAsia="Times New Roman" w:hAnsi="Times New Roman"/>
          <w:color w:val="1F2937"/>
          <w:sz w:val="22"/>
          <w:szCs w:val="22"/>
        </w:rPr>
        <w:t xml:space="preserve">La diffusion du Longchen Nyingtik passe principalement par :</w:t>
      </w:r>
    </w:p>
    <w:p>
      <w:pPr>
        <w:spacing w:after="40" w:before="40"/>
        <w:ind w:left="360" w:hanging="360"/>
      </w:pPr>
      <w:r>
        <w:rPr>
          <w:rFonts w:ascii="Times New Roman" w:cs="Times New Roman" w:eastAsia="Times New Roman" w:hAnsi="Times New Roman"/>
          <w:color w:val="1F2937"/>
          <w:sz w:val="22"/>
          <w:szCs w:val="22"/>
        </w:rPr>
        <w:t xml:space="preserve">• Dodrupchen Jigme Trinle Özer (1745-1821) — « the First Dodrupchen, Jigme Trinle Özer (1745–1821) » selon Lotsawa House, qui le donne comme compilateur du ngöndro du Longchen Nyingtik ;</w:t>
      </w:r>
      <w:r>
        <w:rPr>
          <w:rFonts w:ascii="Times New Roman" w:cs="Times New Roman" w:eastAsia="Times New Roman" w:hAnsi="Times New Roman"/>
          <w:i/>
          <w:iCs/>
          <w:color w:val="6B7280"/>
          <w:sz w:val="20"/>
          <w:szCs w:val="20"/>
        </w:rPr>
        <w:t xml:space="preserve"> [Corrigé le 24/09/2026 : les dates étaient justes mais sans source affichée ; elles sont sur la page Lotsawa House déjà listée en ressources, qui donne aussi ce qu'il a fait. « Propagateur au Kham oriental » n'est sur aucune page ouverte : retiré.]</w:t>
      </w:r>
    </w:p>
    <w:p>
      <w:pPr>
        <w:spacing w:after="40" w:before="40"/>
        <w:ind w:left="360" w:hanging="360"/>
      </w:pPr>
      <w:r>
        <w:rPr>
          <w:rFonts w:ascii="Times New Roman" w:cs="Times New Roman" w:eastAsia="Times New Roman" w:hAnsi="Times New Roman"/>
          <w:color w:val="1F2937"/>
          <w:sz w:val="22"/>
          <w:szCs w:val="22"/>
        </w:rPr>
        <w:t xml:space="preserve">• Patrul Rinpoche — parmi les émanations reconnues de Jigme Lingpa ; auteur du célèbre La Parole de mon Maître Parfait (Kunzang Lama'i Shelung) commentant le ngöndro du Longchen Nyingtik ;</w:t>
      </w:r>
    </w:p>
    <w:p>
      <w:pPr>
        <w:spacing w:after="40" w:before="40"/>
        <w:ind w:left="360" w:hanging="360"/>
      </w:pPr>
      <w:r>
        <w:rPr>
          <w:rFonts w:ascii="Times New Roman" w:cs="Times New Roman" w:eastAsia="Times New Roman" w:hAnsi="Times New Roman"/>
          <w:color w:val="1F2937"/>
          <w:sz w:val="22"/>
          <w:szCs w:val="22"/>
        </w:rPr>
        <w:t xml:space="preserve">• Jamyang Khyentse Wangpo (1820-1892) — selon Alexander Gardner (Treasury of Lives, dans Tricycle), l'une des trois réincarnations de Jigme Lingpa qui ont été identifiées, et lui-même « had eight recognized incarnations » ;</w:t>
      </w:r>
      <w:r>
        <w:rPr>
          <w:rFonts w:ascii="Times New Roman" w:cs="Times New Roman" w:eastAsia="Times New Roman" w:hAnsi="Times New Roman"/>
          <w:i/>
          <w:iCs/>
          <w:color w:val="6B7280"/>
          <w:sz w:val="20"/>
          <w:szCs w:val="20"/>
        </w:rPr>
        <w:t xml:space="preserve"> [Corrigé le 24/09/2026 : deux choses. ① « selon Tricycle » → l'auteur de l'article, Alexander Gardner. ② « figure centrale du mouvement rimé » n'est PAS sur cette page : zéro occurrence de « rime », « rimé », « nonsectarian » ou « ecumenical ». C'est Wikipedia qui rattache le rimé au parcours — et à Jigme Lingpa lui-même : « A major precursor of the Rimé movement ». Ce que Gardner écrit a pris la place.]</w:t>
      </w:r>
    </w:p>
    <w:p>
      <w:pPr>
        <w:spacing w:after="40" w:before="40"/>
        <w:ind w:left="360" w:hanging="360"/>
      </w:pPr>
      <w:r>
        <w:rPr>
          <w:rFonts w:ascii="Times New Roman" w:cs="Times New Roman" w:eastAsia="Times New Roman" w:hAnsi="Times New Roman"/>
          <w:color w:val="1F2937"/>
          <w:sz w:val="22"/>
          <w:szCs w:val="22"/>
        </w:rPr>
        <w:t xml:space="preserve">• Dilgo Khyentse Rinpoché et Dzongsar Khyentse — cités par Alexander Gardner (Tricycle) parmi ceux de cette lignée d'incarnations « active in the propagation of Buddhism outside of Tibet », avec Beru Khyentse, Jigme Khyentse et Alak Zenkar.</w:t>
      </w:r>
    </w:p>
    <w:p>
      <w:pPr>
        <w:spacing w:after="40" w:before="40"/>
        <w:ind w:left="720"/>
      </w:pPr>
      <w:r>
        <w:rPr>
          <w:rFonts w:ascii="Times New Roman" w:cs="Times New Roman" w:eastAsia="Times New Roman" w:hAnsi="Times New Roman"/>
          <w:i/>
          <w:iCs/>
          <w:color w:val="6B7280"/>
          <w:sz w:val="20"/>
          <w:szCs w:val="20"/>
        </w:rPr>
        <w:t xml:space="preserve">Note : les « émanations reconnues » (reborn as) relèvent du système de croyances du bouddhisme tibétain, non d'une vérification externe.</w:t>
      </w:r>
    </w:p>
    <w:p>
      <w:pPr>
        <w:spacing w:after="120" w:before="120"/>
      </w:pPr>
      <w:r>
        <w:rPr>
          <w:rFonts w:ascii="Times New Roman" w:cs="Times New Roman" w:eastAsia="Times New Roman" w:hAnsi="Times New Roman"/>
          <w:color w:val="D1D5DB"/>
          <w:sz w:val="18"/>
          <w:szCs w:val="18"/>
        </w:rPr>
        <w:t xml:space="preserve">─────────────────────────────────────────────</w:t>
      </w:r>
    </w:p>
    <w:p>
      <w:pPr>
        <w:pStyle w:val="Heading2"/>
        <w:spacing w:after="80" w:before="280"/>
      </w:pPr>
      <w:r>
        <w:rPr>
          <w:rFonts w:ascii="Times New Roman" w:cs="Times New Roman" w:eastAsia="Times New Roman" w:hAnsi="Times New Roman"/>
          <w:b/>
          <w:bCs/>
          <w:color w:val="1B3A6B"/>
          <w:sz w:val="30"/>
          <w:szCs w:val="30"/>
        </w:rPr>
        <w:t xml:space="preserve">🛠️ Pratique (80%)</w:t>
      </w:r>
    </w:p>
    <w:p>
      <w:pPr>
        <w:pStyle w:val="Heading3"/>
        <w:spacing w:after="60" w:before="200"/>
      </w:pPr>
      <w:r>
        <w:rPr>
          <w:rFonts w:ascii="Times New Roman" w:cs="Times New Roman" w:eastAsia="Times New Roman" w:hAnsi="Times New Roman"/>
          <w:b/>
          <w:bCs/>
          <w:color w:val="1F2937"/>
          <w:sz w:val="26"/>
          <w:szCs w:val="26"/>
        </w:rPr>
        <w:t xml:space="preserve">Exercice 1 — Tableau chronologique actif (15-20 min)</w:t>
      </w:r>
    </w:p>
    <w:p>
      <w:pPr>
        <w:spacing w:after="60" w:before="60"/>
      </w:pPr>
      <w:r>
        <w:rPr>
          <w:rFonts w:ascii="Times New Roman" w:cs="Times New Roman" w:eastAsia="Times New Roman" w:hAnsi="Times New Roman"/>
          <w:color w:val="1F2937"/>
          <w:sz w:val="22"/>
          <w:szCs w:val="22"/>
        </w:rPr>
        <w:t xml:space="preserve">Recopie ce tableau à la main ou dans un document, puis complète les colonnes vides SANS regarder la leçon. L'objectif est d'ancrer les trois moments de la révélation dans la mémoire à long terme.</w:t>
      </w:r>
    </w:p>
    <w:p>
      <w:pPr>
        <w:spacing w:after="4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B3A6B" w:val="clear"/>
          </w:tcPr>
          <w:p>
            <w:pPr>
              <w:jc w:val="center"/>
            </w:pPr>
            <w:r>
              <w:rPr>
                <w:rFonts w:ascii="Times New Roman" w:cs="Times New Roman" w:eastAsia="Times New Roman" w:hAnsi="Times New Roman"/>
                <w:b/>
                <w:bCs/>
                <w:color w:val="FFFFFF"/>
                <w:sz w:val="20"/>
                <w:szCs w:val="20"/>
              </w:rPr>
              <w:t xml:space="preserve">Événement</w:t>
            </w:r>
          </w:p>
        </w:tc>
        <w:tc>
          <w:tcPr>
            <w:shd w:fill="1B3A6B" w:val="clear"/>
          </w:tcPr>
          <w:p>
            <w:pPr>
              <w:jc w:val="center"/>
            </w:pPr>
            <w:r>
              <w:rPr>
                <w:rFonts w:ascii="Times New Roman" w:cs="Times New Roman" w:eastAsia="Times New Roman" w:hAnsi="Times New Roman"/>
                <w:b/>
                <w:bCs/>
                <w:color w:val="FFFFFF"/>
                <w:sz w:val="20"/>
                <w:szCs w:val="20"/>
              </w:rPr>
              <w:t xml:space="preserve">Date (année)</w:t>
            </w:r>
          </w:p>
        </w:tc>
        <w:tc>
          <w:tcPr>
            <w:shd w:fill="1B3A6B" w:val="clear"/>
          </w:tcPr>
          <w:p>
            <w:pPr>
              <w:jc w:val="center"/>
            </w:pPr>
            <w:r>
              <w:rPr>
                <w:rFonts w:ascii="Times New Roman" w:cs="Times New Roman" w:eastAsia="Times New Roman" w:hAnsi="Times New Roman"/>
                <w:b/>
                <w:bCs/>
                <w:color w:val="FFFFFF"/>
                <w:sz w:val="20"/>
                <w:szCs w:val="20"/>
              </w:rPr>
              <w:t xml:space="preserve">Qui fait quoi</w:t>
            </w:r>
          </w:p>
        </w:tc>
        <w:tc>
          <w:tcPr>
            <w:shd w:fill="1B3A6B" w:val="clear"/>
          </w:tcPr>
          <w:p>
            <w:pPr>
              <w:jc w:val="center"/>
            </w:pPr>
            <w:r>
              <w:rPr>
                <w:rFonts w:ascii="Times New Roman" w:cs="Times New Roman" w:eastAsia="Times New Roman" w:hAnsi="Times New Roman"/>
                <w:b/>
                <w:bCs/>
                <w:color w:val="FFFFFF"/>
                <w:sz w:val="20"/>
                <w:szCs w:val="20"/>
              </w:rPr>
              <w:t xml:space="preserve">Régime (type de fait)</w:t>
            </w:r>
          </w:p>
        </w:tc>
      </w:tr>
      <w:tr>
        <w:tc>
          <w:tcPr>
            <w:shd w:fill="FFFFFF" w:val="clear"/>
          </w:tcPr>
          <w:p>
            <w:r>
              <w:rPr>
                <w:rFonts w:ascii="Times New Roman" w:cs="Times New Roman" w:eastAsia="Times New Roman" w:hAnsi="Times New Roman"/>
                <w:color w:val="1F2937"/>
                <w:sz w:val="20"/>
                <w:szCs w:val="20"/>
              </w:rPr>
              <w:t xml:space="preserve">La vision fondatrice</w:t>
            </w:r>
          </w:p>
        </w:tc>
        <w:tc>
          <w:tcPr>
            <w:shd w:fill="FFFFFF" w:val="clear"/>
          </w:tcPr>
          <w:p>
            <w:r>
              <w:rPr>
                <w:rFonts w:ascii="Times New Roman" w:cs="Times New Roman" w:eastAsia="Times New Roman" w:hAnsi="Times New Roman"/>
                <w:color w:val="1F2937"/>
                <w:sz w:val="20"/>
                <w:szCs w:val="20"/>
              </w:rPr>
              <w:t xml:space="preserve">?</w:t>
            </w:r>
          </w:p>
        </w:tc>
        <w:tc>
          <w:tcPr>
            <w:shd w:fill="FFFFFF" w:val="clear"/>
          </w:tcPr>
          <w:p>
            <w:r>
              <w:rPr>
                <w:rFonts w:ascii="Times New Roman" w:cs="Times New Roman" w:eastAsia="Times New Roman" w:hAnsi="Times New Roman"/>
                <w:color w:val="1F2937"/>
                <w:sz w:val="20"/>
                <w:szCs w:val="20"/>
              </w:rPr>
              <w:t xml:space="preserve">?</w:t>
            </w:r>
          </w:p>
        </w:tc>
        <w:tc>
          <w:tcPr>
            <w:shd w:fill="FFFFFF" w:val="clear"/>
          </w:tcPr>
          <w:p>
            <w:r>
              <w:rPr>
                <w:rFonts w:ascii="Times New Roman" w:cs="Times New Roman" w:eastAsia="Times New Roman" w:hAnsi="Times New Roman"/>
                <w:color w:val="1F2937"/>
                <w:sz w:val="20"/>
                <w:szCs w:val="20"/>
              </w:rPr>
              <w:t xml:space="preserve">?</w:t>
            </w:r>
          </w:p>
        </w:tc>
      </w:tr>
      <w:tr>
        <w:tc>
          <w:tcPr>
            <w:shd w:fill="EEF2F7" w:val="clear"/>
          </w:tcPr>
          <w:p>
            <w:r>
              <w:rPr>
                <w:rFonts w:ascii="Times New Roman" w:cs="Times New Roman" w:eastAsia="Times New Roman" w:hAnsi="Times New Roman"/>
                <w:color w:val="1F2937"/>
                <w:sz w:val="20"/>
                <w:szCs w:val="20"/>
              </w:rPr>
              <w:t xml:space="preserve">La transcription du cycle</w:t>
            </w:r>
          </w:p>
        </w:tc>
        <w:tc>
          <w:tcPr>
            <w:shd w:fill="EEF2F7" w:val="clear"/>
          </w:tcPr>
          <w:p>
            <w:r>
              <w:rPr>
                <w:rFonts w:ascii="Times New Roman" w:cs="Times New Roman" w:eastAsia="Times New Roman" w:hAnsi="Times New Roman"/>
                <w:color w:val="1F2937"/>
                <w:sz w:val="20"/>
                <w:szCs w:val="20"/>
              </w:rPr>
              <w:t xml:space="preserve">?</w:t>
            </w:r>
          </w:p>
        </w:tc>
        <w:tc>
          <w:tcPr>
            <w:shd w:fill="EEF2F7" w:val="clear"/>
          </w:tcPr>
          <w:p>
            <w:r>
              <w:rPr>
                <w:rFonts w:ascii="Times New Roman" w:cs="Times New Roman" w:eastAsia="Times New Roman" w:hAnsi="Times New Roman"/>
                <w:color w:val="1F2937"/>
                <w:sz w:val="20"/>
                <w:szCs w:val="20"/>
              </w:rPr>
              <w:t xml:space="preserve">?</w:t>
            </w:r>
          </w:p>
        </w:tc>
        <w:tc>
          <w:tcPr>
            <w:shd w:fill="EEF2F7" w:val="clear"/>
          </w:tcPr>
          <w:p>
            <w:r>
              <w:rPr>
                <w:rFonts w:ascii="Times New Roman" w:cs="Times New Roman" w:eastAsia="Times New Roman" w:hAnsi="Times New Roman"/>
                <w:color w:val="1F2937"/>
                <w:sz w:val="20"/>
                <w:szCs w:val="20"/>
              </w:rPr>
              <w:t xml:space="preserve">?</w:t>
            </w:r>
          </w:p>
        </w:tc>
      </w:tr>
      <w:tr>
        <w:tc>
          <w:tcPr>
            <w:shd w:fill="FFFFFF" w:val="clear"/>
          </w:tcPr>
          <w:p>
            <w:r>
              <w:rPr>
                <w:rFonts w:ascii="Times New Roman" w:cs="Times New Roman" w:eastAsia="Times New Roman" w:hAnsi="Times New Roman"/>
                <w:color w:val="1F2937"/>
                <w:sz w:val="20"/>
                <w:szCs w:val="20"/>
              </w:rPr>
              <w:t xml:space="preserve">La première transmission publique</w:t>
            </w:r>
          </w:p>
        </w:tc>
        <w:tc>
          <w:tcPr>
            <w:shd w:fill="FFFFFF" w:val="clear"/>
          </w:tcPr>
          <w:p>
            <w:r>
              <w:rPr>
                <w:rFonts w:ascii="Times New Roman" w:cs="Times New Roman" w:eastAsia="Times New Roman" w:hAnsi="Times New Roman"/>
                <w:color w:val="1F2937"/>
                <w:sz w:val="20"/>
                <w:szCs w:val="20"/>
              </w:rPr>
              <w:t xml:space="preserve">?</w:t>
            </w:r>
          </w:p>
        </w:tc>
        <w:tc>
          <w:tcPr>
            <w:shd w:fill="FFFFFF" w:val="clear"/>
          </w:tcPr>
          <w:p>
            <w:r>
              <w:rPr>
                <w:rFonts w:ascii="Times New Roman" w:cs="Times New Roman" w:eastAsia="Times New Roman" w:hAnsi="Times New Roman"/>
                <w:color w:val="1F2937"/>
                <w:sz w:val="20"/>
                <w:szCs w:val="20"/>
              </w:rPr>
              <w:t xml:space="preserve">?</w:t>
            </w:r>
          </w:p>
        </w:tc>
        <w:tc>
          <w:tcPr>
            <w:shd w:fill="FFFFFF" w:val="clear"/>
          </w:tcPr>
          <w:p>
            <w:r>
              <w:rPr>
                <w:rFonts w:ascii="Times New Roman" w:cs="Times New Roman" w:eastAsia="Times New Roman" w:hAnsi="Times New Roman"/>
                <w:color w:val="1F2937"/>
                <w:sz w:val="20"/>
                <w:szCs w:val="20"/>
              </w:rPr>
              <w:t xml:space="preserve">?</w:t>
            </w:r>
          </w:p>
        </w:tc>
      </w:tr>
    </w:tbl>
    <w:p>
      <w:pPr>
        <w:spacing w:after="40" w:before="80"/>
      </w:pPr>
    </w:p>
    <w:p>
      <w:pPr>
        <w:spacing w:after="60" w:before="60"/>
      </w:pPr>
      <w:r>
        <w:rPr>
          <w:rFonts w:ascii="Times New Roman" w:cs="Times New Roman" w:eastAsia="Times New Roman" w:hAnsi="Times New Roman"/>
          <w:b/>
          <w:bCs/>
          <w:color w:val="1F2937"/>
          <w:sz w:val="22"/>
          <w:szCs w:val="22"/>
        </w:rPr>
        <w:t xml:space="preserve">Corrigé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B3A6B" w:val="clear"/>
          </w:tcPr>
          <w:p>
            <w:pPr>
              <w:jc w:val="center"/>
            </w:pPr>
            <w:r>
              <w:rPr>
                <w:rFonts w:ascii="Times New Roman" w:cs="Times New Roman" w:eastAsia="Times New Roman" w:hAnsi="Times New Roman"/>
                <w:b/>
                <w:bCs/>
                <w:color w:val="FFFFFF"/>
                <w:sz w:val="20"/>
                <w:szCs w:val="20"/>
              </w:rPr>
              <w:t xml:space="preserve">Événement</w:t>
            </w:r>
          </w:p>
        </w:tc>
        <w:tc>
          <w:tcPr>
            <w:shd w:fill="1B3A6B" w:val="clear"/>
          </w:tcPr>
          <w:p>
            <w:pPr>
              <w:jc w:val="center"/>
            </w:pPr>
            <w:r>
              <w:rPr>
                <w:rFonts w:ascii="Times New Roman" w:cs="Times New Roman" w:eastAsia="Times New Roman" w:hAnsi="Times New Roman"/>
                <w:b/>
                <w:bCs/>
                <w:color w:val="FFFFFF"/>
                <w:sz w:val="20"/>
                <w:szCs w:val="20"/>
              </w:rPr>
              <w:t xml:space="preserve">Date (année)</w:t>
            </w:r>
          </w:p>
        </w:tc>
        <w:tc>
          <w:tcPr>
            <w:shd w:fill="1B3A6B" w:val="clear"/>
          </w:tcPr>
          <w:p>
            <w:pPr>
              <w:jc w:val="center"/>
            </w:pPr>
            <w:r>
              <w:rPr>
                <w:rFonts w:ascii="Times New Roman" w:cs="Times New Roman" w:eastAsia="Times New Roman" w:hAnsi="Times New Roman"/>
                <w:b/>
                <w:bCs/>
                <w:color w:val="FFFFFF"/>
                <w:sz w:val="20"/>
                <w:szCs w:val="20"/>
              </w:rPr>
              <w:t xml:space="preserve">Qui fait quoi</w:t>
            </w:r>
          </w:p>
        </w:tc>
        <w:tc>
          <w:tcPr>
            <w:shd w:fill="1B3A6B" w:val="clear"/>
          </w:tcPr>
          <w:p>
            <w:pPr>
              <w:jc w:val="center"/>
            </w:pPr>
            <w:r>
              <w:rPr>
                <w:rFonts w:ascii="Times New Roman" w:cs="Times New Roman" w:eastAsia="Times New Roman" w:hAnsi="Times New Roman"/>
                <w:b/>
                <w:bCs/>
                <w:color w:val="FFFFFF"/>
                <w:sz w:val="20"/>
                <w:szCs w:val="20"/>
              </w:rPr>
              <w:t xml:space="preserve">Régime</w:t>
            </w:r>
          </w:p>
        </w:tc>
      </w:tr>
      <w:tr>
        <w:tc>
          <w:tcPr>
            <w:shd w:fill="FFFFFF" w:val="clear"/>
          </w:tcPr>
          <w:p>
            <w:r>
              <w:rPr>
                <w:rFonts w:ascii="Times New Roman" w:cs="Times New Roman" w:eastAsia="Times New Roman" w:hAnsi="Times New Roman"/>
                <w:color w:val="1F2937"/>
                <w:sz w:val="20"/>
                <w:szCs w:val="20"/>
              </w:rPr>
              <w:t xml:space="preserve">La vision fondatrice</w:t>
            </w:r>
          </w:p>
        </w:tc>
        <w:tc>
          <w:tcPr>
            <w:shd w:fill="FFFFFF" w:val="clear"/>
          </w:tcPr>
          <w:p>
            <w:r>
              <w:rPr>
                <w:rFonts w:ascii="Times New Roman" w:cs="Times New Roman" w:eastAsia="Times New Roman" w:hAnsi="Times New Roman"/>
                <w:color w:val="1F2937"/>
                <w:sz w:val="20"/>
                <w:szCs w:val="20"/>
              </w:rPr>
              <w:t xml:space="preserve">1757</w:t>
            </w:r>
          </w:p>
        </w:tc>
        <w:tc>
          <w:tcPr>
            <w:shd w:fill="FFFFFF" w:val="clear"/>
          </w:tcPr>
          <w:p>
            <w:r>
              <w:rPr>
                <w:rFonts w:ascii="Times New Roman" w:cs="Times New Roman" w:eastAsia="Times New Roman" w:hAnsi="Times New Roman"/>
                <w:color w:val="1F2937"/>
                <w:sz w:val="20"/>
                <w:szCs w:val="20"/>
              </w:rPr>
              <w:t xml:space="preserve">Jigme Lingpa reçoit en rêve éveillé (méditation de clarté lumineuse) le terma du Longchen Nyingtik ; avale cinq rouleaux et sept perles de cristal</w:t>
            </w:r>
          </w:p>
        </w:tc>
        <w:tc>
          <w:tcPr>
            <w:shd w:fill="FFFFFF" w:val="clear"/>
          </w:tcPr>
          <w:p>
            <w:r>
              <w:rPr>
                <w:rFonts w:ascii="Times New Roman" w:cs="Times New Roman" w:eastAsia="Times New Roman" w:hAnsi="Times New Roman"/>
                <w:color w:val="1F2937"/>
                <w:sz w:val="20"/>
                <w:szCs w:val="20"/>
              </w:rPr>
              <w:t xml:space="preserve">Vision/terma mental — récit de tradition rapporté par Tulku Thondup</w:t>
            </w:r>
          </w:p>
        </w:tc>
      </w:tr>
      <w:tr>
        <w:tc>
          <w:tcPr>
            <w:shd w:fill="EEF2F7" w:val="clear"/>
          </w:tcPr>
          <w:p>
            <w:r>
              <w:rPr>
                <w:rFonts w:ascii="Times New Roman" w:cs="Times New Roman" w:eastAsia="Times New Roman" w:hAnsi="Times New Roman"/>
                <w:color w:val="1F2937"/>
                <w:sz w:val="20"/>
                <w:szCs w:val="20"/>
              </w:rPr>
              <w:t xml:space="preserve">La transcription</w:t>
            </w:r>
          </w:p>
        </w:tc>
        <w:tc>
          <w:tcPr>
            <w:shd w:fill="EEF2F7" w:val="clear"/>
          </w:tcPr>
          <w:p>
            <w:r>
              <w:rPr>
                <w:rFonts w:ascii="Times New Roman" w:cs="Times New Roman" w:eastAsia="Times New Roman" w:hAnsi="Times New Roman"/>
                <w:color w:val="1F2937"/>
                <w:sz w:val="20"/>
                <w:szCs w:val="20"/>
              </w:rPr>
              <w:t xml:space="preserve">1759-1764</w:t>
            </w:r>
          </w:p>
        </w:tc>
        <w:tc>
          <w:tcPr>
            <w:shd w:fill="EEF2F7" w:val="clear"/>
          </w:tcPr>
          <w:p>
            <w:r>
              <w:rPr>
                <w:rFonts w:ascii="Times New Roman" w:cs="Times New Roman" w:eastAsia="Times New Roman" w:hAnsi="Times New Roman"/>
                <w:color w:val="1F2937"/>
                <w:sz w:val="20"/>
                <w:szCs w:val="20"/>
              </w:rPr>
              <w:t xml:space="preserve">Lors d'une retraite à Chimpu, inspiré par trois visions de Longchenpa, Jigme Lingpa transcrit le cycle</w:t>
            </w:r>
          </w:p>
        </w:tc>
        <w:tc>
          <w:tcPr>
            <w:shd w:fill="EEF2F7" w:val="clear"/>
          </w:tcPr>
          <w:p>
            <w:r>
              <w:rPr>
                <w:rFonts w:ascii="Times New Roman" w:cs="Times New Roman" w:eastAsia="Times New Roman" w:hAnsi="Times New Roman"/>
                <w:color w:val="1F2937"/>
                <w:sz w:val="20"/>
                <w:szCs w:val="20"/>
              </w:rPr>
              <w:t xml:space="preserve">Pratique de retraite + visions — récit de tradition</w:t>
            </w:r>
          </w:p>
        </w:tc>
      </w:tr>
      <w:tr>
        <w:tc>
          <w:tcPr>
            <w:shd w:fill="FFFFFF" w:val="clear"/>
          </w:tcPr>
          <w:p>
            <w:r>
              <w:rPr>
                <w:rFonts w:ascii="Times New Roman" w:cs="Times New Roman" w:eastAsia="Times New Roman" w:hAnsi="Times New Roman"/>
                <w:color w:val="1F2937"/>
                <w:sz w:val="20"/>
                <w:szCs w:val="20"/>
              </w:rPr>
              <w:t xml:space="preserve">La 1ère transmission publique</w:t>
            </w:r>
          </w:p>
        </w:tc>
        <w:tc>
          <w:tcPr>
            <w:shd w:fill="FFFFFF" w:val="clear"/>
          </w:tcPr>
          <w:p>
            <w:r>
              <w:rPr>
                <w:rFonts w:ascii="Times New Roman" w:cs="Times New Roman" w:eastAsia="Times New Roman" w:hAnsi="Times New Roman"/>
                <w:color w:val="1F2937"/>
                <w:sz w:val="20"/>
                <w:szCs w:val="20"/>
              </w:rPr>
              <w:t xml:space="preserve">1764</w:t>
            </w:r>
          </w:p>
        </w:tc>
        <w:tc>
          <w:tcPr>
            <w:shd w:fill="FFFFFF" w:val="clear"/>
          </w:tcPr>
          <w:p>
            <w:r>
              <w:rPr>
                <w:rFonts w:ascii="Times New Roman" w:cs="Times New Roman" w:eastAsia="Times New Roman" w:hAnsi="Times New Roman"/>
                <w:color w:val="1F2937"/>
                <w:sz w:val="20"/>
                <w:szCs w:val="20"/>
              </w:rPr>
              <w:t xml:space="preserve">Jigme Lingpa transmet le cycle à quinze disciples (empouvoirements + instructions)</w:t>
            </w:r>
          </w:p>
        </w:tc>
        <w:tc>
          <w:tcPr>
            <w:shd w:fill="FFFFFF" w:val="clear"/>
          </w:tcPr>
          <w:p>
            <w:r>
              <w:rPr>
                <w:rFonts w:ascii="Times New Roman" w:cs="Times New Roman" w:eastAsia="Times New Roman" w:hAnsi="Times New Roman"/>
                <w:color w:val="1F2937"/>
                <w:sz w:val="20"/>
                <w:szCs w:val="20"/>
              </w:rPr>
              <w:t xml:space="preserve">Transmission rituelle — fait historique attesté</w:t>
            </w:r>
          </w:p>
        </w:tc>
      </w:tr>
    </w:tbl>
    <w:p>
      <w:pPr>
        <w:spacing w:after="40" w:before="60"/>
      </w:pPr>
    </w:p>
    <w:p>
      <w:pPr>
        <w:spacing w:after="60" w:before="60"/>
      </w:pPr>
      <w:r>
        <w:rPr>
          <w:rFonts w:ascii="Times New Roman" w:cs="Times New Roman" w:eastAsia="Times New Roman" w:hAnsi="Times New Roman"/>
          <w:color w:val="1F2937"/>
          <w:sz w:val="22"/>
          <w:szCs w:val="22"/>
        </w:rPr>
        <w:t xml:space="preserve">Remarque sur le corrigé : les trois « régimes » distingués ci-dessus (vision de tradition, pratique de retraite, fait historique attesté) correspondent à ce que la Famille A des garde-fous de ce parcours appelle « distinguer le fait attesté, la position d'un auteur, et le récit de tradition ». En restant attentif à ce régime, tu liras mieux les sources.</w:t>
      </w:r>
    </w:p>
    <w:p>
      <w:pPr>
        <w:pStyle w:val="Heading3"/>
        <w:spacing w:after="60" w:before="200"/>
      </w:pPr>
      <w:r>
        <w:rPr>
          <w:rFonts w:ascii="Times New Roman" w:cs="Times New Roman" w:eastAsia="Times New Roman" w:hAnsi="Times New Roman"/>
          <w:b/>
          <w:bCs/>
          <w:color w:val="1F2937"/>
          <w:sz w:val="26"/>
          <w:szCs w:val="26"/>
        </w:rPr>
        <w:t xml:space="preserve">Exercice 2 — Contemplation : la transmission par l'intérieur (20-25 min)</w:t>
      </w:r>
    </w:p>
    <w:p>
      <w:pPr>
        <w:spacing w:after="60" w:before="60"/>
      </w:pPr>
      <w:r>
        <w:rPr>
          <w:rFonts w:ascii="Times New Roman" w:cs="Times New Roman" w:eastAsia="Times New Roman" w:hAnsi="Times New Roman"/>
          <w:color w:val="1F2937"/>
          <w:sz w:val="22"/>
          <w:szCs w:val="22"/>
        </w:rPr>
        <w:t xml:space="preserve">Ce que le terma mental propose comme modèle de transmission, c'est que les enseignements ne sont pas « reçus de l'extérieur » mais « éveillés de l'intérieur ». Le maître passé n'envoie pas un message : il active quelque chose qui attendait déjà.</w:t>
      </w:r>
    </w:p>
    <w:p>
      <w:pPr>
        <w:spacing w:after="60" w:before="60"/>
      </w:pPr>
      <w:r>
        <w:rPr>
          <w:rFonts w:ascii="Times New Roman" w:cs="Times New Roman" w:eastAsia="Times New Roman" w:hAnsi="Times New Roman"/>
          <w:color w:val="1F2937"/>
          <w:sz w:val="22"/>
          <w:szCs w:val="22"/>
        </w:rPr>
        <w:t xml:space="preserve">Consignes :</w:t>
      </w:r>
    </w:p>
    <w:p>
      <w:pPr>
        <w:spacing w:after="40" w:before="40"/>
        <w:ind w:left="360" w:hanging="360"/>
      </w:pPr>
      <w:r>
        <w:rPr>
          <w:rFonts w:ascii="Times New Roman" w:cs="Times New Roman" w:eastAsia="Times New Roman" w:hAnsi="Times New Roman"/>
          <w:color w:val="1F2937"/>
          <w:sz w:val="22"/>
          <w:szCs w:val="22"/>
        </w:rPr>
        <w:t xml:space="preserve">• Assieds-toi confortablement, yeux mi-clos. Passe deux à trois minutes à poser l'esprit — quelques respirations lentes, sans forcer la pensée.</w:t>
      </w:r>
    </w:p>
    <w:p>
      <w:pPr>
        <w:spacing w:after="40" w:before="40"/>
        <w:ind w:left="360" w:hanging="360"/>
      </w:pPr>
      <w:r>
        <w:rPr>
          <w:rFonts w:ascii="Times New Roman" w:cs="Times New Roman" w:eastAsia="Times New Roman" w:hAnsi="Times New Roman"/>
          <w:color w:val="1F2937"/>
          <w:sz w:val="22"/>
          <w:szCs w:val="22"/>
        </w:rPr>
        <w:t xml:space="preserve">• Pose-toi intérieurement cette question, sans attendre de réponse immédiate : « Y a-t-il un enseignement que j'ai reçu — d'un livre, d'une rencontre, d'un silence — et que je n'ai pas encore reconnu comme tel ? »</w:t>
      </w:r>
    </w:p>
    <w:p>
      <w:pPr>
        <w:spacing w:after="40" w:before="40"/>
        <w:ind w:left="360" w:hanging="360"/>
      </w:pPr>
      <w:r>
        <w:rPr>
          <w:rFonts w:ascii="Times New Roman" w:cs="Times New Roman" w:eastAsia="Times New Roman" w:hAnsi="Times New Roman"/>
          <w:color w:val="1F2937"/>
          <w:sz w:val="22"/>
          <w:szCs w:val="22"/>
        </w:rPr>
        <w:t xml:space="preserve">• Laisse la question résonner pendant dix minutes. N'analyse pas : observe simplement ce qui monte.</w:t>
      </w:r>
    </w:p>
    <w:p>
      <w:pPr>
        <w:spacing w:after="40" w:before="40"/>
        <w:ind w:left="360" w:hanging="360"/>
      </w:pPr>
      <w:r>
        <w:rPr>
          <w:rFonts w:ascii="Times New Roman" w:cs="Times New Roman" w:eastAsia="Times New Roman" w:hAnsi="Times New Roman"/>
          <w:color w:val="1F2937"/>
          <w:sz w:val="22"/>
          <w:szCs w:val="22"/>
        </w:rPr>
        <w:t xml:space="preserve">• Au retour, note en quelques lignes : qu'est-ce qui a émergé ? Était-ce une image, une phrase, un visage, un vide ?</w:t>
      </w:r>
    </w:p>
    <w:p>
      <w:pPr>
        <w:spacing w:after="60" w:before="60"/>
      </w:pPr>
      <w:r>
        <w:rPr>
          <w:rFonts w:ascii="Times New Roman" w:cs="Times New Roman" w:eastAsia="Times New Roman" w:hAnsi="Times New Roman"/>
          <w:color w:val="1F2937"/>
          <w:sz w:val="22"/>
          <w:szCs w:val="22"/>
        </w:rPr>
        <w:t xml:space="preserve">L'objectif n'est pas de « simuler » une expérience de terma — c'est de prendre contact avec la différence entre information reçue et reconnaissance intérieure, qui est précisément ce que l'enseignement Dzogchen pointe.</w:t>
      </w:r>
    </w:p>
    <w:p>
      <w:pPr>
        <w:pStyle w:val="Heading3"/>
        <w:spacing w:after="60" w:before="200"/>
      </w:pPr>
      <w:r>
        <w:rPr>
          <w:rFonts w:ascii="Times New Roman" w:cs="Times New Roman" w:eastAsia="Times New Roman" w:hAnsi="Times New Roman"/>
          <w:b/>
          <w:bCs/>
          <w:color w:val="1F2937"/>
          <w:sz w:val="26"/>
          <w:szCs w:val="26"/>
        </w:rPr>
        <w:t xml:space="preserve">Exercice 3 — Lecture active d'un texte de Jigme Lingpa (30 min)</w:t>
      </w:r>
    </w:p>
    <w:p>
      <w:pPr>
        <w:spacing w:after="60" w:before="60"/>
      </w:pPr>
      <w:r>
        <w:rPr>
          <w:rFonts w:ascii="Times New Roman" w:cs="Times New Roman" w:eastAsia="Times New Roman" w:hAnsi="Times New Roman"/>
          <w:color w:val="1F2937"/>
          <w:sz w:val="22"/>
          <w:szCs w:val="22"/>
        </w:rPr>
        <w:t xml:space="preserve">Rends-toi sur Lotsawa House, page dédiée à Jigme Lingpa :</w:t>
      </w:r>
    </w:p>
    <w:p>
      <w:pPr>
        <w:spacing w:after="40" w:before="40"/>
        <w:ind w:left="360"/>
      </w:pPr>
      <w:hyperlink w:history="1" r:id="rIdajm2rnixbe1rxbqjbdsyx">
        <w:r>
          <w:rPr>
            <w:rFonts w:ascii="Times New Roman" w:cs="Times New Roman" w:eastAsia="Times New Roman" w:hAnsi="Times New Roman"/>
            <w:color w:val="1155CC"/>
            <w:sz w:val="22"/>
            <w:szCs w:val="22"/>
            <w:u w:val="single"/>
          </w:rPr>
          <w:t xml:space="preserve">https://www.lotsawahouse.org/tibetan-masters/jigme-lingpa</w:t>
        </w:r>
      </w:hyperlink>
    </w:p>
    <w:p>
      <w:pPr>
        <w:spacing w:after="60" w:before="60"/>
      </w:pPr>
      <w:r>
        <w:rPr>
          <w:rFonts w:ascii="Times New Roman" w:cs="Times New Roman" w:eastAsia="Times New Roman" w:hAnsi="Times New Roman"/>
          <w:color w:val="1F2937"/>
          <w:sz w:val="22"/>
          <w:szCs w:val="22"/>
        </w:rPr>
        <w:t xml:space="preserve">Choisis un court texte accessible (par exemple une prière ou les Vajra Verses on the Natural State si disponible). Lis-le une première fois pour le plaisir. Puis relis-le en cherchant :</w:t>
      </w:r>
    </w:p>
    <w:p>
      <w:pPr>
        <w:spacing w:after="40" w:before="40"/>
        <w:ind w:left="360" w:hanging="360"/>
      </w:pPr>
      <w:r>
        <w:rPr>
          <w:rFonts w:ascii="Times New Roman" w:cs="Times New Roman" w:eastAsia="Times New Roman" w:hAnsi="Times New Roman"/>
          <w:color w:val="1F2937"/>
          <w:sz w:val="22"/>
          <w:szCs w:val="22"/>
        </w:rPr>
        <w:t xml:space="preserve">• Quels termes de la feuille de route du parcours reconnais-tu ? (rigpa, base, vue, méditation, conduite, trekchö, tögal, bardos…)</w:t>
      </w:r>
    </w:p>
    <w:p>
      <w:pPr>
        <w:spacing w:after="40" w:before="40"/>
        <w:ind w:left="360" w:hanging="360"/>
      </w:pPr>
      <w:r>
        <w:rPr>
          <w:rFonts w:ascii="Times New Roman" w:cs="Times New Roman" w:eastAsia="Times New Roman" w:hAnsi="Times New Roman"/>
          <w:color w:val="1F2937"/>
          <w:sz w:val="22"/>
          <w:szCs w:val="22"/>
        </w:rPr>
        <w:t xml:space="preserve">• La leçon 5 a présenté le trépied Vue-Méditation-Conduite. Comment ce texte s'articule-t-il avec ce trépied ?</w:t>
      </w:r>
    </w:p>
    <w:p>
      <w:pPr>
        <w:spacing w:after="40" w:before="40"/>
        <w:ind w:left="360" w:hanging="360"/>
      </w:pPr>
      <w:r>
        <w:rPr>
          <w:rFonts w:ascii="Times New Roman" w:cs="Times New Roman" w:eastAsia="Times New Roman" w:hAnsi="Times New Roman"/>
          <w:color w:val="1F2937"/>
          <w:sz w:val="22"/>
          <w:szCs w:val="22"/>
        </w:rPr>
        <w:t xml:space="preserve">• Y a-t-il une phrase qui te semble être une instruction pratique directe ? Laquelle ? Pourquoi ?</w:t>
      </w:r>
    </w:p>
    <w:p>
      <w:pPr>
        <w:spacing w:after="60" w:before="60"/>
      </w:pPr>
      <w:r>
        <w:rPr>
          <w:rFonts w:ascii="Times New Roman" w:cs="Times New Roman" w:eastAsia="Times New Roman" w:hAnsi="Times New Roman"/>
          <w:color w:val="1F2937"/>
          <w:sz w:val="22"/>
          <w:szCs w:val="22"/>
        </w:rPr>
        <w:t xml:space="preserve">Note tes observations en une demi-page. Il ne s'agit pas d'une analyse philologique mais d'une lecture contemplative active.</w:t>
      </w:r>
    </w:p>
    <w:p>
      <w:pPr>
        <w:spacing w:after="120" w:before="120"/>
      </w:pPr>
      <w:r>
        <w:rPr>
          <w:rFonts w:ascii="Times New Roman" w:cs="Times New Roman" w:eastAsia="Times New Roman" w:hAnsi="Times New Roman"/>
          <w:color w:val="D1D5DB"/>
          <w:sz w:val="18"/>
          <w:szCs w:val="18"/>
        </w:rPr>
        <w:t xml:space="preserve">─────────────────────────────────────────────</w:t>
      </w:r>
    </w:p>
    <w:p>
      <w:pPr>
        <w:pStyle w:val="Heading2"/>
        <w:spacing w:after="80" w:before="280"/>
      </w:pPr>
      <w:r>
        <w:rPr>
          <w:rFonts w:ascii="Times New Roman" w:cs="Times New Roman" w:eastAsia="Times New Roman" w:hAnsi="Times New Roman"/>
          <w:b/>
          <w:bCs/>
          <w:color w:val="1B3A6B"/>
          <w:sz w:val="30"/>
          <w:szCs w:val="30"/>
        </w:rPr>
        <w:t xml:space="preserve">🎯 Challenge — Pourquoi le terma est cohérent avec la vue Dzogchen</w:t>
      </w:r>
    </w:p>
    <w:p>
      <w:pPr>
        <w:spacing w:after="60" w:before="60"/>
      </w:pPr>
      <w:r>
        <w:rPr>
          <w:rFonts w:ascii="Times New Roman" w:cs="Times New Roman" w:eastAsia="Times New Roman" w:hAnsi="Times New Roman"/>
          <w:color w:val="1F2937"/>
          <w:sz w:val="22"/>
          <w:szCs w:val="22"/>
        </w:rPr>
        <w:t xml:space="preserve">En 10 à 15 lignes, réponds à cette question en t'appuyant sur ce que les leçons précédentes t'ont appris :</w:t>
      </w:r>
    </w:p>
    <w:p>
      <w:pPr>
        <w:shd w:fill="F3F4F6" w:val="clear"/>
        <w:spacing w:after="80" w:before="80"/>
        <w:ind w:left="360" w:right="360"/>
      </w:pPr>
      <w:r>
        <w:rPr>
          <w:rFonts w:ascii="Times New Roman" w:cs="Times New Roman" w:eastAsia="Times New Roman" w:hAnsi="Times New Roman"/>
          <w:i/>
          <w:iCs/>
          <w:color w:val="1B3A6B"/>
          <w:sz w:val="22"/>
          <w:szCs w:val="22"/>
        </w:rPr>
        <w:t xml:space="preserve">« </w:t>
      </w:r>
      <w:r>
        <w:rPr>
          <w:rFonts w:ascii="Times New Roman" w:cs="Times New Roman" w:eastAsia="Times New Roman" w:hAnsi="Times New Roman"/>
          <w:i/>
          <w:iCs/>
          <w:color w:val="1B3A6B"/>
          <w:sz w:val="22"/>
          <w:szCs w:val="22"/>
        </w:rPr>
        <w:t xml:space="preserve">Pourquoi le mécanisme de la révélation par terma mental est-il cohérent avec la vue Dzogchen — et pas seulement un artifice hagiographique ?</w:t>
      </w:r>
      <w:r>
        <w:rPr>
          <w:rFonts w:ascii="Times New Roman" w:cs="Times New Roman" w:eastAsia="Times New Roman" w:hAnsi="Times New Roman"/>
          <w:i/>
          <w:iCs/>
          <w:color w:val="1B3A6B"/>
          <w:sz w:val="22"/>
          <w:szCs w:val="22"/>
        </w:rPr>
        <w:t xml:space="preserve"> »</w:t>
      </w:r>
    </w:p>
    <w:p>
      <w:pPr>
        <w:spacing w:after="60" w:before="60"/>
      </w:pPr>
      <w:r>
        <w:rPr>
          <w:rFonts w:ascii="Times New Roman" w:cs="Times New Roman" w:eastAsia="Times New Roman" w:hAnsi="Times New Roman"/>
          <w:color w:val="1F2937"/>
          <w:sz w:val="22"/>
          <w:szCs w:val="22"/>
        </w:rPr>
        <w:t xml:space="preserve">Points à mobiliser (sans te limiter à ceux-ci) :</w:t>
      </w:r>
    </w:p>
    <w:p>
      <w:pPr>
        <w:spacing w:after="40" w:before="40"/>
        <w:ind w:left="360" w:hanging="360"/>
      </w:pPr>
      <w:r>
        <w:rPr>
          <w:rFonts w:ascii="Times New Roman" w:cs="Times New Roman" w:eastAsia="Times New Roman" w:hAnsi="Times New Roman"/>
          <w:color w:val="1F2937"/>
          <w:sz w:val="22"/>
          <w:szCs w:val="22"/>
        </w:rPr>
        <w:t xml:space="preserve">• La nature du rigpa (leçon 1) : la conscience primordiale n'est pas localisée dans le temps ni dans un individu.</w:t>
      </w:r>
    </w:p>
    <w:p>
      <w:pPr>
        <w:spacing w:after="40" w:before="40"/>
        <w:ind w:left="360" w:hanging="360"/>
      </w:pPr>
      <w:r>
        <w:rPr>
          <w:rFonts w:ascii="Times New Roman" w:cs="Times New Roman" w:eastAsia="Times New Roman" w:hAnsi="Times New Roman"/>
          <w:color w:val="1F2937"/>
          <w:sz w:val="22"/>
          <w:szCs w:val="22"/>
        </w:rPr>
        <w:t xml:space="preserve">• La base (gzhi, leçon 3) : pureté primordiale et spontanéité comme socle de toute expérience.</w:t>
      </w:r>
    </w:p>
    <w:p>
      <w:pPr>
        <w:spacing w:after="40" w:before="40"/>
        <w:ind w:left="360" w:hanging="360"/>
      </w:pPr>
      <w:r>
        <w:rPr>
          <w:rFonts w:ascii="Times New Roman" w:cs="Times New Roman" w:eastAsia="Times New Roman" w:hAnsi="Times New Roman"/>
          <w:color w:val="1F2937"/>
          <w:sz w:val="22"/>
          <w:szCs w:val="22"/>
        </w:rPr>
        <w:t xml:space="preserve">• La transmission maître-disciple et le samaya (leçon 10) : qu'est-ce qui est transmis, exactement ?</w:t>
      </w:r>
    </w:p>
    <w:p>
      <w:pPr>
        <w:spacing w:after="40" w:before="40"/>
        <w:ind w:left="360" w:hanging="360"/>
      </w:pPr>
      <w:r>
        <w:rPr>
          <w:rFonts w:ascii="Times New Roman" w:cs="Times New Roman" w:eastAsia="Times New Roman" w:hAnsi="Times New Roman"/>
          <w:color w:val="1F2937"/>
          <w:sz w:val="22"/>
          <w:szCs w:val="22"/>
        </w:rPr>
        <w:t xml:space="preserve">• La notion de « corps de sagesse » (jñāna-kāya) que gardent les maîtres réalisés au-delà de la mort physique — notion mentionnée en leçon 13 (bardos).</w:t>
      </w:r>
    </w:p>
    <w:p>
      <w:pPr>
        <w:spacing w:after="60" w:before="60"/>
      </w:pPr>
      <w:r>
        <w:rPr>
          <w:rFonts w:ascii="Times New Roman" w:cs="Times New Roman" w:eastAsia="Times New Roman" w:hAnsi="Times New Roman"/>
          <w:color w:val="1F2937"/>
          <w:sz w:val="22"/>
          <w:szCs w:val="22"/>
        </w:rPr>
        <w:t xml:space="preserve">Ne cherche pas à te convaincre que les termas sont « réels » au sens ordinaire. L'exercice est de montrer que le modèle est structurellement cohérent avec la doctrine, indépendamment de la question de son statut ontologique.</w:t>
      </w:r>
    </w:p>
    <w:p>
      <w:pPr>
        <w:spacing w:after="60" w:before="60"/>
      </w:pPr>
      <w:r>
        <w:rPr>
          <w:rFonts w:ascii="Times New Roman" w:cs="Times New Roman" w:eastAsia="Times New Roman" w:hAnsi="Times New Roman"/>
          <w:b/>
          <w:bCs/>
          <w:color w:val="1F2937"/>
          <w:sz w:val="22"/>
          <w:szCs w:val="22"/>
        </w:rPr>
        <w:t xml:space="preserve">Éléments de corrigé :</w:t>
      </w:r>
    </w:p>
    <w:p>
      <w:pPr>
        <w:spacing w:after="60" w:before="60"/>
      </w:pPr>
      <w:r>
        <w:rPr>
          <w:rFonts w:ascii="Times New Roman" w:cs="Times New Roman" w:eastAsia="Times New Roman" w:hAnsi="Times New Roman"/>
          <w:color w:val="1F2937"/>
          <w:sz w:val="22"/>
          <w:szCs w:val="22"/>
        </w:rPr>
        <w:t xml:space="preserve">Si le rigpa est la dimension non-locale et non-temporelle de la conscience, et si la base est commune à tous les êtres, il n'y a pas d'absurdité logique dans l'idée qu'un maître réalisé puisse « déposer » une empreinte dans le continuum de conscience d'un disciple à naître. La transmission ne traverse pas le temps comme une lettre traverserait l'espace : elle est plus proche d'une reconnaissance — la même base, reconnue par deux consciences séparées chronologiquement. Le terma mental est ainsi le pendant expérientiel de ce que la théorie enseigne sur la nature de l'esprit.</w:t>
      </w:r>
    </w:p>
    <w:p>
      <w:pPr>
        <w:spacing w:after="60" w:before="60"/>
      </w:pPr>
      <w:r>
        <w:rPr>
          <w:rFonts w:ascii="Times New Roman" w:cs="Times New Roman" w:eastAsia="Times New Roman" w:hAnsi="Times New Roman"/>
          <w:color w:val="1F2937"/>
          <w:sz w:val="22"/>
          <w:szCs w:val="22"/>
        </w:rPr>
        <w:t xml:space="preserve">Ce corrigé est une synthèse — non une citation : il ne doit pas être pris pour un point de doctrine établi, mais comme un exercice de pensée cohérente à partir des éléments du parcours.</w:t>
      </w:r>
    </w:p>
    <w:p>
      <w:pPr>
        <w:spacing w:after="120" w:before="120"/>
      </w:pPr>
      <w:r>
        <w:rPr>
          <w:rFonts w:ascii="Times New Roman" w:cs="Times New Roman" w:eastAsia="Times New Roman" w:hAnsi="Times New Roman"/>
          <w:color w:val="D1D5DB"/>
          <w:sz w:val="18"/>
          <w:szCs w:val="18"/>
        </w:rPr>
        <w:t xml:space="preserve">─────────────────────────────────────────────</w:t>
      </w:r>
    </w:p>
    <w:p>
      <w:pPr>
        <w:pStyle w:val="Heading2"/>
        <w:spacing w:after="80" w:before="280"/>
      </w:pPr>
      <w:r>
        <w:rPr>
          <w:rFonts w:ascii="Times New Roman" w:cs="Times New Roman" w:eastAsia="Times New Roman" w:hAnsi="Times New Roman"/>
          <w:b/>
          <w:bCs/>
          <w:color w:val="1B3A6B"/>
          <w:sz w:val="30"/>
          <w:szCs w:val="30"/>
        </w:rPr>
        <w:t xml:space="preserve">🌉 Pont pro (court)</w:t>
      </w:r>
    </w:p>
    <w:p>
      <w:pPr>
        <w:spacing w:after="60" w:before="60"/>
      </w:pPr>
      <w:r>
        <w:rPr>
          <w:rFonts w:ascii="Times New Roman" w:cs="Times New Roman" w:eastAsia="Times New Roman" w:hAnsi="Times New Roman"/>
          <w:color w:val="1F2937"/>
          <w:sz w:val="22"/>
          <w:szCs w:val="22"/>
        </w:rPr>
        <w:t xml:space="preserve">La notion de terma illustre l'idée que certaines transmissions ne peuvent pas s'écrire dans un manuel : elles ne s'éveillent qu'en conditions d'intensité, de réceptivité et de confiance. Dans le travail en équipe éducative, certains savoir-faire — le tact avec une personne en crise, la lecture d'une dynamique de groupe, le geste de relance juste en APP — se transmettent de manière analogue : non par la doctrine, mais par la présence partagée sur le terrain, puis par une reconnaissance intérieure que quelque chose a passé.</w:t>
      </w:r>
    </w:p>
    <w:p>
      <w:pPr>
        <w:spacing w:after="60" w:before="60"/>
      </w:pPr>
      <w:r>
        <w:rPr>
          <w:rFonts w:ascii="Times New Roman" w:cs="Times New Roman" w:eastAsia="Times New Roman" w:hAnsi="Times New Roman"/>
          <w:color w:val="1F2937"/>
          <w:sz w:val="22"/>
          <w:szCs w:val="22"/>
        </w:rPr>
        <w:t xml:space="preserve">C'est un enrichissement pour ta réflexion personnelle sur la transmission professionnelle, non un cadre théorique à intégrer dans un projet d'établissement ni une justification opposable dans une évaluation HAS.</w:t>
      </w:r>
    </w:p>
    <w:p>
      <w:pPr>
        <w:spacing w:after="120" w:before="120"/>
      </w:pPr>
      <w:r>
        <w:rPr>
          <w:rFonts w:ascii="Times New Roman" w:cs="Times New Roman" w:eastAsia="Times New Roman" w:hAnsi="Times New Roman"/>
          <w:color w:val="D1D5DB"/>
          <w:sz w:val="18"/>
          <w:szCs w:val="18"/>
        </w:rPr>
        <w:t xml:space="preserve">─────────────────────────────────────────────</w:t>
      </w:r>
    </w:p>
    <w:p>
      <w:pPr>
        <w:pStyle w:val="Heading2"/>
        <w:spacing w:after="80" w:before="280"/>
      </w:pPr>
      <w:r>
        <w:rPr>
          <w:rFonts w:ascii="Times New Roman" w:cs="Times New Roman" w:eastAsia="Times New Roman" w:hAnsi="Times New Roman"/>
          <w:b/>
          <w:bCs/>
          <w:color w:val="1B3A6B"/>
          <w:sz w:val="30"/>
          <w:szCs w:val="30"/>
        </w:rPr>
        <w:t xml:space="preserve">📚 Ressources pour approfondir</w:t>
      </w:r>
    </w:p>
    <w:p>
      <w:pPr>
        <w:spacing w:after="60" w:before="60"/>
      </w:pPr>
      <w:r>
        <w:rPr>
          <w:rFonts w:ascii="Times New Roman" w:cs="Times New Roman" w:eastAsia="Times New Roman" w:hAnsi="Times New Roman"/>
          <w:color w:val="1F2937"/>
          <w:sz w:val="22"/>
          <w:szCs w:val="22"/>
        </w:rPr>
        <w:t xml:space="preserve">Toutes les adresses ci-dessous ont été testées lors de la génération de cette leçon (statut HTTP 200, sauf mention contraire).</w:t>
      </w:r>
    </w:p>
    <w:p>
      <w:pPr>
        <w:spacing w:after="40" w:before="60"/>
      </w:pPr>
    </w:p>
    <w:p>
      <w:pPr>
        <w:spacing w:after="40" w:before="40"/>
        <w:ind w:left="360" w:hanging="360"/>
      </w:pPr>
      <w:r>
        <w:rPr>
          <w:rFonts w:ascii="Times New Roman" w:cs="Times New Roman" w:eastAsia="Times New Roman" w:hAnsi="Times New Roman"/>
          <w:color w:val="1F2937"/>
          <w:sz w:val="22"/>
          <w:szCs w:val="22"/>
        </w:rPr>
        <w:t xml:space="preserve">• </w:t>
      </w:r>
      <w:hyperlink w:history="1" r:id="rIdr3fa-j4rksefh5vfuv2ye">
        <w:r>
          <w:rPr>
            <w:rFonts w:ascii="Times New Roman" w:cs="Times New Roman" w:eastAsia="Times New Roman" w:hAnsi="Times New Roman"/>
            <w:color w:val="1155CC"/>
            <w:sz w:val="22"/>
            <w:szCs w:val="22"/>
            <w:u w:val="single"/>
          </w:rPr>
          <w:t xml:space="preserve">Jigme Lingpa — Wikipedia</w:t>
        </w:r>
      </w:hyperlink>
      <w:r>
        <w:rPr>
          <w:rFonts w:ascii="Times New Roman" w:cs="Times New Roman" w:eastAsia="Times New Roman" w:hAnsi="Times New Roman"/>
          <w:color w:val="1F2937"/>
          <w:sz w:val="22"/>
          <w:szCs w:val="22"/>
        </w:rPr>
        <w:t xml:space="preserve"> — Biographie détaillée avec les citations de Tulku Thondup sur la révélation du terma</w:t>
      </w:r>
    </w:p>
    <w:p>
      <w:pPr>
        <w:spacing w:after="40" w:before="40"/>
        <w:ind w:left="360" w:hanging="360"/>
      </w:pPr>
      <w:r>
        <w:rPr>
          <w:rFonts w:ascii="Times New Roman" w:cs="Times New Roman" w:eastAsia="Times New Roman" w:hAnsi="Times New Roman"/>
          <w:color w:val="1F2937"/>
          <w:sz w:val="22"/>
          <w:szCs w:val="22"/>
        </w:rPr>
        <w:t xml:space="preserve">• </w:t>
      </w:r>
      <w:hyperlink w:history="1" r:id="rIdmy3piaefaclvsx1rhanu6">
        <w:r>
          <w:rPr>
            <w:rFonts w:ascii="Times New Roman" w:cs="Times New Roman" w:eastAsia="Times New Roman" w:hAnsi="Times New Roman"/>
            <w:color w:val="1155CC"/>
            <w:sz w:val="22"/>
            <w:szCs w:val="22"/>
            <w:u w:val="single"/>
          </w:rPr>
          <w:t xml:space="preserve">Longchen Nyingtik — Wikipedia</w:t>
        </w:r>
      </w:hyperlink>
      <w:r>
        <w:rPr>
          <w:rFonts w:ascii="Times New Roman" w:cs="Times New Roman" w:eastAsia="Times New Roman" w:hAnsi="Times New Roman"/>
          <w:color w:val="1F2937"/>
          <w:sz w:val="22"/>
          <w:szCs w:val="22"/>
        </w:rPr>
        <w:t xml:space="preserve"> — Structure du cycle, origine, lignée après Jigme Lingpa</w:t>
      </w:r>
    </w:p>
    <w:p>
      <w:pPr>
        <w:spacing w:after="40" w:before="40"/>
        <w:ind w:left="360" w:hanging="360"/>
      </w:pPr>
      <w:r>
        <w:rPr>
          <w:rFonts w:ascii="Times New Roman" w:cs="Times New Roman" w:eastAsia="Times New Roman" w:hAnsi="Times New Roman"/>
          <w:color w:val="1F2937"/>
          <w:sz w:val="22"/>
          <w:szCs w:val="22"/>
        </w:rPr>
        <w:t xml:space="preserve">• </w:t>
      </w:r>
      <w:hyperlink w:history="1" r:id="rIdhdivdd2fcmo9jdjjxdg9u">
        <w:r>
          <w:rPr>
            <w:rFonts w:ascii="Times New Roman" w:cs="Times New Roman" w:eastAsia="Times New Roman" w:hAnsi="Times New Roman"/>
            <w:color w:val="1155CC"/>
            <w:sz w:val="22"/>
            <w:szCs w:val="22"/>
            <w:u w:val="single"/>
          </w:rPr>
          <w:t xml:space="preserve">Jigme Lingpa — Lotsawa House</w:t>
        </w:r>
      </w:hyperlink>
      <w:r>
        <w:rPr>
          <w:rFonts w:ascii="Times New Roman" w:cs="Times New Roman" w:eastAsia="Times New Roman" w:hAnsi="Times New Roman"/>
          <w:color w:val="1F2937"/>
          <w:sz w:val="22"/>
          <w:szCs w:val="22"/>
        </w:rPr>
        <w:t xml:space="preserve"> — 122 traductions anglaises de textes du Longchen Nyingtik et d'œuvres personnelles de Jigme Lingpa</w:t>
      </w:r>
    </w:p>
    <w:p>
      <w:pPr>
        <w:spacing w:after="40" w:before="40"/>
        <w:ind w:left="360" w:hanging="360"/>
      </w:pPr>
      <w:r>
        <w:rPr>
          <w:rFonts w:ascii="Times New Roman" w:cs="Times New Roman" w:eastAsia="Times New Roman" w:hAnsi="Times New Roman"/>
          <w:color w:val="1F2937"/>
          <w:sz w:val="22"/>
          <w:szCs w:val="22"/>
        </w:rPr>
        <w:t xml:space="preserve">• </w:t>
      </w:r>
      <w:hyperlink w:history="1" r:id="rIdm4i4esohk8wl0hta1galv">
        <w:r>
          <w:rPr>
            <w:rFonts w:ascii="Times New Roman" w:cs="Times New Roman" w:eastAsia="Times New Roman" w:hAnsi="Times New Roman"/>
            <w:color w:val="1155CC"/>
            <w:sz w:val="22"/>
            <w:szCs w:val="22"/>
            <w:u w:val="single"/>
          </w:rPr>
          <w:t xml:space="preserve">The Longchen Nyingtik Project — History</w:t>
        </w:r>
      </w:hyperlink>
      <w:r>
        <w:rPr>
          <w:rFonts w:ascii="Times New Roman" w:cs="Times New Roman" w:eastAsia="Times New Roman" w:hAnsi="Times New Roman"/>
          <w:color w:val="1F2937"/>
          <w:sz w:val="22"/>
          <w:szCs w:val="22"/>
        </w:rPr>
        <w:t xml:space="preserve"> — Récit chronologique de la révélation du terma, structure du cycle et lignée</w:t>
      </w:r>
    </w:p>
    <w:p>
      <w:pPr>
        <w:spacing w:after="40" w:before="40"/>
        <w:ind w:left="360" w:hanging="360"/>
      </w:pPr>
      <w:r>
        <w:rPr>
          <w:rFonts w:ascii="Times New Roman" w:cs="Times New Roman" w:eastAsia="Times New Roman" w:hAnsi="Times New Roman"/>
          <w:color w:val="1F2937"/>
          <w:sz w:val="22"/>
          <w:szCs w:val="22"/>
        </w:rPr>
        <w:t xml:space="preserve">• </w:t>
      </w:r>
      <w:hyperlink w:history="1" r:id="rIdcsowj0yqgc-t_p5zwoxgo">
        <w:r>
          <w:rPr>
            <w:rFonts w:ascii="Times New Roman" w:cs="Times New Roman" w:eastAsia="Times New Roman" w:hAnsi="Times New Roman"/>
            <w:color w:val="1155CC"/>
            <w:sz w:val="22"/>
            <w:szCs w:val="22"/>
            <w:u w:val="single"/>
          </w:rPr>
          <w:t xml:space="preserve">Treasury of Lives: Jigme Lingpa Lineage — Alexander Gardner, Tricycle (Summer 2013)</w:t>
        </w:r>
      </w:hyperlink>
      <w:r>
        <w:rPr>
          <w:rFonts w:ascii="Times New Roman" w:cs="Times New Roman" w:eastAsia="Times New Roman" w:hAnsi="Times New Roman"/>
          <w:color w:val="1F2937"/>
          <w:sz w:val="22"/>
          <w:szCs w:val="22"/>
        </w:rPr>
        <w:t xml:space="preserve"> — Profil accessible, avec réflexion sur la complexité des lignées de réincarnation au XIXe-XXe s.</w:t>
      </w:r>
      <w:r>
        <w:rPr>
          <w:rFonts w:ascii="Times New Roman" w:cs="Times New Roman" w:eastAsia="Times New Roman" w:hAnsi="Times New Roman"/>
          <w:i/>
          <w:iCs/>
          <w:color w:val="6B7280"/>
          <w:sz w:val="20"/>
          <w:szCs w:val="20"/>
        </w:rPr>
        <w:t xml:space="preserve"> [Corrigé le 24/09/2026 : le libellé ne portait ni le titre de l'article ni son auteur, et l'adresse /magazine/jigme-lingpa/ répond 301 — elle redirige vers /magazine/jigme-lingpa-lineage/, retenue ici.]</w:t>
      </w:r>
    </w:p>
    <w:p>
      <w:pPr>
        <w:spacing w:after="40" w:before="40"/>
        <w:ind w:left="360" w:hanging="360"/>
      </w:pPr>
      <w:r>
        <w:rPr>
          <w:rFonts w:ascii="Times New Roman" w:cs="Times New Roman" w:eastAsia="Times New Roman" w:hAnsi="Times New Roman"/>
          <w:color w:val="1F2937"/>
          <w:sz w:val="22"/>
          <w:szCs w:val="22"/>
        </w:rPr>
        <w:t xml:space="preserve">• </w:t>
      </w:r>
      <w:hyperlink w:history="1" r:id="rIdhlxgzfssbvbrrrj2r4foo">
        <w:r>
          <w:rPr>
            <w:rFonts w:ascii="Times New Roman" w:cs="Times New Roman" w:eastAsia="Times New Roman" w:hAnsi="Times New Roman"/>
            <w:color w:val="1155CC"/>
            <w:sz w:val="22"/>
            <w:szCs w:val="22"/>
            <w:u w:val="single"/>
          </w:rPr>
          <w:t xml:space="preserve">Terma (religion) — Wikipedia</w:t>
        </w:r>
      </w:hyperlink>
      <w:r>
        <w:rPr>
          <w:rFonts w:ascii="Times New Roman" w:cs="Times New Roman" w:eastAsia="Times New Roman" w:hAnsi="Times New Roman"/>
          <w:color w:val="1F2937"/>
          <w:sz w:val="22"/>
          <w:szCs w:val="22"/>
        </w:rPr>
        <w:t xml:space="preserve"> — Définition et typologie des termas, processus d'authentification</w:t>
      </w:r>
    </w:p>
    <w:p>
      <w:pPr>
        <w:spacing w:after="40" w:before="60"/>
      </w:pPr>
      <w:r>
        <w:rPr>
          <w:rFonts w:ascii="Times New Roman" w:cs="Times New Roman" w:eastAsia="Times New Roman" w:hAnsi="Times New Roman"/>
          <w:i/>
          <w:iCs/>
          <w:color w:val="6B7280"/>
          <w:sz w:val="20"/>
          <w:szCs w:val="20"/>
        </w:rPr>
        <w:t xml:space="preserve">Sources en statut 403 (blocage anti-robot) — existent probablement mais n'ont pas pu être vérifiées automatiquement :</w:t>
      </w:r>
    </w:p>
    <w:p>
      <w:pPr>
        <w:spacing w:after="40" w:before="40"/>
        <w:ind w:left="360" w:hanging="360"/>
      </w:pPr>
      <w:r>
        <w:rPr>
          <w:rFonts w:ascii="Times New Roman" w:cs="Times New Roman" w:eastAsia="Times New Roman" w:hAnsi="Times New Roman"/>
          <w:color w:val="1F2937"/>
          <w:sz w:val="22"/>
          <w:szCs w:val="22"/>
        </w:rPr>
        <w:t xml:space="preserve">• </w:t>
      </w:r>
      <w:hyperlink w:history="1" r:id="rIdxc3efm8iqtgec1-cz0ugp">
        <w:r>
          <w:rPr>
            <w:rFonts w:ascii="Times New Roman" w:cs="Times New Roman" w:eastAsia="Times New Roman" w:hAnsi="Times New Roman"/>
            <w:color w:val="1155CC"/>
            <w:sz w:val="22"/>
            <w:szCs w:val="22"/>
            <w:u w:val="single"/>
          </w:rPr>
          <w:t xml:space="preserve">Jigme Lingpa — Rigpa Wiki</w:t>
        </w:r>
      </w:hyperlink>
      <w:r>
        <w:rPr>
          <w:rFonts w:ascii="Times New Roman" w:cs="Times New Roman" w:eastAsia="Times New Roman" w:hAnsi="Times New Roman"/>
          <w:color w:val="1F2937"/>
          <w:sz w:val="22"/>
          <w:szCs w:val="22"/>
        </w:rPr>
        <w:t xml:space="preserve"> — ⛔ 403 lors de la génération — encyclopédie du bouddhisme tibétain</w:t>
      </w:r>
    </w:p>
    <w:p>
      <w:pPr>
        <w:spacing w:after="40" w:before="40"/>
        <w:ind w:left="360" w:hanging="360"/>
      </w:pPr>
      <w:r>
        <w:rPr>
          <w:rFonts w:ascii="Times New Roman" w:cs="Times New Roman" w:eastAsia="Times New Roman" w:hAnsi="Times New Roman"/>
          <w:color w:val="1F2937"/>
          <w:sz w:val="22"/>
          <w:szCs w:val="22"/>
        </w:rPr>
        <w:t xml:space="preserve">• </w:t>
      </w:r>
      <w:hyperlink w:history="1" r:id="rId4aywf-d8l5u7vv9i1axas">
        <w:r>
          <w:rPr>
            <w:rFonts w:ascii="Times New Roman" w:cs="Times New Roman" w:eastAsia="Times New Roman" w:hAnsi="Times New Roman"/>
            <w:color w:val="1155CC"/>
            <w:sz w:val="22"/>
            <w:szCs w:val="22"/>
            <w:u w:val="single"/>
          </w:rPr>
          <w:t xml:space="preserve">Longchen Nyingtik — Rangjung Yeshe Wiki</w:t>
        </w:r>
      </w:hyperlink>
      <w:r>
        <w:rPr>
          <w:rFonts w:ascii="Times New Roman" w:cs="Times New Roman" w:eastAsia="Times New Roman" w:hAnsi="Times New Roman"/>
          <w:color w:val="1F2937"/>
          <w:sz w:val="22"/>
          <w:szCs w:val="22"/>
        </w:rPr>
        <w:t xml:space="preserve"> — ⛔ 403 lors de la génération — dictionnaire dharma</w:t>
      </w:r>
    </w:p>
    <w:p>
      <w:pPr>
        <w:spacing w:after="120" w:before="120"/>
      </w:pPr>
      <w:r>
        <w:rPr>
          <w:rFonts w:ascii="Times New Roman" w:cs="Times New Roman" w:eastAsia="Times New Roman" w:hAnsi="Times New Roman"/>
          <w:color w:val="D1D5DB"/>
          <w:sz w:val="18"/>
          <w:szCs w:val="18"/>
        </w:rPr>
        <w:t xml:space="preserve">─────────────────────────────────────────────</w:t>
      </w:r>
    </w:p>
    <w:p>
      <w:pPr>
        <w:pStyle w:val="Heading2"/>
        <w:spacing w:after="80" w:before="280"/>
      </w:pPr>
      <w:r>
        <w:rPr>
          <w:rFonts w:ascii="Times New Roman" w:cs="Times New Roman" w:eastAsia="Times New Roman" w:hAnsi="Times New Roman"/>
          <w:b/>
          <w:bCs/>
          <w:color w:val="1B3A6B"/>
          <w:sz w:val="30"/>
          <w:szCs w:val="30"/>
        </w:rPr>
        <w:t xml:space="preserve">📋 Note de transparence (Famille E)</w:t>
      </w:r>
    </w:p>
    <w:p>
      <w:pPr>
        <w:spacing w:after="60" w:before="60"/>
      </w:pPr>
      <w:r>
        <w:rPr>
          <w:rFonts w:ascii="Times New Roman" w:cs="Times New Roman" w:eastAsia="Times New Roman" w:hAnsi="Times New Roman"/>
          <w:color w:val="1F2937"/>
          <w:sz w:val="22"/>
          <w:szCs w:val="22"/>
        </w:rPr>
        <w:t xml:space="preserve">Conformément aux garde-fous du parcours, les points suivants sont signalés explicitement :</w:t>
      </w:r>
    </w:p>
    <w:p>
      <w:pPr>
        <w:spacing w:after="40" w:before="40"/>
        <w:ind w:left="360" w:hanging="360"/>
      </w:pPr>
      <w:r>
        <w:rPr>
          <w:rFonts w:ascii="Times New Roman" w:cs="Times New Roman" w:eastAsia="Times New Roman" w:hAnsi="Times New Roman"/>
          <w:color w:val="1F2937"/>
          <w:sz w:val="22"/>
          <w:szCs w:val="22"/>
        </w:rPr>
        <w:t xml:space="preserve">• Discordance sur la date de naissance de Jigme Lingpa : Wikipedia catégorise 1729, le texte principal et la plupart des sources contemporaines indiquent 1730, la BnF indique « 1729 or 1730 ». Les deux valeurs coexistent dans les sources consultées ; elles ont été reportées telles quelles sans en trancher une.</w:t>
      </w:r>
    </w:p>
    <w:p>
      <w:pPr>
        <w:spacing w:after="40" w:before="40"/>
        <w:ind w:left="360" w:hanging="360"/>
      </w:pPr>
      <w:r>
        <w:rPr>
          <w:rFonts w:ascii="Times New Roman" w:cs="Times New Roman" w:eastAsia="Times New Roman" w:hAnsi="Times New Roman"/>
          <w:color w:val="1F2937"/>
          <w:sz w:val="22"/>
          <w:szCs w:val="22"/>
        </w:rPr>
        <w:t xml:space="preserve">• Les citations entre guillemets dans la section Théorie proviennent de Tulku Thondup (Hidden Teachings of Tibet, 1994, et Masters of Meditation and Miracles, 1996, éd. Harold Talbott — les deux références que la page appelle, pp. 122-123), rapportées par Wikipedia. Elles lui sont attribuées, non à Wikipedia.</w:t>
      </w:r>
      <w:r>
        <w:rPr>
          <w:rFonts w:ascii="Times New Roman" w:cs="Times New Roman" w:eastAsia="Times New Roman" w:hAnsi="Times New Roman"/>
          <w:i/>
          <w:iCs/>
          <w:color w:val="6B7280"/>
          <w:sz w:val="20"/>
          <w:szCs w:val="20"/>
        </w:rPr>
        <w:t xml:space="preserve"> [Corrigé le 24/09/2026 : « et/ou Enlightened Journey » — cet ouvrage est de 1995 et n'est pas cité par la page de Jigme Lingpa ; son wikitexte appelle Thondup 1994 (Hidden Teachings of Tibet) et Thondup 1996 (Masters of Meditation and Miracles, éd. Talbott).]</w:t>
      </w:r>
    </w:p>
    <w:p>
      <w:pPr>
        <w:spacing w:after="40" w:before="40"/>
        <w:ind w:left="360" w:hanging="360"/>
      </w:pPr>
      <w:r>
        <w:rPr>
          <w:rFonts w:ascii="Times New Roman" w:cs="Times New Roman" w:eastAsia="Times New Roman" w:hAnsi="Times New Roman"/>
          <w:color w:val="1F2937"/>
          <w:sz w:val="22"/>
          <w:szCs w:val="22"/>
        </w:rPr>
        <w:t xml:space="preserve">• Le récit de la révélation du terma (lion blanc, vision de Boudhanath, avalement des rouleaux) relève du régime hagiographique et du récit de tradition — non de faits vérifiables par une enquête externe. Il est présenté comme tel dans la leçon.</w:t>
      </w:r>
    </w:p>
    <w:p>
      <w:pPr>
        <w:spacing w:after="40" w:before="40"/>
        <w:ind w:left="360" w:hanging="360"/>
      </w:pPr>
      <w:r>
        <w:rPr>
          <w:rFonts w:ascii="Times New Roman" w:cs="Times New Roman" w:eastAsia="Times New Roman" w:hAnsi="Times New Roman"/>
          <w:color w:val="1F2937"/>
          <w:sz w:val="22"/>
          <w:szCs w:val="22"/>
        </w:rPr>
        <w:t xml:space="preserve">• La leçon 15 écrivait « cinq siècles » pour caractériser l'écart entre Longchenpa et Jigme Lingpa. La présente leçon rectifie : 1364 à 1757 représente environ 393 ans, soit près de quatre siècles.</w:t>
      </w:r>
    </w:p>
    <w:p>
      <w:pPr>
        <w:pStyle w:val="Heading2"/>
        <w:spacing w:after="80" w:before="240"/>
      </w:pPr>
      <w:r>
        <w:rPr>
          <w:rFonts w:ascii="Times New Roman" w:cs="Times New Roman" w:eastAsia="Times New Roman" w:hAnsi="Times New Roman"/>
          <w:b/>
          <w:bCs/>
          <w:color w:val="1B3A6B"/>
          <w:sz w:val="30"/>
          <w:szCs w:val="30"/>
        </w:rPr>
        <w:t xml:space="preserve">📝 Journal des corrections</w:t>
      </w:r>
    </w:p>
    <w:p>
      <w:pPr>
        <w:spacing w:after="60" w:before="60"/>
      </w:pPr>
      <w:r>
        <w:rPr>
          <w:rFonts w:ascii="Times New Roman" w:cs="Times New Roman" w:eastAsia="Times New Roman" w:hAnsi="Times New Roman"/>
          <w:color w:val="1F2937"/>
          <w:sz w:val="22"/>
          <w:szCs w:val="22"/>
        </w:rPr>
        <w:t xml:space="preserve">Corrigée le 24/09/2026. Les sept pages accessibles ont été rouvertes une à une ; les formulations d'origine sont conservées ici, et seulement ici.</w:t>
      </w:r>
    </w:p>
    <w:p>
      <w:pPr>
        <w:spacing w:after="40" w:before="40"/>
        <w:ind w:left="360" w:hanging="360"/>
      </w:pPr>
      <w:r>
        <w:rPr>
          <w:rFonts w:ascii="Times New Roman" w:cs="Times New Roman" w:eastAsia="Times New Roman" w:hAnsi="Times New Roman"/>
          <w:color w:val="1F2937"/>
          <w:sz w:val="22"/>
          <w:szCs w:val="22"/>
        </w:rPr>
        <w:t xml:space="preserve">① « Selon Tulku Thondup et Harold Talbott (rapportés par Wikipedia), cette double filiation… » → la phrase de Wikipedia porte {{cn|date=June 2021}} : elle n'a pas d'auteur. Thondup et Talbott ne sont qu'en bibliographie.</w:t>
      </w:r>
    </w:p>
    <w:p>
      <w:pPr>
        <w:spacing w:after="40" w:before="40"/>
        <w:ind w:left="360" w:hanging="360"/>
      </w:pPr>
      <w:r>
        <w:rPr>
          <w:rFonts w:ascii="Times New Roman" w:cs="Times New Roman" w:eastAsia="Times New Roman" w:hAnsi="Times New Roman"/>
          <w:color w:val="1F2937"/>
          <w:sz w:val="22"/>
          <w:szCs w:val="22"/>
        </w:rPr>
        <w:t xml:space="preserve">② « selon Tricycle, figure centrale du mouvement rimé » → l'article est signé « By Alexander Gardner », s'intitule « Treasury of Lives: Jigme Lingpa Lineage » et date de Summer 2013 ; un magazine publie, il n'écrit pas. Le rimé n'est pas sur sa page : Wikipedia en fait un attribut de Jigme Lingpa (« A major precursor of the Rimé movement »), pas de Khyentse Wangpo. Même correction pour « cités par Tricycle », et l'adresse du lien, qui répondait 301.</w:t>
      </w:r>
    </w:p>
    <w:p>
      <w:pPr>
        <w:spacing w:after="40" w:before="40"/>
        <w:ind w:left="360" w:hanging="360"/>
      </w:pPr>
      <w:r>
        <w:rPr>
          <w:rFonts w:ascii="Times New Roman" w:cs="Times New Roman" w:eastAsia="Times New Roman" w:hAnsi="Times New Roman"/>
          <w:color w:val="1F2937"/>
          <w:sz w:val="22"/>
          <w:szCs w:val="22"/>
        </w:rPr>
        <w:t xml:space="preserve">③ « selon longchennyingtik.org un chemin complet en 21 sections thématiques » → le site ne porte ni le nombre ni le mot. Les 21 sections sont la liste de Sam van Schaik sur Wikipedia / Longchen Nyingtik, et « a complete path to enlightenment » y est la phrase de Dilgo Khyentse Rinpoché. Le nombre était juste, sa source non.</w:t>
      </w:r>
    </w:p>
    <w:p>
      <w:pPr>
        <w:spacing w:after="40" w:before="40"/>
        <w:ind w:left="360" w:hanging="360"/>
      </w:pPr>
      <w:r>
        <w:rPr>
          <w:rFonts w:ascii="Times New Roman" w:cs="Times New Roman" w:eastAsia="Times New Roman" w:hAnsi="Times New Roman"/>
          <w:color w:val="1F2937"/>
          <w:sz w:val="22"/>
          <w:szCs w:val="22"/>
        </w:rPr>
        <w:t xml:space="preserve">④ « garde ensuite ce terma secret pendant deux ans » → la source écrit « kept this terma secret for years » ; les deux ans sont une déduction de 1757 à 1759, désormais présentée comme telle.</w:t>
      </w:r>
    </w:p>
    <w:p>
      <w:pPr>
        <w:spacing w:after="40" w:before="40"/>
        <w:ind w:left="360" w:hanging="360"/>
      </w:pPr>
      <w:r>
        <w:rPr>
          <w:rFonts w:ascii="Times New Roman" w:cs="Times New Roman" w:eastAsia="Times New Roman" w:hAnsi="Times New Roman"/>
          <w:color w:val="1F2937"/>
          <w:sz w:val="22"/>
          <w:szCs w:val="22"/>
        </w:rPr>
        <w:t xml:space="preserve">⑤ Note de transparence : « Hidden Teachings of Tibet et/ou Enlightened Journey » → le wikitexte appelle Thondup 1994 (Hidden Teachings of Tibet) et Thondup 1996 (Masters of Meditation and Miracles, éd. Talbott). Enlightened Journey est de 1995 et n'est pas cité par cette page.</w:t>
      </w:r>
    </w:p>
    <w:p>
      <w:pPr>
        <w:spacing w:after="40" w:before="40"/>
        <w:ind w:left="360" w:hanging="360"/>
      </w:pPr>
      <w:r>
        <w:rPr>
          <w:rFonts w:ascii="Times New Roman" w:cs="Times New Roman" w:eastAsia="Times New Roman" w:hAnsi="Times New Roman"/>
          <w:color w:val="1F2937"/>
          <w:sz w:val="22"/>
          <w:szCs w:val="22"/>
        </w:rPr>
        <w:t xml:space="preserve">⑥ « la Bibliothèque nationale de France indique “1729 or 1730” » → une notice d'autorité affichée par le bloc Authority control de la page Wikipedia. Nommer une institution qu'on n'a pas ouverte est ce que B6 interdit. Et « Dodrupchen … propagateur au Kham oriental » : les dates sont sur Lotsawa House, déjà listée ; le Kham n'est sur aucune page ouverte, il est retiré. Le Yeshe Lama et le Kunzang Lama'i Shelung restent sans source, et c'est écrit à côté d'eux.</w:t>
      </w:r>
    </w:p>
    <w:p>
      <w:pPr>
        <w:spacing w:after="40" w:before="40"/>
        <w:ind w:left="360" w:hanging="360"/>
      </w:pPr>
      <w:r>
        <w:rPr>
          <w:rFonts w:ascii="Times New Roman" w:cs="Times New Roman" w:eastAsia="Times New Roman" w:hAnsi="Times New Roman"/>
          <w:color w:val="1F2937"/>
          <w:sz w:val="22"/>
          <w:szCs w:val="22"/>
        </w:rPr>
        <w:t xml:space="preserve">Vérifié et inchangé : les trois citations de Thondup, mot pour mot ; la discordance 1729/1730 ; les 21 sections et « tsa lung », qui sont bien dans la liste de van Schaik ; le rattachement de Dilgo Khyentse et Dzongsar Khyentse à cette lignée.</w:t>
      </w:r>
    </w:p>
    <w:p>
      <w:pPr>
        <w:spacing w:after="120" w:before="120"/>
      </w:pPr>
      <w:r>
        <w:rPr>
          <w:rFonts w:ascii="Times New Roman" w:cs="Times New Roman" w:eastAsia="Times New Roman" w:hAnsi="Times New Roman"/>
          <w:color w:val="D1D5DB"/>
          <w:sz w:val="18"/>
          <w:szCs w:val="18"/>
        </w:rPr>
        <w:t xml:space="preserve">─────────────────────────────────────────────</w:t>
      </w:r>
    </w:p>
    <w:p>
      <w:pPr>
        <w:pStyle w:val="Heading2"/>
        <w:spacing w:after="80" w:before="280"/>
      </w:pPr>
      <w:r>
        <w:rPr>
          <w:rFonts w:ascii="Times New Roman" w:cs="Times New Roman" w:eastAsia="Times New Roman" w:hAnsi="Times New Roman"/>
          <w:b/>
          <w:bCs/>
          <w:color w:val="1B3A6B"/>
          <w:sz w:val="30"/>
          <w:szCs w:val="30"/>
        </w:rPr>
        <w:t xml:space="preserve">🔜 Prochaine leçon</w:t>
      </w:r>
    </w:p>
    <w:p>
      <w:pPr>
        <w:spacing w:after="60" w:before="60"/>
      </w:pPr>
      <w:r>
        <w:rPr>
          <w:rFonts w:ascii="Times New Roman" w:cs="Times New Roman" w:eastAsia="Times New Roman" w:hAnsi="Times New Roman"/>
          <w:b/>
          <w:bCs/>
          <w:color w:val="1B3A6B"/>
          <w:sz w:val="22"/>
          <w:szCs w:val="22"/>
        </w:rPr>
        <w:t xml:space="preserve">Leçon 17 / 20 — </w:t>
      </w:r>
      <w:r>
        <w:rPr>
          <w:rFonts w:ascii="Times New Roman" w:cs="Times New Roman" w:eastAsia="Times New Roman" w:hAnsi="Times New Roman"/>
          <w:b/>
          <w:bCs/>
          <w:color w:val="1F2937"/>
          <w:sz w:val="22"/>
          <w:szCs w:val="22"/>
        </w:rPr>
        <w:t xml:space="preserve">Dzogchen et Mahamudra : convergences, différences, débats</w:t>
      </w:r>
    </w:p>
    <w:p>
      <w:pPr>
        <w:spacing w:after="60" w:before="60"/>
      </w:pPr>
      <w:r>
        <w:rPr>
          <w:rFonts w:ascii="Times New Roman" w:cs="Times New Roman" w:eastAsia="Times New Roman" w:hAnsi="Times New Roman"/>
          <w:color w:val="1F2937"/>
          <w:sz w:val="22"/>
          <w:szCs w:val="22"/>
        </w:rPr>
        <w:t xml:space="preserve">Le Dzogchen (tradition nyingma) et le Mahamudra (tradition kagyü, et présent aussi en sakya) sont souvent présentés comme deux routes vers la même réalisation. Pourtant les deux traditions ont aussi alimenté des débats théologiques profonds sur la nature de l'esprit, le rôle de l'analyse et la relation entre base et conscience. La leçon explorera à la fois les points de convergence réels et les différences doctrinales documentées.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jm2rnixbe1rxbqjbdsyx" Type="http://schemas.openxmlformats.org/officeDocument/2006/relationships/hyperlink" Target="https://www.lotsawahouse.org/tibetan-masters/jigme-lingpa" TargetMode="External"/><Relationship Id="rIdr3fa-j4rksefh5vfuv2ye" Type="http://schemas.openxmlformats.org/officeDocument/2006/relationships/hyperlink" Target="https://en.wikipedia.org/wiki/Jigme_Lingpa" TargetMode="External"/><Relationship Id="rIdmy3piaefaclvsx1rhanu6" Type="http://schemas.openxmlformats.org/officeDocument/2006/relationships/hyperlink" Target="https://en.wikipedia.org/wiki/Longchen_Nyingtik" TargetMode="External"/><Relationship Id="rIdhdivdd2fcmo9jdjjxdg9u" Type="http://schemas.openxmlformats.org/officeDocument/2006/relationships/hyperlink" Target="https://www.lotsawahouse.org/tibetan-masters/jigme-lingpa" TargetMode="External"/><Relationship Id="rIdm4i4esohk8wl0hta1galv" Type="http://schemas.openxmlformats.org/officeDocument/2006/relationships/hyperlink" Target="https://www.longchennyingtik.org/the-history" TargetMode="External"/><Relationship Id="rIdcsowj0yqgc-t_p5zwoxgo" Type="http://schemas.openxmlformats.org/officeDocument/2006/relationships/hyperlink" Target="https://tricycle.org/magazine/jigme-lingpa-lineage/" TargetMode="External"/><Relationship Id="rIdhlxgzfssbvbrrrj2r4foo" Type="http://schemas.openxmlformats.org/officeDocument/2006/relationships/hyperlink" Target="https://en.wikipedia.org/wiki/Terma_(religion)" TargetMode="External"/><Relationship Id="rIdxc3efm8iqtgec1-cz0ugp" Type="http://schemas.openxmlformats.org/officeDocument/2006/relationships/hyperlink" Target="https://www.rigpawiki.org/index.php?title=Jigme_Lingpa" TargetMode="External"/><Relationship Id="rId4aywf-d8l5u7vv9i1axas" Type="http://schemas.openxmlformats.org/officeDocument/2006/relationships/hyperlink" Target="https://rywiki.tsadra.org/index.php/Longchen_Nyingtik"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Dzogchen n°16 — Jigme Lingpa, le Longchen Nyingtik et la révélation des termas</dc:title>
  <dc:creator>Claude Code — job dzogchen-lecon</dc:creator>
  <dc:description>Parcours Dzogchen personnel — leçon 16/20</dc:description>
  <cp:lastModifiedBy>Un-named</cp:lastModifiedBy>
  <cp:revision>1</cp:revision>
  <dcterms:created xsi:type="dcterms:W3CDTF">2026-09-15T06:11:03.133Z</dcterms:created>
  <dcterms:modified xsi:type="dcterms:W3CDTF">2026-09-15T06:11:03.136Z</dcterms:modified>
</cp:coreProperties>
</file>

<file path=docProps/custom.xml><?xml version="1.0" encoding="utf-8"?>
<Properties xmlns="http://schemas.openxmlformats.org/officeDocument/2006/custom-properties" xmlns:vt="http://schemas.openxmlformats.org/officeDocument/2006/docPropsVTypes"/>
</file>