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Ennéagramme n°16</w:t>
      </w:r>
    </w:p>
    <w:p>
      <w:pPr>
        <w:pStyle w:val="Heading1"/>
        <w:spacing w:after="200" w:before="200"/>
        <w:jc w:val="center"/>
      </w:pPr>
      <w:r>
        <w:rPr>
          <w:rFonts w:ascii="Times New Roman" w:cs="Times New Roman" w:eastAsia="Times New Roman" w:hAnsi="Times New Roman"/>
          <w:b/>
          <w:bCs/>
          <w:color w:val="1B3A6B"/>
          <w:sz w:val="52"/>
          <w:szCs w:val="52"/>
        </w:rPr>
        <w:t xml:space="preserve">Les triades hornéviennes et harmoniques</w:t>
      </w:r>
    </w:p>
    <w:p>
      <w:pPr>
        <w:spacing w:after="60" w:before="60"/>
      </w:pPr>
      <w:r>
        <w:t xml:space="preserve"/>
      </w:r>
    </w:p>
    <w:p>
      <w:pPr>
        <w:spacing w:after="40" w:before="60"/>
        <w:jc w:val="center"/>
      </w:pPr>
      <w:r>
        <w:rPr>
          <w:rFonts w:ascii="Times New Roman" w:cs="Times New Roman" w:eastAsia="Times New Roman" w:hAnsi="Times New Roman"/>
          <w:i/>
          <w:iCs/>
          <w:color w:val="1B3A6B"/>
          <w:sz w:val="22"/>
          <w:szCs w:val="22"/>
        </w:rPr>
        <w:t xml:space="preserve">16 septembre 2026  •  Leçon 16 / 20</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b/>
          <w:bCs/>
          <w:color w:val="1F2937"/>
          <w:sz w:val="22"/>
          <w:szCs w:val="22"/>
        </w:rPr>
        <w:t xml:space="preserve">À l'issue de cette leçon</w:t>
      </w:r>
      <w:r>
        <w:rPr>
          <w:rFonts w:ascii="Times New Roman" w:cs="Times New Roman" w:eastAsia="Times New Roman" w:hAnsi="Times New Roman"/>
          <w:color w:val="1F2937"/>
          <w:sz w:val="22"/>
          <w:szCs w:val="22"/>
        </w:rPr>
        <w:t xml:space="preserve">, je serai capable 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deux triades secondaires de l'ennéagramme : hornéviennes et harmoniques.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Reconnaître, pour chaque type, son groupe hornévien (stratégie sociale) et son groupe harmonique (style de gestion de la déception).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Observer dans mes propres comportements les patterns de ces deux triades.</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Distinguer</w:t>
      </w:r>
      <w:r>
        <w:rPr>
          <w:rFonts w:ascii="Times New Roman" w:cs="Times New Roman" w:eastAsia="Times New Roman" w:hAnsi="Times New Roman"/>
          <w:color w:val="1F2937"/>
          <w:sz w:val="22"/>
          <w:szCs w:val="22"/>
        </w:rPr>
        <w:t xml:space="preserve"> ces deux systèmes sans les confondre ni les mettre en filiation.</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Lien avec la leçon 15 : </w:t>
      </w:r>
      <w:r>
        <w:rPr>
          <w:rFonts w:ascii="Times New Roman" w:cs="Times New Roman" w:eastAsia="Times New Roman" w:hAnsi="Times New Roman"/>
          <w:color w:val="1F2937"/>
          <w:sz w:val="22"/>
          <w:szCs w:val="22"/>
        </w:rPr>
        <w:t xml:space="preserve">La leçon précédente explorait les trois instincts et les 27 sous-types — une profondeur </w:t>
      </w:r>
      <w:r>
        <w:rPr>
          <w:rFonts w:ascii="Times New Roman" w:cs="Times New Roman" w:eastAsia="Times New Roman" w:hAnsi="Times New Roman"/>
          <w:i/>
          <w:iCs/>
          <w:color w:val="1F2937"/>
          <w:sz w:val="22"/>
          <w:szCs w:val="22"/>
        </w:rPr>
        <w:t xml:space="preserve">verticale</w:t>
      </w:r>
      <w:r>
        <w:rPr>
          <w:rFonts w:ascii="Times New Roman" w:cs="Times New Roman" w:eastAsia="Times New Roman" w:hAnsi="Times New Roman"/>
          <w:color w:val="1F2937"/>
          <w:sz w:val="22"/>
          <w:szCs w:val="22"/>
        </w:rPr>
        <w:t xml:space="preserve">, à l'intérieur de chaque type. Cette leçon explore une lecture </w:t>
      </w:r>
      <w:r>
        <w:rPr>
          <w:rFonts w:ascii="Times New Roman" w:cs="Times New Roman" w:eastAsia="Times New Roman" w:hAnsi="Times New Roman"/>
          <w:i/>
          <w:iCs/>
          <w:color w:val="1F2937"/>
          <w:sz w:val="22"/>
          <w:szCs w:val="22"/>
        </w:rPr>
        <w:t xml:space="preserve">horizontale</w:t>
      </w:r>
      <w:r>
        <w:rPr>
          <w:rFonts w:ascii="Times New Roman" w:cs="Times New Roman" w:eastAsia="Times New Roman" w:hAnsi="Times New Roman"/>
          <w:color w:val="1F2937"/>
          <w:sz w:val="22"/>
          <w:szCs w:val="22"/>
        </w:rPr>
        <w:t xml:space="preserve"> : les triades secondaires regroupent les types </w:t>
      </w:r>
      <w:r>
        <w:rPr>
          <w:rFonts w:ascii="Times New Roman" w:cs="Times New Roman" w:eastAsia="Times New Roman" w:hAnsi="Times New Roman"/>
          <w:b/>
          <w:bCs/>
          <w:color w:val="1F2937"/>
          <w:sz w:val="22"/>
          <w:szCs w:val="22"/>
        </w:rPr>
        <w:t xml:space="preserve">entre eux</w:t>
      </w:r>
      <w:r>
        <w:rPr>
          <w:rFonts w:ascii="Times New Roman" w:cs="Times New Roman" w:eastAsia="Times New Roman" w:hAnsi="Times New Roman"/>
          <w:color w:val="1F2937"/>
          <w:sz w:val="22"/>
          <w:szCs w:val="22"/>
        </w:rPr>
        <w:t xml:space="preserve"> selon des dynamiques comportementales transversales.</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Deux grilles de lecture complémentaires</w:t>
      </w:r>
    </w:p>
    <w:p>
      <w:pPr>
        <w:spacing w:after="60" w:before="60"/>
      </w:pPr>
      <w:r>
        <w:rPr>
          <w:rFonts w:ascii="Times New Roman" w:cs="Times New Roman" w:eastAsia="Times New Roman" w:hAnsi="Times New Roman"/>
          <w:color w:val="1F2937"/>
          <w:sz w:val="22"/>
          <w:szCs w:val="22"/>
        </w:rPr>
        <w:t xml:space="preserve">L'ennéagramme ne s'épuise pas dans les 9 types individuels. Dans leur ouvrage de référence </w:t>
      </w:r>
      <w:r>
        <w:rPr>
          <w:rFonts w:ascii="Times New Roman" w:cs="Times New Roman" w:eastAsia="Times New Roman" w:hAnsi="Times New Roman"/>
          <w:i/>
          <w:iCs/>
          <w:color w:val="1F2937"/>
          <w:sz w:val="22"/>
          <w:szCs w:val="22"/>
        </w:rPr>
        <w:t xml:space="preserve">The Wisdom of the Enneagram</w:t>
      </w:r>
      <w:r>
        <w:rPr>
          <w:rFonts w:ascii="Times New Roman" w:cs="Times New Roman" w:eastAsia="Times New Roman" w:hAnsi="Times New Roman"/>
          <w:color w:val="1F2937"/>
          <w:sz w:val="22"/>
          <w:szCs w:val="22"/>
        </w:rPr>
        <w:t xml:space="preserve"> (1999), Don Riso et Russ Hudson ont formalisé plusieurs systèmes de regroupement qui éclairent les types sous des angles différents. Deux de ces systèmes — les triades hornéviennes et les triades harmoniques — constituent les « triades secondaires » de ce parcours.</w:t>
      </w:r>
    </w:p>
    <w:p>
      <w:pPr>
        <w:spacing w:after="60" w:before="60"/>
      </w:pPr>
      <w:r>
        <w:t xml:space="preserve"/>
      </w:r>
    </w:p>
    <w:p>
      <w:pPr>
        <w:shd w:fill="FFF3CD" w:val="clear"/>
        <w:spacing w:after="80" w:before="80"/>
        <w:ind w:left="431" w:right="431"/>
      </w:pPr>
      <w:r>
        <w:rPr>
          <w:rFonts w:ascii="Times New Roman" w:cs="Times New Roman" w:eastAsia="Times New Roman" w:hAnsi="Times New Roman"/>
          <w:b/>
          <w:bCs/>
          <w:color w:val="7B4B00"/>
          <w:sz w:val="22"/>
          <w:szCs w:val="22"/>
        </w:rPr>
        <w:t xml:space="preserve">⚠️ Ces deux systèmes sont parallèles, pas hiérarchiques. Ils répondent à deux questions différentes, et Riso et Hudson les présentent en parallèle — non comme l'un procédant de l'autre. Ils ne sont pas davantage l'un l'ancêtre de l'autre.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Les triades hornéviennes</w:t>
      </w:r>
    </w:p>
    <w:p>
      <w:pPr>
        <w:spacing w:after="60" w:before="60"/>
      </w:pPr>
      <w:r>
        <w:rPr>
          <w:rFonts w:ascii="Times New Roman" w:cs="Times New Roman" w:eastAsia="Times New Roman" w:hAnsi="Times New Roman"/>
          <w:color w:val="1F2937"/>
          <w:sz w:val="22"/>
          <w:szCs w:val="22"/>
        </w:rPr>
        <w:t xml:space="preserve">Le nom vient de la psychanalyste </w:t>
      </w:r>
      <w:r>
        <w:rPr>
          <w:rFonts w:ascii="Times New Roman" w:cs="Times New Roman" w:eastAsia="Times New Roman" w:hAnsi="Times New Roman"/>
          <w:b/>
          <w:bCs/>
          <w:color w:val="1F2937"/>
          <w:sz w:val="22"/>
          <w:szCs w:val="22"/>
        </w:rPr>
        <w:t xml:space="preserve">Karen Horney</w:t>
      </w:r>
      <w:r>
        <w:rPr>
          <w:rFonts w:ascii="Times New Roman" w:cs="Times New Roman" w:eastAsia="Times New Roman" w:hAnsi="Times New Roman"/>
          <w:color w:val="1F2937"/>
          <w:sz w:val="22"/>
          <w:szCs w:val="22"/>
        </w:rPr>
        <w:t xml:space="preserve"> (1885–1952), qui avait identifié trois orientations relationnelles fondamentales dans ses travaux sur la névrose : </w:t>
      </w:r>
      <w:r>
        <w:rPr>
          <w:rFonts w:ascii="Times New Roman" w:cs="Times New Roman" w:eastAsia="Times New Roman" w:hAnsi="Times New Roman"/>
          <w:i/>
          <w:iCs/>
          <w:color w:val="1F2937"/>
          <w:sz w:val="22"/>
          <w:szCs w:val="22"/>
        </w:rPr>
        <w:t xml:space="preserve">moving toward people</w:t>
      </w:r>
      <w:r>
        <w:rPr>
          <w:rFonts w:ascii="Times New Roman" w:cs="Times New Roman" w:eastAsia="Times New Roman" w:hAnsi="Times New Roman"/>
          <w:color w:val="1F2937"/>
          <w:sz w:val="22"/>
          <w:szCs w:val="22"/>
        </w:rPr>
        <w:t xml:space="preserve"> (vers les autres), </w:t>
      </w:r>
      <w:r>
        <w:rPr>
          <w:rFonts w:ascii="Times New Roman" w:cs="Times New Roman" w:eastAsia="Times New Roman" w:hAnsi="Times New Roman"/>
          <w:i/>
          <w:iCs/>
          <w:color w:val="1F2937"/>
          <w:sz w:val="22"/>
          <w:szCs w:val="22"/>
        </w:rPr>
        <w:t xml:space="preserve">moving against people</w:t>
      </w:r>
      <w:r>
        <w:rPr>
          <w:rFonts w:ascii="Times New Roman" w:cs="Times New Roman" w:eastAsia="Times New Roman" w:hAnsi="Times New Roman"/>
          <w:color w:val="1F2937"/>
          <w:sz w:val="22"/>
          <w:szCs w:val="22"/>
        </w:rPr>
        <w:t xml:space="preserve"> (contre les autres), </w:t>
      </w:r>
      <w:r>
        <w:rPr>
          <w:rFonts w:ascii="Times New Roman" w:cs="Times New Roman" w:eastAsia="Times New Roman" w:hAnsi="Times New Roman"/>
          <w:i/>
          <w:iCs/>
          <w:color w:val="1F2937"/>
          <w:sz w:val="22"/>
          <w:szCs w:val="22"/>
        </w:rPr>
        <w:t xml:space="preserve">moving away from people</w:t>
      </w:r>
      <w:r>
        <w:rPr>
          <w:rFonts w:ascii="Times New Roman" w:cs="Times New Roman" w:eastAsia="Times New Roman" w:hAnsi="Times New Roman"/>
          <w:color w:val="1F2937"/>
          <w:sz w:val="22"/>
          <w:szCs w:val="22"/>
        </w:rPr>
        <w:t xml:space="preserve"> (loin des autres). Riso et Hudson ont reconnu dans cette grille une correspondance avec les types de l'ennéagramme et ont nommé ce regroupement en son honneur. Karen Horney elle-même n'a pas travaillé sur l'ennéagramme : c'est une adaptation, pas une extension directe de ses travaux.</w:t>
      </w:r>
    </w:p>
    <w:p>
      <w:pPr>
        <w:spacing w:after="60" w:before="60"/>
      </w:pPr>
      <w:r>
        <w:t xml:space="preserve"/>
      </w:r>
    </w:p>
    <w:p>
      <w:pPr>
        <w:spacing w:after="60" w:before="60"/>
      </w:pPr>
      <w:r>
        <w:rPr>
          <w:rFonts w:ascii="Times New Roman" w:cs="Times New Roman" w:eastAsia="Times New Roman" w:hAnsi="Times New Roman"/>
          <w:color w:val="1F2937"/>
          <w:sz w:val="22"/>
          <w:szCs w:val="22"/>
        </w:rPr>
        <w:t xml:space="preserve">Ces triades décrivent la </w:t>
      </w:r>
      <w:r>
        <w:rPr>
          <w:rFonts w:ascii="Times New Roman" w:cs="Times New Roman" w:eastAsia="Times New Roman" w:hAnsi="Times New Roman"/>
          <w:b/>
          <w:bCs/>
          <w:color w:val="1F2937"/>
          <w:sz w:val="22"/>
          <w:szCs w:val="22"/>
        </w:rPr>
        <w:t xml:space="preserve">stratégie sociale</w:t>
      </w:r>
      <w:r>
        <w:rPr>
          <w:rFonts w:ascii="Times New Roman" w:cs="Times New Roman" w:eastAsia="Times New Roman" w:hAnsi="Times New Roman"/>
          <w:color w:val="1F2937"/>
          <w:sz w:val="22"/>
          <w:szCs w:val="22"/>
        </w:rPr>
        <w:t xml:space="preserve"> de chaque type : comment chaque type cherche à obtenir ce dont il a besoin dans ses interactions avec les autres.</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Assertif (Assertive) — Types 3, 7, 8</w:t>
      </w:r>
    </w:p>
    <w:p>
      <w:pPr>
        <w:spacing w:after="60" w:before="60"/>
      </w:pPr>
      <w:r>
        <w:rPr>
          <w:rFonts w:ascii="Times New Roman" w:cs="Times New Roman" w:eastAsia="Times New Roman" w:hAnsi="Times New Roman"/>
          <w:color w:val="1F2937"/>
          <w:sz w:val="22"/>
          <w:szCs w:val="22"/>
        </w:rPr>
        <w:t xml:space="preserve">Ces types adoptent une posture active et directe : ils vont chercher ce qu'ils veulent sans s'interroger longuement sur l'approbation des autres. Ils tendent à minimiser leurs émotions au profit de l'action. La prise d'initiative leur est naturelle ; l'autocritique ou la dépendance aux autres, moins.</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Conformiste (Compliant) — Types 1, 2, 6</w:t>
      </w:r>
    </w:p>
    <w:p>
      <w:pPr>
        <w:spacing w:after="60" w:before="60"/>
      </w:pPr>
      <w:r>
        <w:rPr>
          <w:rFonts w:ascii="Times New Roman" w:cs="Times New Roman" w:eastAsia="Times New Roman" w:hAnsi="Times New Roman"/>
          <w:color w:val="1F2937"/>
          <w:sz w:val="22"/>
          <w:szCs w:val="22"/>
        </w:rPr>
        <w:t xml:space="preserve">Ces types se tournent vers les autres. Ils cherchent à satisfaire leur propre code moral (superego) et à répondre aux attentes extérieures. Consciencieux et fiables, ils ont tendance à mettre leurs propres besoins en attente. </w:t>
      </w:r>
      <w:r>
        <w:rPr>
          <w:rFonts w:ascii="Times New Roman" w:cs="Times New Roman" w:eastAsia="Times New Roman" w:hAnsi="Times New Roman"/>
          <w:i/>
          <w:iCs/>
          <w:color w:val="1F2937"/>
          <w:sz w:val="22"/>
          <w:szCs w:val="22"/>
        </w:rPr>
        <w:t xml:space="preserve">Compliant</w:t>
      </w:r>
      <w:r>
        <w:rPr>
          <w:rFonts w:ascii="Times New Roman" w:cs="Times New Roman" w:eastAsia="Times New Roman" w:hAnsi="Times New Roman"/>
          <w:color w:val="1F2937"/>
          <w:sz w:val="22"/>
          <w:szCs w:val="22"/>
        </w:rPr>
        <w:t xml:space="preserve"> — en anglais </w:t>
      </w:r>
      <w:r>
        <w:rPr>
          <w:rFonts w:ascii="Times New Roman" w:cs="Times New Roman" w:eastAsia="Times New Roman" w:hAnsi="Times New Roman"/>
          <w:i/>
          <w:iCs/>
          <w:color w:val="1F2937"/>
          <w:sz w:val="22"/>
          <w:szCs w:val="22"/>
        </w:rPr>
        <w:t xml:space="preserve">compliant</w:t>
      </w:r>
      <w:r>
        <w:rPr>
          <w:rFonts w:ascii="Times New Roman" w:cs="Times New Roman" w:eastAsia="Times New Roman" w:hAnsi="Times New Roman"/>
          <w:color w:val="1F2937"/>
          <w:sz w:val="22"/>
          <w:szCs w:val="22"/>
        </w:rPr>
        <w:t xml:space="preserve">, c'est-à-dire celui qui se conforme — ne doit pas se lire comme le français « complaisant » : il s'agit d'une adhésion aux règles et aux valeurs du groupe, pas de servilité.</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Retrait (Withdrawn) — Types 4, 5, 9</w:t>
      </w:r>
    </w:p>
    <w:p>
      <w:pPr>
        <w:spacing w:after="60" w:before="60"/>
      </w:pPr>
      <w:r>
        <w:rPr>
          <w:rFonts w:ascii="Times New Roman" w:cs="Times New Roman" w:eastAsia="Times New Roman" w:hAnsi="Times New Roman"/>
          <w:color w:val="1F2937"/>
          <w:sz w:val="22"/>
          <w:szCs w:val="22"/>
        </w:rPr>
        <w:t xml:space="preserve">Ces types s'éloignent des autres pour traiter leurs besoins en intérieur. Ils puisent dans leur monde intérieur (émotions, idées, paix) pour reconstituer leurs ressources. </w:t>
      </w:r>
      <w:r>
        <w:rPr>
          <w:rFonts w:ascii="Times New Roman" w:cs="Times New Roman" w:eastAsia="Times New Roman" w:hAnsi="Times New Roman"/>
          <w:i/>
          <w:iCs/>
          <w:color w:val="1F2937"/>
          <w:sz w:val="22"/>
          <w:szCs w:val="22"/>
        </w:rPr>
        <w:t xml:space="preserve">Withdrawn</w:t>
      </w:r>
      <w:r>
        <w:rPr>
          <w:rFonts w:ascii="Times New Roman" w:cs="Times New Roman" w:eastAsia="Times New Roman" w:hAnsi="Times New Roman"/>
          <w:color w:val="1F2937"/>
          <w:sz w:val="22"/>
          <w:szCs w:val="22"/>
        </w:rPr>
        <w:t xml:space="preserve"> — « retiré » — ne signifie pas nécessairement de la timidité : c'est une orientation vers soi plutôt que vers l'extérieur lorsque les besoins ne sont pas satisfaits.</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Structure notable : chaque groupe hornévien contient exactement un type de chaque centre d'intelligence (instinctif, émotionnel, mental). Les hornéviennes recoupent donc les trois centres sans les reproduire — elles les traversent de façon indépendante.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Les triades harmoniques</w:t>
      </w:r>
    </w:p>
    <w:p>
      <w:pPr>
        <w:spacing w:after="60" w:before="60"/>
      </w:pPr>
      <w:r>
        <w:rPr>
          <w:rFonts w:ascii="Times New Roman" w:cs="Times New Roman" w:eastAsia="Times New Roman" w:hAnsi="Times New Roman"/>
          <w:color w:val="1F2937"/>
          <w:sz w:val="22"/>
          <w:szCs w:val="22"/>
        </w:rPr>
        <w:t xml:space="preserve">Les triades harmoniques sont une création propre de </w:t>
      </w:r>
      <w:r>
        <w:rPr>
          <w:rFonts w:ascii="Times New Roman" w:cs="Times New Roman" w:eastAsia="Times New Roman" w:hAnsi="Times New Roman"/>
          <w:b/>
          <w:bCs/>
          <w:color w:val="1F2937"/>
          <w:sz w:val="22"/>
          <w:szCs w:val="22"/>
        </w:rPr>
        <w:t xml:space="preserve">Riso et Hudson</w:t>
      </w:r>
      <w:r>
        <w:rPr>
          <w:rFonts w:ascii="Times New Roman" w:cs="Times New Roman" w:eastAsia="Times New Roman" w:hAnsi="Times New Roman"/>
          <w:color w:val="1F2937"/>
          <w:sz w:val="22"/>
          <w:szCs w:val="22"/>
        </w:rPr>
        <w:t xml:space="preserve">, formalisée dans </w:t>
      </w:r>
      <w:r>
        <w:rPr>
          <w:rFonts w:ascii="Times New Roman" w:cs="Times New Roman" w:eastAsia="Times New Roman" w:hAnsi="Times New Roman"/>
          <w:i/>
          <w:iCs/>
          <w:color w:val="1F2937"/>
          <w:sz w:val="22"/>
          <w:szCs w:val="22"/>
        </w:rPr>
        <w:t xml:space="preserve">The Wisdom of the Enneagram</w:t>
      </w:r>
      <w:r>
        <w:rPr>
          <w:rFonts w:ascii="Times New Roman" w:cs="Times New Roman" w:eastAsia="Times New Roman" w:hAnsi="Times New Roman"/>
          <w:color w:val="1F2937"/>
          <w:sz w:val="22"/>
          <w:szCs w:val="22"/>
        </w:rPr>
        <w:t xml:space="preserve"> (1999). Elles répondent à une question différente : non plus </w:t>
      </w:r>
      <w:r>
        <w:rPr>
          <w:rFonts w:ascii="Times New Roman" w:cs="Times New Roman" w:eastAsia="Times New Roman" w:hAnsi="Times New Roman"/>
          <w:i/>
          <w:iCs/>
          <w:color w:val="1F2937"/>
          <w:sz w:val="22"/>
          <w:szCs w:val="22"/>
        </w:rPr>
        <w:t xml:space="preserve">comment cherches-tu à obtenir ce que tu veux ?</w:t>
      </w:r>
      <w:r>
        <w:rPr>
          <w:rFonts w:ascii="Times New Roman" w:cs="Times New Roman" w:eastAsia="Times New Roman" w:hAnsi="Times New Roman"/>
          <w:color w:val="1F2937"/>
          <w:sz w:val="22"/>
          <w:szCs w:val="22"/>
        </w:rPr>
        <w:t xml:space="preserve">, mais </w:t>
      </w:r>
      <w:r>
        <w:rPr>
          <w:rFonts w:ascii="Times New Roman" w:cs="Times New Roman" w:eastAsia="Times New Roman" w:hAnsi="Times New Roman"/>
          <w:i/>
          <w:iCs/>
          <w:color w:val="1F2937"/>
          <w:sz w:val="22"/>
          <w:szCs w:val="22"/>
        </w:rPr>
        <w:t xml:space="preserve">comment gères-tu la déception, le conflit, ou la non-satisfaction de tes besoins ?</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Positive Outlook — Types 2, 7, 9</w:t>
      </w:r>
    </w:p>
    <w:p>
      <w:pPr>
        <w:spacing w:after="60" w:before="60"/>
      </w:pPr>
      <w:r>
        <w:rPr>
          <w:rFonts w:ascii="Times New Roman" w:cs="Times New Roman" w:eastAsia="Times New Roman" w:hAnsi="Times New Roman"/>
          <w:color w:val="1F2937"/>
          <w:sz w:val="22"/>
          <w:szCs w:val="22"/>
        </w:rPr>
        <w:t xml:space="preserve">Face à la déception, ces types adoptent une lecture optimiste ou réencadrent la situation positivement. Selon enneagramexplained.com/enneagram-harmonic-groups/, ils tendent à minimiser le problème, parfois jusqu'à nier qu'il existe (synthèse, non citation directe). L'évitement du conflit et la tendance à réencadrer peuvent masquer des besoins non exprimés. Chaque type le fait à sa façon : le 7 par l'enthousiasme et la projection vers l'avenir, le 9 en mettant en avant les qualités des autres, le 2 en maintenant une image positive de lui-même.</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Compétence — Types 1, 3, 5</w:t>
      </w:r>
    </w:p>
    <w:p>
      <w:pPr>
        <w:spacing w:after="60" w:before="60"/>
      </w:pPr>
      <w:r>
        <w:rPr>
          <w:rFonts w:ascii="Times New Roman" w:cs="Times New Roman" w:eastAsia="Times New Roman" w:hAnsi="Times New Roman"/>
          <w:color w:val="1F2937"/>
          <w:sz w:val="22"/>
          <w:szCs w:val="22"/>
        </w:rPr>
        <w:t xml:space="preserve">Ces types gèrent la déception par la logique, l'efficacité et la résolution de problèmes. Ils tendent à mettre les émotions de côté pour rester dans le concret et l'objectif. La répression émotionnelle peut empêcher un traitement réel de la déception. Le 1 insiste sur la correction et les règles, le 3 sur l'efficacité, le 5 sur l'expertise — trois façons d'objectiver ce qui dérange.</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Réactif (Reactive / Emotional Realness) — Types 4, 6, 8</w:t>
      </w:r>
    </w:p>
    <w:p>
      <w:pPr>
        <w:spacing w:after="60" w:before="60"/>
      </w:pPr>
      <w:r>
        <w:rPr>
          <w:rFonts w:ascii="Times New Roman" w:cs="Times New Roman" w:eastAsia="Times New Roman" w:hAnsi="Times New Roman"/>
          <w:color w:val="1F2937"/>
          <w:sz w:val="22"/>
          <w:szCs w:val="22"/>
        </w:rPr>
        <w:t xml:space="preserve">Ces types expriment leurs émotions avec intensité face à la déception. Ils veulent être entendus dans ce qu'ils ressentent et attendent une réponse franche et directe. La méfiance envers l'autorité et une certaine ambivalence relationnelle (chercher le soutien des autres tout en voulant rester indépendant) sont des thèmes communs à ce groupe. Le 4 se retire en cherchant du soutien, le 6 évalue la situation entre dépendance et indépendance, le 8 exprime son indignation ouvertement.</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Structure notable : chaque groupe harmonique contient également un type de chaque centre d'intelligence — la même symétrie que les hornéviennes. Les deux systèmes ont été conçus en parallèle, et cette symétrie est intentionnelle.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Note sur la terminologie — David Daniels</w:t>
      </w:r>
    </w:p>
    <w:p>
      <w:pPr>
        <w:spacing w:after="60" w:before="60"/>
      </w:pPr>
      <w:r>
        <w:rPr>
          <w:rFonts w:ascii="Times New Roman" w:cs="Times New Roman" w:eastAsia="Times New Roman" w:hAnsi="Times New Roman"/>
          <w:color w:val="1F2937"/>
          <w:sz w:val="22"/>
          <w:szCs w:val="22"/>
        </w:rPr>
        <w:t xml:space="preserve">David Daniels, co-fondateur de la Narrative Enneagram et référence dans ce parcours, utilise des noms différents pour des regroupements analogues : </w:t>
      </w:r>
      <w:r>
        <w:rPr>
          <w:rFonts w:ascii="Times New Roman" w:cs="Times New Roman" w:eastAsia="Times New Roman" w:hAnsi="Times New Roman"/>
          <w:i/>
          <w:iCs/>
          <w:color w:val="1F2937"/>
          <w:sz w:val="22"/>
          <w:szCs w:val="22"/>
        </w:rPr>
        <w:t xml:space="preserve">Life Energy Triads</w:t>
      </w:r>
      <w:r>
        <w:rPr>
          <w:rFonts w:ascii="Times New Roman" w:cs="Times New Roman" w:eastAsia="Times New Roman" w:hAnsi="Times New Roman"/>
          <w:color w:val="1F2937"/>
          <w:sz w:val="22"/>
          <w:szCs w:val="22"/>
        </w:rPr>
        <w:t xml:space="preserve"> (Actif / Réceptif / Équilibrant) et </w:t>
      </w:r>
      <w:r>
        <w:rPr>
          <w:rFonts w:ascii="Times New Roman" w:cs="Times New Roman" w:eastAsia="Times New Roman" w:hAnsi="Times New Roman"/>
          <w:i/>
          <w:iCs/>
          <w:color w:val="1F2937"/>
          <w:sz w:val="22"/>
          <w:szCs w:val="22"/>
        </w:rPr>
        <w:t xml:space="preserve">Emotional Regulation Triads</w:t>
      </w:r>
      <w:r>
        <w:rPr>
          <w:rFonts w:ascii="Times New Roman" w:cs="Times New Roman" w:eastAsia="Times New Roman" w:hAnsi="Times New Roman"/>
          <w:color w:val="1F2937"/>
          <w:sz w:val="22"/>
          <w:szCs w:val="22"/>
        </w:rPr>
        <w:t xml:space="preserve"> (Expression / Confinement / Recadrage). La correspondance avec les hornéviennes et harmoniques de Riso-Hudson est notable, mais les terminologies ne sont pas interchangeables : les deux auteurs ne partagent pas la même théorie, et leur accord de surface mérite d'être vérifié cas par cas plutôt qu'assumé. Dans cette leçon, la terminologie de référence reste celle de Riso-Hudson.</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Tableau de synthèse — Les deux triades pour les 9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Type</w:t>
            </w:r>
          </w:p>
        </w:tc>
        <w:tc>
          <w:tcPr>
            <w:shd w:fill="1B3A6B" w:val="clear"/>
          </w:tcPr>
          <w:p>
            <w:pPr>
              <w:jc w:val="center"/>
            </w:pPr>
            <w:r>
              <w:rPr>
                <w:rFonts w:ascii="Times New Roman" w:cs="Times New Roman" w:eastAsia="Times New Roman" w:hAnsi="Times New Roman"/>
                <w:b/>
                <w:bCs/>
                <w:color w:val="FFFFFF"/>
                <w:sz w:val="20"/>
                <w:szCs w:val="20"/>
              </w:rPr>
              <w:t xml:space="preserve">Centre</w:t>
            </w:r>
          </w:p>
        </w:tc>
        <w:tc>
          <w:tcPr>
            <w:shd w:fill="1B3A6B" w:val="clear"/>
          </w:tcPr>
          <w:p>
            <w:pPr>
              <w:jc w:val="center"/>
            </w:pPr>
            <w:r>
              <w:rPr>
                <w:rFonts w:ascii="Times New Roman" w:cs="Times New Roman" w:eastAsia="Times New Roman" w:hAnsi="Times New Roman"/>
                <w:b/>
                <w:bCs/>
                <w:color w:val="FFFFFF"/>
                <w:sz w:val="20"/>
                <w:szCs w:val="20"/>
              </w:rPr>
              <w:t xml:space="preserve">Hornévienne</w:t>
            </w:r>
          </w:p>
        </w:tc>
        <w:tc>
          <w:tcPr>
            <w:shd w:fill="1B3A6B" w:val="clear"/>
          </w:tcPr>
          <w:p>
            <w:pPr>
              <w:jc w:val="center"/>
            </w:pPr>
            <w:r>
              <w:rPr>
                <w:rFonts w:ascii="Times New Roman" w:cs="Times New Roman" w:eastAsia="Times New Roman" w:hAnsi="Times New Roman"/>
                <w:b/>
                <w:bCs/>
                <w:color w:val="FFFFFF"/>
                <w:sz w:val="20"/>
                <w:szCs w:val="20"/>
              </w:rPr>
              <w:t xml:space="preserve">Harmonique</w:t>
            </w:r>
          </w:p>
        </w:tc>
      </w:tr>
      <w:tr>
        <w:tc>
          <w:tcPr>
            <w:shd w:fill="FFFFFF" w:val="clear"/>
          </w:tcPr>
          <w:p>
            <w:pPr>
              <w:jc w:val="center"/>
            </w:pPr>
            <w:r>
              <w:rPr>
                <w:rFonts w:ascii="Times New Roman" w:cs="Times New Roman" w:eastAsia="Times New Roman" w:hAnsi="Times New Roman"/>
                <w:color w:val="1F2937"/>
                <w:sz w:val="20"/>
                <w:szCs w:val="20"/>
              </w:rPr>
              <w:t xml:space="preserve">1</w:t>
            </w:r>
          </w:p>
        </w:tc>
        <w:tc>
          <w:tcPr>
            <w:shd w:fill="FFFFFF" w:val="clear"/>
          </w:tcPr>
          <w:p>
            <w:pPr>
              <w:jc w:val="left"/>
            </w:pPr>
            <w:r>
              <w:rPr>
                <w:rFonts w:ascii="Times New Roman" w:cs="Times New Roman" w:eastAsia="Times New Roman" w:hAnsi="Times New Roman"/>
                <w:color w:val="1F2937"/>
                <w:sz w:val="20"/>
                <w:szCs w:val="20"/>
              </w:rPr>
              <w:t xml:space="preserve">Instinctif</w:t>
            </w:r>
          </w:p>
        </w:tc>
        <w:tc>
          <w:tcPr>
            <w:shd w:fill="FFFFFF" w:val="clear"/>
          </w:tcPr>
          <w:p>
            <w:pPr>
              <w:jc w:val="left"/>
            </w:pPr>
            <w:r>
              <w:rPr>
                <w:rFonts w:ascii="Times New Roman" w:cs="Times New Roman" w:eastAsia="Times New Roman" w:hAnsi="Times New Roman"/>
                <w:color w:val="1F2937"/>
                <w:sz w:val="20"/>
                <w:szCs w:val="20"/>
              </w:rPr>
              <w:t xml:space="preserve">Conformiste (Compliant)</w:t>
            </w:r>
          </w:p>
        </w:tc>
        <w:tc>
          <w:tcPr>
            <w:shd w:fill="FFFFFF" w:val="clear"/>
          </w:tcPr>
          <w:p>
            <w:pPr>
              <w:jc w:val="left"/>
            </w:pPr>
            <w:r>
              <w:rPr>
                <w:rFonts w:ascii="Times New Roman" w:cs="Times New Roman" w:eastAsia="Times New Roman" w:hAnsi="Times New Roman"/>
                <w:color w:val="1F2937"/>
                <w:sz w:val="20"/>
                <w:szCs w:val="20"/>
              </w:rPr>
              <w:t xml:space="preserve">Compétence</w:t>
            </w:r>
          </w:p>
        </w:tc>
      </w:tr>
      <w:tr>
        <w:tc>
          <w:tcPr>
            <w:shd w:fill="EEF2F7" w:val="clear"/>
          </w:tcPr>
          <w:p>
            <w:pPr>
              <w:jc w:val="center"/>
            </w:pPr>
            <w:r>
              <w:rPr>
                <w:rFonts w:ascii="Times New Roman" w:cs="Times New Roman" w:eastAsia="Times New Roman" w:hAnsi="Times New Roman"/>
                <w:color w:val="1F2937"/>
                <w:sz w:val="20"/>
                <w:szCs w:val="20"/>
              </w:rPr>
              <w:t xml:space="preserve">2</w:t>
            </w:r>
          </w:p>
        </w:tc>
        <w:tc>
          <w:tcPr>
            <w:shd w:fill="EEF2F7" w:val="clear"/>
          </w:tcPr>
          <w:p>
            <w:pPr>
              <w:jc w:val="left"/>
            </w:pPr>
            <w:r>
              <w:rPr>
                <w:rFonts w:ascii="Times New Roman" w:cs="Times New Roman" w:eastAsia="Times New Roman" w:hAnsi="Times New Roman"/>
                <w:color w:val="1F2937"/>
                <w:sz w:val="20"/>
                <w:szCs w:val="20"/>
              </w:rPr>
              <w:t xml:space="preserve">Émotionnel</w:t>
            </w:r>
          </w:p>
        </w:tc>
        <w:tc>
          <w:tcPr>
            <w:shd w:fill="EEF2F7" w:val="clear"/>
          </w:tcPr>
          <w:p>
            <w:pPr>
              <w:jc w:val="left"/>
            </w:pPr>
            <w:r>
              <w:rPr>
                <w:rFonts w:ascii="Times New Roman" w:cs="Times New Roman" w:eastAsia="Times New Roman" w:hAnsi="Times New Roman"/>
                <w:color w:val="1F2937"/>
                <w:sz w:val="20"/>
                <w:szCs w:val="20"/>
              </w:rPr>
              <w:t xml:space="preserve">Conformiste (Compliant)</w:t>
            </w:r>
          </w:p>
        </w:tc>
        <w:tc>
          <w:tcPr>
            <w:shd w:fill="EEF2F7" w:val="clear"/>
          </w:tcPr>
          <w:p>
            <w:pPr>
              <w:jc w:val="left"/>
            </w:pPr>
            <w:r>
              <w:rPr>
                <w:rFonts w:ascii="Times New Roman" w:cs="Times New Roman" w:eastAsia="Times New Roman" w:hAnsi="Times New Roman"/>
                <w:color w:val="1F2937"/>
                <w:sz w:val="20"/>
                <w:szCs w:val="20"/>
              </w:rPr>
              <w:t xml:space="preserve">Positive Outlook</w:t>
            </w:r>
          </w:p>
        </w:tc>
      </w:tr>
      <w:tr>
        <w:tc>
          <w:tcPr>
            <w:shd w:fill="FFFFFF" w:val="clear"/>
          </w:tcPr>
          <w:p>
            <w:pPr>
              <w:jc w:val="center"/>
            </w:pPr>
            <w:r>
              <w:rPr>
                <w:rFonts w:ascii="Times New Roman" w:cs="Times New Roman" w:eastAsia="Times New Roman" w:hAnsi="Times New Roman"/>
                <w:color w:val="1F2937"/>
                <w:sz w:val="20"/>
                <w:szCs w:val="20"/>
              </w:rPr>
              <w:t xml:space="preserve">3</w:t>
            </w:r>
          </w:p>
        </w:tc>
        <w:tc>
          <w:tcPr>
            <w:shd w:fill="FFFFFF" w:val="clear"/>
          </w:tcPr>
          <w:p>
            <w:pPr>
              <w:jc w:val="left"/>
            </w:pPr>
            <w:r>
              <w:rPr>
                <w:rFonts w:ascii="Times New Roman" w:cs="Times New Roman" w:eastAsia="Times New Roman" w:hAnsi="Times New Roman"/>
                <w:color w:val="1F2937"/>
                <w:sz w:val="20"/>
                <w:szCs w:val="20"/>
              </w:rPr>
              <w:t xml:space="preserve">Émotionnel</w:t>
            </w:r>
          </w:p>
        </w:tc>
        <w:tc>
          <w:tcPr>
            <w:shd w:fill="FFFFFF" w:val="clear"/>
          </w:tcPr>
          <w:p>
            <w:pPr>
              <w:jc w:val="left"/>
            </w:pPr>
            <w:r>
              <w:rPr>
                <w:rFonts w:ascii="Times New Roman" w:cs="Times New Roman" w:eastAsia="Times New Roman" w:hAnsi="Times New Roman"/>
                <w:color w:val="1F2937"/>
                <w:sz w:val="20"/>
                <w:szCs w:val="20"/>
              </w:rPr>
              <w:t xml:space="preserve">Assertif (Assertive)</w:t>
            </w:r>
          </w:p>
        </w:tc>
        <w:tc>
          <w:tcPr>
            <w:shd w:fill="FFFFFF" w:val="clear"/>
          </w:tcPr>
          <w:p>
            <w:pPr>
              <w:jc w:val="left"/>
            </w:pPr>
            <w:r>
              <w:rPr>
                <w:rFonts w:ascii="Times New Roman" w:cs="Times New Roman" w:eastAsia="Times New Roman" w:hAnsi="Times New Roman"/>
                <w:color w:val="1F2937"/>
                <w:sz w:val="20"/>
                <w:szCs w:val="20"/>
              </w:rPr>
              <w:t xml:space="preserve">Compétence</w:t>
            </w:r>
          </w:p>
        </w:tc>
      </w:tr>
      <w:tr>
        <w:tc>
          <w:tcPr>
            <w:shd w:fill="EEF2F7" w:val="clear"/>
          </w:tcPr>
          <w:p>
            <w:pPr>
              <w:jc w:val="center"/>
            </w:pPr>
            <w:r>
              <w:rPr>
                <w:rFonts w:ascii="Times New Roman" w:cs="Times New Roman" w:eastAsia="Times New Roman" w:hAnsi="Times New Roman"/>
                <w:color w:val="1F2937"/>
                <w:sz w:val="20"/>
                <w:szCs w:val="20"/>
              </w:rPr>
              <w:t xml:space="preserve">4</w:t>
            </w:r>
          </w:p>
        </w:tc>
        <w:tc>
          <w:tcPr>
            <w:shd w:fill="EEF2F7" w:val="clear"/>
          </w:tcPr>
          <w:p>
            <w:pPr>
              <w:jc w:val="left"/>
            </w:pPr>
            <w:r>
              <w:rPr>
                <w:rFonts w:ascii="Times New Roman" w:cs="Times New Roman" w:eastAsia="Times New Roman" w:hAnsi="Times New Roman"/>
                <w:color w:val="1F2937"/>
                <w:sz w:val="20"/>
                <w:szCs w:val="20"/>
              </w:rPr>
              <w:t xml:space="preserve">Émotionnel</w:t>
            </w:r>
          </w:p>
        </w:tc>
        <w:tc>
          <w:tcPr>
            <w:shd w:fill="EEF2F7" w:val="clear"/>
          </w:tcPr>
          <w:p>
            <w:pPr>
              <w:jc w:val="left"/>
            </w:pPr>
            <w:r>
              <w:rPr>
                <w:rFonts w:ascii="Times New Roman" w:cs="Times New Roman" w:eastAsia="Times New Roman" w:hAnsi="Times New Roman"/>
                <w:color w:val="1F2937"/>
                <w:sz w:val="20"/>
                <w:szCs w:val="20"/>
              </w:rPr>
              <w:t xml:space="preserve">Retrait (Withdrawn)</w:t>
            </w:r>
          </w:p>
        </w:tc>
        <w:tc>
          <w:tcPr>
            <w:shd w:fill="EEF2F7" w:val="clear"/>
          </w:tcPr>
          <w:p>
            <w:pPr>
              <w:jc w:val="left"/>
            </w:pPr>
            <w:r>
              <w:rPr>
                <w:rFonts w:ascii="Times New Roman" w:cs="Times New Roman" w:eastAsia="Times New Roman" w:hAnsi="Times New Roman"/>
                <w:color w:val="1F2937"/>
                <w:sz w:val="20"/>
                <w:szCs w:val="20"/>
              </w:rPr>
              <w:t xml:space="preserve">Réactif</w:t>
            </w:r>
          </w:p>
        </w:tc>
      </w:tr>
      <w:tr>
        <w:tc>
          <w:tcPr>
            <w:shd w:fill="FFFFFF" w:val="clear"/>
          </w:tcPr>
          <w:p>
            <w:pPr>
              <w:jc w:val="center"/>
            </w:pPr>
            <w:r>
              <w:rPr>
                <w:rFonts w:ascii="Times New Roman" w:cs="Times New Roman" w:eastAsia="Times New Roman" w:hAnsi="Times New Roman"/>
                <w:color w:val="1F2937"/>
                <w:sz w:val="20"/>
                <w:szCs w:val="20"/>
              </w:rPr>
              <w:t xml:space="preserve">5</w:t>
            </w:r>
          </w:p>
        </w:tc>
        <w:tc>
          <w:tcPr>
            <w:shd w:fill="FFFFFF" w:val="clear"/>
          </w:tcPr>
          <w:p>
            <w:pPr>
              <w:jc w:val="left"/>
            </w:pPr>
            <w:r>
              <w:rPr>
                <w:rFonts w:ascii="Times New Roman" w:cs="Times New Roman" w:eastAsia="Times New Roman" w:hAnsi="Times New Roman"/>
                <w:color w:val="1F2937"/>
                <w:sz w:val="20"/>
                <w:szCs w:val="20"/>
              </w:rPr>
              <w:t xml:space="preserve">Mental</w:t>
            </w:r>
          </w:p>
        </w:tc>
        <w:tc>
          <w:tcPr>
            <w:shd w:fill="FFFFFF" w:val="clear"/>
          </w:tcPr>
          <w:p>
            <w:pPr>
              <w:jc w:val="left"/>
            </w:pPr>
            <w:r>
              <w:rPr>
                <w:rFonts w:ascii="Times New Roman" w:cs="Times New Roman" w:eastAsia="Times New Roman" w:hAnsi="Times New Roman"/>
                <w:color w:val="1F2937"/>
                <w:sz w:val="20"/>
                <w:szCs w:val="20"/>
              </w:rPr>
              <w:t xml:space="preserve">Retrait (Withdrawn)</w:t>
            </w:r>
          </w:p>
        </w:tc>
        <w:tc>
          <w:tcPr>
            <w:shd w:fill="FFFFFF" w:val="clear"/>
          </w:tcPr>
          <w:p>
            <w:pPr>
              <w:jc w:val="left"/>
            </w:pPr>
            <w:r>
              <w:rPr>
                <w:rFonts w:ascii="Times New Roman" w:cs="Times New Roman" w:eastAsia="Times New Roman" w:hAnsi="Times New Roman"/>
                <w:color w:val="1F2937"/>
                <w:sz w:val="20"/>
                <w:szCs w:val="20"/>
              </w:rPr>
              <w:t xml:space="preserve">Compétence</w:t>
            </w:r>
          </w:p>
        </w:tc>
      </w:tr>
      <w:tr>
        <w:tc>
          <w:tcPr>
            <w:shd w:fill="EEF2F7" w:val="clear"/>
          </w:tcPr>
          <w:p>
            <w:pPr>
              <w:jc w:val="center"/>
            </w:pPr>
            <w:r>
              <w:rPr>
                <w:rFonts w:ascii="Times New Roman" w:cs="Times New Roman" w:eastAsia="Times New Roman" w:hAnsi="Times New Roman"/>
                <w:color w:val="1F2937"/>
                <w:sz w:val="20"/>
                <w:szCs w:val="20"/>
              </w:rPr>
              <w:t xml:space="preserve">6</w:t>
            </w:r>
          </w:p>
        </w:tc>
        <w:tc>
          <w:tcPr>
            <w:shd w:fill="EEF2F7" w:val="clear"/>
          </w:tcPr>
          <w:p>
            <w:pPr>
              <w:jc w:val="left"/>
            </w:pPr>
            <w:r>
              <w:rPr>
                <w:rFonts w:ascii="Times New Roman" w:cs="Times New Roman" w:eastAsia="Times New Roman" w:hAnsi="Times New Roman"/>
                <w:color w:val="1F2937"/>
                <w:sz w:val="20"/>
                <w:szCs w:val="20"/>
              </w:rPr>
              <w:t xml:space="preserve">Mental</w:t>
            </w:r>
          </w:p>
        </w:tc>
        <w:tc>
          <w:tcPr>
            <w:shd w:fill="EEF2F7" w:val="clear"/>
          </w:tcPr>
          <w:p>
            <w:pPr>
              <w:jc w:val="left"/>
            </w:pPr>
            <w:r>
              <w:rPr>
                <w:rFonts w:ascii="Times New Roman" w:cs="Times New Roman" w:eastAsia="Times New Roman" w:hAnsi="Times New Roman"/>
                <w:color w:val="1F2937"/>
                <w:sz w:val="20"/>
                <w:szCs w:val="20"/>
              </w:rPr>
              <w:t xml:space="preserve">Conformiste (Compliant)</w:t>
            </w:r>
          </w:p>
        </w:tc>
        <w:tc>
          <w:tcPr>
            <w:shd w:fill="EEF2F7" w:val="clear"/>
          </w:tcPr>
          <w:p>
            <w:pPr>
              <w:jc w:val="left"/>
            </w:pPr>
            <w:r>
              <w:rPr>
                <w:rFonts w:ascii="Times New Roman" w:cs="Times New Roman" w:eastAsia="Times New Roman" w:hAnsi="Times New Roman"/>
                <w:color w:val="1F2937"/>
                <w:sz w:val="20"/>
                <w:szCs w:val="20"/>
              </w:rPr>
              <w:t xml:space="preserve">Réactif</w:t>
            </w:r>
          </w:p>
        </w:tc>
      </w:tr>
      <w:tr>
        <w:tc>
          <w:tcPr>
            <w:shd w:fill="FFFFFF" w:val="clear"/>
          </w:tcPr>
          <w:p>
            <w:pPr>
              <w:jc w:val="center"/>
            </w:pPr>
            <w:r>
              <w:rPr>
                <w:rFonts w:ascii="Times New Roman" w:cs="Times New Roman" w:eastAsia="Times New Roman" w:hAnsi="Times New Roman"/>
                <w:color w:val="1F2937"/>
                <w:sz w:val="20"/>
                <w:szCs w:val="20"/>
              </w:rPr>
              <w:t xml:space="preserve">7</w:t>
            </w:r>
          </w:p>
        </w:tc>
        <w:tc>
          <w:tcPr>
            <w:shd w:fill="FFFFFF" w:val="clear"/>
          </w:tcPr>
          <w:p>
            <w:pPr>
              <w:jc w:val="left"/>
            </w:pPr>
            <w:r>
              <w:rPr>
                <w:rFonts w:ascii="Times New Roman" w:cs="Times New Roman" w:eastAsia="Times New Roman" w:hAnsi="Times New Roman"/>
                <w:color w:val="1F2937"/>
                <w:sz w:val="20"/>
                <w:szCs w:val="20"/>
              </w:rPr>
              <w:t xml:space="preserve">Mental</w:t>
            </w:r>
          </w:p>
        </w:tc>
        <w:tc>
          <w:tcPr>
            <w:shd w:fill="FFFFFF" w:val="clear"/>
          </w:tcPr>
          <w:p>
            <w:pPr>
              <w:jc w:val="left"/>
            </w:pPr>
            <w:r>
              <w:rPr>
                <w:rFonts w:ascii="Times New Roman" w:cs="Times New Roman" w:eastAsia="Times New Roman" w:hAnsi="Times New Roman"/>
                <w:color w:val="1F2937"/>
                <w:sz w:val="20"/>
                <w:szCs w:val="20"/>
              </w:rPr>
              <w:t xml:space="preserve">Assertif (Assertive)</w:t>
            </w:r>
          </w:p>
        </w:tc>
        <w:tc>
          <w:tcPr>
            <w:shd w:fill="FFFFFF" w:val="clear"/>
          </w:tcPr>
          <w:p>
            <w:pPr>
              <w:jc w:val="left"/>
            </w:pPr>
            <w:r>
              <w:rPr>
                <w:rFonts w:ascii="Times New Roman" w:cs="Times New Roman" w:eastAsia="Times New Roman" w:hAnsi="Times New Roman"/>
                <w:color w:val="1F2937"/>
                <w:sz w:val="20"/>
                <w:szCs w:val="20"/>
              </w:rPr>
              <w:t xml:space="preserve">Positive Outlook</w:t>
            </w:r>
          </w:p>
        </w:tc>
      </w:tr>
      <w:tr>
        <w:tc>
          <w:tcPr>
            <w:shd w:fill="EEF2F7" w:val="clear"/>
          </w:tcPr>
          <w:p>
            <w:pPr>
              <w:jc w:val="center"/>
            </w:pPr>
            <w:r>
              <w:rPr>
                <w:rFonts w:ascii="Times New Roman" w:cs="Times New Roman" w:eastAsia="Times New Roman" w:hAnsi="Times New Roman"/>
                <w:color w:val="1F2937"/>
                <w:sz w:val="20"/>
                <w:szCs w:val="20"/>
              </w:rPr>
              <w:t xml:space="preserve">8</w:t>
            </w:r>
          </w:p>
        </w:tc>
        <w:tc>
          <w:tcPr>
            <w:shd w:fill="EEF2F7" w:val="clear"/>
          </w:tcPr>
          <w:p>
            <w:pPr>
              <w:jc w:val="left"/>
            </w:pPr>
            <w:r>
              <w:rPr>
                <w:rFonts w:ascii="Times New Roman" w:cs="Times New Roman" w:eastAsia="Times New Roman" w:hAnsi="Times New Roman"/>
                <w:color w:val="1F2937"/>
                <w:sz w:val="20"/>
                <w:szCs w:val="20"/>
              </w:rPr>
              <w:t xml:space="preserve">Instinctif</w:t>
            </w:r>
          </w:p>
        </w:tc>
        <w:tc>
          <w:tcPr>
            <w:shd w:fill="EEF2F7" w:val="clear"/>
          </w:tcPr>
          <w:p>
            <w:pPr>
              <w:jc w:val="left"/>
            </w:pPr>
            <w:r>
              <w:rPr>
                <w:rFonts w:ascii="Times New Roman" w:cs="Times New Roman" w:eastAsia="Times New Roman" w:hAnsi="Times New Roman"/>
                <w:color w:val="1F2937"/>
                <w:sz w:val="20"/>
                <w:szCs w:val="20"/>
              </w:rPr>
              <w:t xml:space="preserve">Assertif (Assertive)</w:t>
            </w:r>
          </w:p>
        </w:tc>
        <w:tc>
          <w:tcPr>
            <w:shd w:fill="EEF2F7" w:val="clear"/>
          </w:tcPr>
          <w:p>
            <w:pPr>
              <w:jc w:val="left"/>
            </w:pPr>
            <w:r>
              <w:rPr>
                <w:rFonts w:ascii="Times New Roman" w:cs="Times New Roman" w:eastAsia="Times New Roman" w:hAnsi="Times New Roman"/>
                <w:color w:val="1F2937"/>
                <w:sz w:val="20"/>
                <w:szCs w:val="20"/>
              </w:rPr>
              <w:t xml:space="preserve">Réactif</w:t>
            </w:r>
          </w:p>
        </w:tc>
      </w:tr>
      <w:tr>
        <w:tc>
          <w:tcPr>
            <w:shd w:fill="FFFFFF" w:val="clear"/>
          </w:tcPr>
          <w:p>
            <w:pPr>
              <w:jc w:val="center"/>
            </w:pPr>
            <w:r>
              <w:rPr>
                <w:rFonts w:ascii="Times New Roman" w:cs="Times New Roman" w:eastAsia="Times New Roman" w:hAnsi="Times New Roman"/>
                <w:color w:val="1F2937"/>
                <w:sz w:val="20"/>
                <w:szCs w:val="20"/>
              </w:rPr>
              <w:t xml:space="preserve">9</w:t>
            </w:r>
          </w:p>
        </w:tc>
        <w:tc>
          <w:tcPr>
            <w:shd w:fill="FFFFFF" w:val="clear"/>
          </w:tcPr>
          <w:p>
            <w:pPr>
              <w:jc w:val="left"/>
            </w:pPr>
            <w:r>
              <w:rPr>
                <w:rFonts w:ascii="Times New Roman" w:cs="Times New Roman" w:eastAsia="Times New Roman" w:hAnsi="Times New Roman"/>
                <w:color w:val="1F2937"/>
                <w:sz w:val="20"/>
                <w:szCs w:val="20"/>
              </w:rPr>
              <w:t xml:space="preserve">Instinctif</w:t>
            </w:r>
          </w:p>
        </w:tc>
        <w:tc>
          <w:tcPr>
            <w:shd w:fill="FFFFFF" w:val="clear"/>
          </w:tcPr>
          <w:p>
            <w:pPr>
              <w:jc w:val="left"/>
            </w:pPr>
            <w:r>
              <w:rPr>
                <w:rFonts w:ascii="Times New Roman" w:cs="Times New Roman" w:eastAsia="Times New Roman" w:hAnsi="Times New Roman"/>
                <w:color w:val="1F2937"/>
                <w:sz w:val="20"/>
                <w:szCs w:val="20"/>
              </w:rPr>
              <w:t xml:space="preserve">Retrait (Withdrawn)</w:t>
            </w:r>
          </w:p>
        </w:tc>
        <w:tc>
          <w:tcPr>
            <w:shd w:fill="FFFFFF" w:val="clear"/>
          </w:tcPr>
          <w:p>
            <w:pPr>
              <w:jc w:val="left"/>
            </w:pPr>
            <w:r>
              <w:rPr>
                <w:rFonts w:ascii="Times New Roman" w:cs="Times New Roman" w:eastAsia="Times New Roman" w:hAnsi="Times New Roman"/>
                <w:color w:val="1F2937"/>
                <w:sz w:val="20"/>
                <w:szCs w:val="20"/>
              </w:rPr>
              <w:t xml:space="preserve">Positive Outlook</w:t>
            </w:r>
          </w:p>
        </w:tc>
      </w:tr>
    </w:tbl>
    <w:p>
      <w:pPr>
        <w:spacing w:after="60" w:before="60"/>
      </w:pPr>
      <w:r>
        <w:t xml:space="preserve"/>
      </w:r>
    </w:p>
    <w:p>
      <w:pPr>
        <w:spacing w:after="60" w:before="60"/>
      </w:pPr>
      <w:r>
        <w:rPr>
          <w:rFonts w:ascii="Times New Roman" w:cs="Times New Roman" w:eastAsia="Times New Roman" w:hAnsi="Times New Roman"/>
          <w:i/>
          <w:iCs/>
          <w:color w:val="1F2937"/>
          <w:sz w:val="22"/>
          <w:szCs w:val="22"/>
        </w:rPr>
        <w:t xml:space="preserve">Note : les termes anglais figurent entre parenthèses dans la colonne Hornévienne pour éviter les faux-amis (</w:t>
      </w:r>
      <w:r>
        <w:rPr>
          <w:rFonts w:ascii="Times New Roman" w:cs="Times New Roman" w:eastAsia="Times New Roman" w:hAnsi="Times New Roman"/>
          <w:i/>
          <w:iCs/>
          <w:color w:val="1F2937"/>
          <w:sz w:val="22"/>
          <w:szCs w:val="22"/>
        </w:rPr>
        <w:t xml:space="preserve">Compliant</w:t>
      </w:r>
      <w:r>
        <w:rPr>
          <w:rFonts w:ascii="Times New Roman" w:cs="Times New Roman" w:eastAsia="Times New Roman" w:hAnsi="Times New Roman"/>
          <w:color w:val="1F2937"/>
          <w:sz w:val="22"/>
          <w:szCs w:val="22"/>
        </w:rPr>
        <w:t xml:space="preserve"> ≠ complaisant ; </w:t>
      </w:r>
      <w:r>
        <w:rPr>
          <w:rFonts w:ascii="Times New Roman" w:cs="Times New Roman" w:eastAsia="Times New Roman" w:hAnsi="Times New Roman"/>
          <w:i/>
          <w:iCs/>
          <w:color w:val="1F2937"/>
          <w:sz w:val="22"/>
          <w:szCs w:val="22"/>
        </w:rPr>
        <w:t xml:space="preserve">Withdrawn</w:t>
      </w:r>
      <w:r>
        <w:rPr>
          <w:rFonts w:ascii="Times New Roman" w:cs="Times New Roman" w:eastAsia="Times New Roman" w:hAnsi="Times New Roman"/>
          <w:color w:val="1F2937"/>
          <w:sz w:val="22"/>
          <w:szCs w:val="22"/>
        </w:rPr>
        <w:t xml:space="preserve"> ≠ timoré).</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Cartographie croisée</w:t>
      </w:r>
    </w:p>
    <w:p>
      <w:pPr>
        <w:spacing w:after="60" w:before="60"/>
      </w:pPr>
      <w:r>
        <w:rPr>
          <w:rFonts w:ascii="Times New Roman" w:cs="Times New Roman" w:eastAsia="Times New Roman" w:hAnsi="Times New Roman"/>
          <w:b/>
          <w:bCs/>
          <w:color w:val="1F2937"/>
          <w:sz w:val="22"/>
          <w:szCs w:val="22"/>
        </w:rPr>
        <w:t xml:space="preserve">Consigne : </w:t>
      </w:r>
      <w:r>
        <w:rPr>
          <w:rFonts w:ascii="Times New Roman" w:cs="Times New Roman" w:eastAsia="Times New Roman" w:hAnsi="Times New Roman"/>
          <w:color w:val="1F2937"/>
          <w:sz w:val="22"/>
          <w:szCs w:val="22"/>
        </w:rPr>
        <w:t xml:space="preserve">Sans regarder le tableau ci-dessus, essaie de placer les 9 types dans les deux grilles, puis vérifie.</w:t>
      </w:r>
    </w:p>
    <w:p>
      <w:pPr>
        <w:spacing w:after="60" w:before="60"/>
      </w:pPr>
      <w:r>
        <w:t xml:space="preserve"/>
      </w:r>
    </w:p>
    <w:p>
      <w:pPr>
        <w:spacing w:after="60" w:before="60"/>
      </w:pPr>
      <w:r>
        <w:rPr>
          <w:rFonts w:ascii="Times New Roman" w:cs="Times New Roman" w:eastAsia="Times New Roman" w:hAnsi="Times New Roman"/>
          <w:color w:val="1F2937"/>
          <w:sz w:val="22"/>
          <w:szCs w:val="22"/>
        </w:rPr>
        <w:t xml:space="preserve">Pour chaque type de 1 à 9, note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Groupe hornévien ?</w:t>
      </w:r>
      <w:r>
        <w:rPr>
          <w:rFonts w:ascii="Times New Roman" w:cs="Times New Roman" w:eastAsia="Times New Roman" w:hAnsi="Times New Roman"/>
          <w:color w:val="1F2937"/>
          <w:sz w:val="22"/>
          <w:szCs w:val="22"/>
        </w:rPr>
        <w:t xml:space="preserve"> Assertif (3, 7, 8) / Conformiste (1, 2, 6) / Retrait (4, 5, 9)</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Groupe harmonique ?</w:t>
      </w:r>
      <w:r>
        <w:rPr>
          <w:rFonts w:ascii="Times New Roman" w:cs="Times New Roman" w:eastAsia="Times New Roman" w:hAnsi="Times New Roman"/>
          <w:color w:val="1F2937"/>
          <w:sz w:val="22"/>
          <w:szCs w:val="22"/>
        </w:rPr>
        <w:t xml:space="preserve"> Positive Outlook (2, 7, 9) / Compétence (1, 3, 5) / Réactif (4, 6, 8)</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Corrigé : voir le tableau de synthèse ci-dessus. Observe les croisements : un type 3 est Assertif + Compétence (il va chercher ce qu'il veut directement, et gère la déception par l'efficacité) ; un type 9 est Retrait + Positive Outlook (il se retire et réencadre positivement) ; un type 4 est Retrait + Réactif (il se retire mais avec une intensité émotionnelle forte). Ces combinaisons enrichissent la lecture de chaque type au-delà du seul numéro.</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Observer sa stratégie hornévienne</w:t>
      </w:r>
    </w:p>
    <w:p>
      <w:pPr>
        <w:spacing w:after="60" w:before="60"/>
      </w:pPr>
      <w:r>
        <w:rPr>
          <w:rFonts w:ascii="Times New Roman" w:cs="Times New Roman" w:eastAsia="Times New Roman" w:hAnsi="Times New Roman"/>
          <w:b/>
          <w:bCs/>
          <w:color w:val="1F2937"/>
          <w:sz w:val="22"/>
          <w:szCs w:val="22"/>
        </w:rPr>
        <w:t xml:space="preserve">Consigne : </w:t>
      </w:r>
      <w:r>
        <w:rPr>
          <w:rFonts w:ascii="Times New Roman" w:cs="Times New Roman" w:eastAsia="Times New Roman" w:hAnsi="Times New Roman"/>
          <w:color w:val="1F2937"/>
          <w:sz w:val="22"/>
          <w:szCs w:val="22"/>
        </w:rPr>
        <w:t xml:space="preserve">Rappelle-toi 2-3 situations récentes où tu cherchais à obtenir quelque chose d'une autre personne (une information, une collaboration, une décision, un soutien).</w:t>
      </w:r>
    </w:p>
    <w:p>
      <w:pPr>
        <w:spacing w:after="60" w:before="60"/>
      </w:pPr>
      <w:r>
        <w:t xml:space="preserve"/>
      </w:r>
    </w:p>
    <w:p>
      <w:pPr>
        <w:spacing w:after="60" w:before="60"/>
      </w:pPr>
      <w:r>
        <w:rPr>
          <w:rFonts w:ascii="Times New Roman" w:cs="Times New Roman" w:eastAsia="Times New Roman" w:hAnsi="Times New Roman"/>
          <w:color w:val="1F2937"/>
          <w:sz w:val="22"/>
          <w:szCs w:val="22"/>
        </w:rPr>
        <w:t xml:space="preserve">Pour chaque situation, décris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que tu voulais.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façon dont tu as agi : est-tu allé directement au but, en confrontant si nécessaire (→ </w:t>
      </w:r>
      <w:r>
        <w:rPr>
          <w:rFonts w:ascii="Times New Roman" w:cs="Times New Roman" w:eastAsia="Times New Roman" w:hAnsi="Times New Roman"/>
          <w:b/>
          <w:bCs/>
          <w:color w:val="1F2937"/>
          <w:sz w:val="22"/>
          <w:szCs w:val="22"/>
        </w:rPr>
        <w:t xml:space="preserve">Assertif</w:t>
      </w:r>
      <w:r>
        <w:rPr>
          <w:rFonts w:ascii="Times New Roman" w:cs="Times New Roman" w:eastAsia="Times New Roman" w:hAnsi="Times New Roman"/>
          <w:color w:val="1F2937"/>
          <w:sz w:val="22"/>
          <w:szCs w:val="22"/>
        </w:rPr>
        <w:t xml:space="preserve">) ? As-tu cherché à être conforme aux attentes ou aux règles du contexte (→ </w:t>
      </w:r>
      <w:r>
        <w:rPr>
          <w:rFonts w:ascii="Times New Roman" w:cs="Times New Roman" w:eastAsia="Times New Roman" w:hAnsi="Times New Roman"/>
          <w:b/>
          <w:bCs/>
          <w:color w:val="1F2937"/>
          <w:sz w:val="22"/>
          <w:szCs w:val="22"/>
        </w:rPr>
        <w:t xml:space="preserve">Conformiste</w:t>
      </w:r>
      <w:r>
        <w:rPr>
          <w:rFonts w:ascii="Times New Roman" w:cs="Times New Roman" w:eastAsia="Times New Roman" w:hAnsi="Times New Roman"/>
          <w:color w:val="1F2937"/>
          <w:sz w:val="22"/>
          <w:szCs w:val="22"/>
        </w:rPr>
        <w:t xml:space="preserve">) ? As-tu attendu en laissant l'autre venir à toi, ou traité le besoin seul (→ </w:t>
      </w:r>
      <w:r>
        <w:rPr>
          <w:rFonts w:ascii="Times New Roman" w:cs="Times New Roman" w:eastAsia="Times New Roman" w:hAnsi="Times New Roman"/>
          <w:b/>
          <w:bCs/>
          <w:color w:val="1F2937"/>
          <w:sz w:val="22"/>
          <w:szCs w:val="22"/>
        </w:rPr>
        <w:t xml:space="preserve">Retrait</w:t>
      </w:r>
      <w:r>
        <w:rPr>
          <w:rFonts w:ascii="Times New Roman" w:cs="Times New Roman" w:eastAsia="Times New Roman" w:hAnsi="Times New Roman"/>
          <w:color w:val="1F2937"/>
          <w:sz w:val="22"/>
          <w:szCs w:val="22"/>
        </w:rPr>
        <w:t xml:space="preserve">) ?</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Question de synthèse : </w:t>
      </w:r>
      <w:r>
        <w:rPr>
          <w:rFonts w:ascii="Times New Roman" w:cs="Times New Roman" w:eastAsia="Times New Roman" w:hAnsi="Times New Roman"/>
          <w:color w:val="1F2937"/>
          <w:sz w:val="22"/>
          <w:szCs w:val="22"/>
        </w:rPr>
        <w:t xml:space="preserve">Y a-t-il une stratégie dominante ? Est-elle cohérente avec ton type ? Si tu observes une stratégie différente selon les contextes (professionnel / personnel / intime), qu'est-ce que cela t'indique ?</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Note sur le corrigé : Il n'y a pas de bonne réponse fixe — l'exercice est d'auto-observation. La cohérence entre ton type et ta stratégie dominante est une donnée, pas un verdict. Un même type peut utiliser des stratégies différentes selon le degré de stress.</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Observer son style de coping harmonique</w:t>
      </w:r>
    </w:p>
    <w:p>
      <w:pPr>
        <w:spacing w:after="60" w:before="60"/>
      </w:pPr>
      <w:r>
        <w:rPr>
          <w:rFonts w:ascii="Times New Roman" w:cs="Times New Roman" w:eastAsia="Times New Roman" w:hAnsi="Times New Roman"/>
          <w:b/>
          <w:bCs/>
          <w:color w:val="1F2937"/>
          <w:sz w:val="22"/>
          <w:szCs w:val="22"/>
        </w:rPr>
        <w:t xml:space="preserve">Consigne : </w:t>
      </w:r>
      <w:r>
        <w:rPr>
          <w:rFonts w:ascii="Times New Roman" w:cs="Times New Roman" w:eastAsia="Times New Roman" w:hAnsi="Times New Roman"/>
          <w:color w:val="1F2937"/>
          <w:sz w:val="22"/>
          <w:szCs w:val="22"/>
        </w:rPr>
        <w:t xml:space="preserve">Rappelle-toi une déception récente — professionnelle ou personnelle (quelque chose qui n'a pas fonctionné comme prévu, un refus, un conflit, une attente non satisfaite).</w:t>
      </w:r>
    </w:p>
    <w:p>
      <w:pPr>
        <w:spacing w:after="60" w:before="60"/>
      </w:pPr>
      <w:r>
        <w:t xml:space="preserve"/>
      </w:r>
    </w:p>
    <w:p>
      <w:pPr>
        <w:spacing w:after="60" w:before="60"/>
      </w:pPr>
      <w:r>
        <w:rPr>
          <w:rFonts w:ascii="Times New Roman" w:cs="Times New Roman" w:eastAsia="Times New Roman" w:hAnsi="Times New Roman"/>
          <w:color w:val="1F2937"/>
          <w:sz w:val="22"/>
          <w:szCs w:val="22"/>
        </w:rPr>
        <w:t xml:space="preserve">Décris ce que tu as fait avec cette déception dans les 24-48 heures qui ont suivi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cherché à voir le positif, minimisé le problème, ou pensé à autre chose pour passer à autre chose ? → </w:t>
      </w:r>
      <w:r>
        <w:rPr>
          <w:rFonts w:ascii="Times New Roman" w:cs="Times New Roman" w:eastAsia="Times New Roman" w:hAnsi="Times New Roman"/>
          <w:b/>
          <w:bCs/>
          <w:color w:val="1F2937"/>
          <w:sz w:val="22"/>
          <w:szCs w:val="22"/>
        </w:rPr>
        <w:t xml:space="preserve">Positive Outlook</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analysé la situation, élaboré un plan d'action, cherché à résoudre « rationnellement » en mettant les émotions de côté ? → </w:t>
      </w:r>
      <w:r>
        <w:rPr>
          <w:rFonts w:ascii="Times New Roman" w:cs="Times New Roman" w:eastAsia="Times New Roman" w:hAnsi="Times New Roman"/>
          <w:b/>
          <w:bCs/>
          <w:color w:val="1F2937"/>
          <w:sz w:val="22"/>
          <w:szCs w:val="22"/>
        </w:rPr>
        <w:t xml:space="preserve">Compétence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exprimé ce que tu ressentais, eu besoin que les autres entendent ta frustration, voulu clarifier la situation sans détour ? → </w:t>
      </w:r>
      <w:r>
        <w:rPr>
          <w:rFonts w:ascii="Times New Roman" w:cs="Times New Roman" w:eastAsia="Times New Roman" w:hAnsi="Times New Roman"/>
          <w:b/>
          <w:bCs/>
          <w:color w:val="1F2937"/>
          <w:sz w:val="22"/>
          <w:szCs w:val="22"/>
        </w:rPr>
        <w:t xml:space="preserve">Réactif</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Question de synthèse : </w:t>
      </w:r>
      <w:r>
        <w:rPr>
          <w:rFonts w:ascii="Times New Roman" w:cs="Times New Roman" w:eastAsia="Times New Roman" w:hAnsi="Times New Roman"/>
          <w:color w:val="1F2937"/>
          <w:sz w:val="22"/>
          <w:szCs w:val="22"/>
        </w:rPr>
        <w:t xml:space="preserve">Ce style de coping est-il confortable ou coûteux pour toi selon les situations ? Y a-t-il des contextes où tu adoptes un style différent de ton groupe habituel ?</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Corrigé (cohérence avec la théorie) : Les trois groupes harmoniques décrivent des tendances premières sous stress. Aucun groupe n'est pathologique en soi — chacun a ses forces et ses angles morts. Le groupe Positive Outlook peut éviter de traiter le problème réel ; le groupe Compétence peut nier ses besoins émotionnels ; le groupe Réactif peut épuiser ses proches par l'intensité. Ces patterns sont décrits par Riso et Hudson non comme des défauts, mais comme des automatismes à identifier pour les choisir plutôt que les subir.</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Challenge — Analyser un conflit avec les deux grilles</w:t>
      </w:r>
    </w:p>
    <w:p>
      <w:pPr>
        <w:spacing w:after="60" w:before="60"/>
      </w:pPr>
      <w:r>
        <w:rPr>
          <w:rFonts w:ascii="Times New Roman" w:cs="Times New Roman" w:eastAsia="Times New Roman" w:hAnsi="Times New Roman"/>
          <w:b/>
          <w:bCs/>
          <w:color w:val="1F2937"/>
          <w:sz w:val="22"/>
          <w:szCs w:val="22"/>
        </w:rPr>
        <w:t xml:space="preserve">Consigne : </w:t>
      </w:r>
      <w:r>
        <w:rPr>
          <w:rFonts w:ascii="Times New Roman" w:cs="Times New Roman" w:eastAsia="Times New Roman" w:hAnsi="Times New Roman"/>
          <w:color w:val="1F2937"/>
          <w:sz w:val="22"/>
          <w:szCs w:val="22"/>
        </w:rPr>
        <w:t xml:space="preserve">Choisis un conflit ou une tension récente (avec un collègue, un proche, un prestataire). Analyse-le avec les deux grilles.</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1. Grille hornévienne — ta stratégie sociale dans ce conflit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Es-tu allé directement à l'essentiel, en affirmant ta position sans trop chercher l'approbation ? (→ Assertif)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essayé de satisfaire les deux parties, de respecter les règles ou les procédures, ou de répondre aux attentes de l'autre avant les tiennes ? (→ Conformiste)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pris du recul, évité l'affrontement direct, ou attendu que la situation se stabilise avant d'agir ? (→ Retrait)</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2. Grille harmonique — ton coping face à la déception ou la frustration générée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réencadré positivement, trouvé un bon côté, ou évité d'y penser ? (→ Positive Outlook)</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cherché à résoudre logiquement, à planifier, à mettre les émotions de côté pour avancer ? (→ Compétence)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exprimé ton insatisfaction ouvertement, voulu que l'autre comprenne ce que tu as ressenti ? (→ Réactif)</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Question bonus : </w:t>
      </w:r>
      <w:r>
        <w:rPr>
          <w:rFonts w:ascii="Times New Roman" w:cs="Times New Roman" w:eastAsia="Times New Roman" w:hAnsi="Times New Roman"/>
          <w:color w:val="1F2937"/>
          <w:sz w:val="22"/>
          <w:szCs w:val="22"/>
        </w:rPr>
        <w:t xml:space="preserve">Si tu peux identifier approximativement le type de l'autre personne, quels étaient ses groupes hornévien et harmonique ? Étaient-ils dans le même groupe que toi ou dans un groupe différent ? Qu'est-ce que cela éclaire sur la dynamique du conflit ?</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Corrigé de cohérence : la stratégie sociale (hornévienne) et le style de coping (harmonique) peuvent être cohérents ou en tension. Exemple : un type 9 (Retrait + Positive Outlook) peut éviter le conflit ET réencadrer positivement — une double tendance à ne pas adresser le problème directement. Un type 8 (Assertif + Réactif) confronte et exprime avec intensité — une double tendance à l'affrontement direct. Observer cette combinaison chez soi est un exercice d'auto-connaissance, pas un diagnostic.</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Pont pro</w:t>
      </w:r>
    </w:p>
    <w:p>
      <w:pPr>
        <w:spacing w:after="60" w:before="60"/>
      </w:pPr>
      <w:r>
        <w:rPr>
          <w:rFonts w:ascii="Times New Roman" w:cs="Times New Roman" w:eastAsia="Times New Roman" w:hAnsi="Times New Roman"/>
          <w:color w:val="1F2937"/>
          <w:sz w:val="22"/>
          <w:szCs w:val="22"/>
        </w:rPr>
        <w:t xml:space="preserve">En tant que chef de service, je manage des équipes de profils variés. Les triades hornéviennes et harmoniques offrent une grille de lecture </w:t>
      </w:r>
      <w:r>
        <w:rPr>
          <w:rFonts w:ascii="Times New Roman" w:cs="Times New Roman" w:eastAsia="Times New Roman" w:hAnsi="Times New Roman"/>
          <w:i/>
          <w:iCs/>
          <w:color w:val="1F2937"/>
          <w:sz w:val="22"/>
          <w:szCs w:val="22"/>
        </w:rPr>
        <w:t xml:space="preserve">informelle</w:t>
      </w:r>
      <w:r>
        <w:rPr>
          <w:rFonts w:ascii="Times New Roman" w:cs="Times New Roman" w:eastAsia="Times New Roman" w:hAnsi="Times New Roman"/>
          <w:color w:val="1F2937"/>
          <w:sz w:val="22"/>
          <w:szCs w:val="22"/>
        </w:rPr>
        <w:t xml:space="preserve"> pour anticiper comment les uns et les autres réagissent face à un changement d'organisation, une directive, ou un désaccord : une personne à dominante Assertive ne cherchera pas le même type de validation qu'une personne à dominante Conformiste ; un collaborateur à dominante Réactive aura besoin d'être entendu dans ce qu'il ressent avant de pouvoir avancer.</w:t>
      </w:r>
    </w:p>
    <w:p>
      <w:pPr>
        <w:spacing w:after="60" w:before="60"/>
      </w:pPr>
      <w:r>
        <w:t xml:space="preserve"/>
      </w:r>
    </w:p>
    <w:p>
      <w:pPr>
        <w:shd w:fill="FFF3CD" w:val="clear"/>
        <w:spacing w:after="80" w:before="80"/>
        <w:ind w:left="431" w:right="431"/>
      </w:pPr>
      <w:r>
        <w:rPr>
          <w:rFonts w:ascii="Times New Roman" w:cs="Times New Roman" w:eastAsia="Times New Roman" w:hAnsi="Times New Roman"/>
          <w:b/>
          <w:bCs/>
          <w:color w:val="7B4B00"/>
          <w:sz w:val="22"/>
          <w:szCs w:val="22"/>
        </w:rPr>
        <w:t xml:space="preserve">⚠️ Ces outils relèvent de ma compréhension personnelle, non d'un cadre de management validé. Ils ne remplacent pas l'observation directe, ni les outils professionnels d'analyse des pratiques. Ils n'ont pas vocation à figurer dans un projet d'établissement, à être utilisés comme grille d'évaluation des professionnels, ni à être transmis en équipe comme cadre de référence.</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b/>
          <w:bCs/>
          <w:color w:val="1F2937"/>
          <w:sz w:val="22"/>
          <w:szCs w:val="22"/>
        </w:rPr>
        <w:t xml:space="preserve">Note sur les sources : </w:t>
      </w:r>
      <w:r>
        <w:rPr>
          <w:rFonts w:ascii="Times New Roman" w:cs="Times New Roman" w:eastAsia="Times New Roman" w:hAnsi="Times New Roman"/>
          <w:color w:val="1F2937"/>
          <w:sz w:val="22"/>
          <w:szCs w:val="22"/>
        </w:rPr>
        <w:t xml:space="preserve">Les ressources ci-dessous sont principalement des sites de vulgarisation et des praticiens de l'ennéagramme. Aucun ne constitue une source académique indépendante. Pour un regard extérieur sur la validité du modèle, voir la leçon n°19 (recherche et statut épistémique de l'ennéagramme).</w:t>
      </w:r>
    </w:p>
    <w:p>
      <w:pPr>
        <w:spacing w:after="60" w:before="60"/>
      </w:pPr>
      <w:r>
        <w:t xml:space="preserve"/>
      </w:r>
    </w:p>
    <w:p>
      <w:pPr>
        <w:spacing w:after="40" w:before="60"/>
      </w:pPr>
      <w:hyperlink w:history="1" r:id="rId2htsfzk6yeop8bwkc5mlg">
        <w:r>
          <w:rPr>
            <w:rFonts w:ascii="Times New Roman" w:cs="Times New Roman" w:eastAsia="Times New Roman" w:hAnsi="Times New Roman"/>
            <w:b/>
            <w:bCs/>
            <w:color w:val="1155CC"/>
            <w:sz w:val="22"/>
            <w:szCs w:val="22"/>
            <w:u w:val="single"/>
          </w:rPr>
          <w:t xml:space="preserve">Enneagram Explained — Les groupes hornéviens</w:t>
        </w:r>
      </w:hyperlink>
      <w:r>
        <w:rPr>
          <w:rFonts w:ascii="Times New Roman" w:cs="Times New Roman" w:eastAsia="Times New Roman" w:hAnsi="Times New Roman"/>
          <w:color w:val="1F2937"/>
          <w:sz w:val="22"/>
          <w:szCs w:val="22"/>
        </w:rPr>
        <w:t xml:space="preserve"> — Description des trois groupes hornéviens, stratégies sociales, forces et angles morts (site de vulgarisation)</w:t>
      </w:r>
    </w:p>
    <w:p>
      <w:pPr>
        <w:spacing w:after="40" w:before="60"/>
      </w:pPr>
      <w:hyperlink w:history="1" r:id="rIdm2lpn7bcsrgptivrel8l3">
        <w:r>
          <w:rPr>
            <w:rFonts w:ascii="Times New Roman" w:cs="Times New Roman" w:eastAsia="Times New Roman" w:hAnsi="Times New Roman"/>
            <w:b/>
            <w:bCs/>
            <w:color w:val="1155CC"/>
            <w:sz w:val="22"/>
            <w:szCs w:val="22"/>
            <w:u w:val="single"/>
          </w:rPr>
          <w:t xml:space="preserve">Enneagram Explained — Les groupes harmoniques</w:t>
        </w:r>
      </w:hyperlink>
      <w:r>
        <w:rPr>
          <w:rFonts w:ascii="Times New Roman" w:cs="Times New Roman" w:eastAsia="Times New Roman" w:hAnsi="Times New Roman"/>
          <w:color w:val="1F2937"/>
          <w:sz w:val="22"/>
          <w:szCs w:val="22"/>
        </w:rPr>
        <w:t xml:space="preserve"> — Description des trois groupes harmoniques, styles de coping face à la déception (site de vulgarisation)</w:t>
      </w:r>
    </w:p>
    <w:p>
      <w:pPr>
        <w:spacing w:after="40" w:before="60"/>
      </w:pPr>
      <w:hyperlink w:history="1" r:id="rIdzrginvxhc8lycnfdddaug">
        <w:r>
          <w:rPr>
            <w:rFonts w:ascii="Times New Roman" w:cs="Times New Roman" w:eastAsia="Times New Roman" w:hAnsi="Times New Roman"/>
            <w:b/>
            <w:bCs/>
            <w:color w:val="1155CC"/>
            <w:sz w:val="22"/>
            <w:szCs w:val="22"/>
            <w:u w:val="single"/>
          </w:rPr>
          <w:t xml:space="preserve">Best Enneagram Test — Hornevian Groups</w:t>
        </w:r>
      </w:hyperlink>
      <w:r>
        <w:rPr>
          <w:rFonts w:ascii="Times New Roman" w:cs="Times New Roman" w:eastAsia="Times New Roman" w:hAnsi="Times New Roman"/>
          <w:color w:val="1F2937"/>
          <w:sz w:val="22"/>
          <w:szCs w:val="22"/>
        </w:rPr>
        <w:t xml:space="preserve"> — Présentation des groupes hornéviens avec Karen Horney comme origine (site de tests/blog)</w:t>
      </w:r>
    </w:p>
    <w:p>
      <w:pPr>
        <w:spacing w:after="40" w:before="60"/>
      </w:pPr>
      <w:hyperlink w:history="1" r:id="rIdln8jfp2buwixgw5zvcbio">
        <w:r>
          <w:rPr>
            <w:rFonts w:ascii="Times New Roman" w:cs="Times New Roman" w:eastAsia="Times New Roman" w:hAnsi="Times New Roman"/>
            <w:b/>
            <w:bCs/>
            <w:color w:val="1155CC"/>
            <w:sz w:val="22"/>
            <w:szCs w:val="22"/>
            <w:u w:val="single"/>
          </w:rPr>
          <w:t xml:space="preserve">Heath Davis Havlick — Harmonic Groups of the Personality</w:t>
        </w:r>
      </w:hyperlink>
      <w:r>
        <w:rPr>
          <w:rFonts w:ascii="Times New Roman" w:cs="Times New Roman" w:eastAsia="Times New Roman" w:hAnsi="Times New Roman"/>
          <w:color w:val="1F2937"/>
          <w:sz w:val="22"/>
          <w:szCs w:val="22"/>
        </w:rPr>
        <w:t xml:space="preserve"> — Les groupes harmoniques comme chemin de transformation — praticien ennéagramme, référence à Riso-Hudson</w:t>
      </w:r>
    </w:p>
    <w:p>
      <w:pPr>
        <w:spacing w:after="40" w:before="60"/>
      </w:pPr>
      <w:hyperlink w:history="1" r:id="rIdks1kb6jkqzcgqzsiik-a5">
        <w:r>
          <w:rPr>
            <w:rFonts w:ascii="Times New Roman" w:cs="Times New Roman" w:eastAsia="Times New Roman" w:hAnsi="Times New Roman"/>
            <w:b/>
            <w:bCs/>
            <w:color w:val="1155CC"/>
            <w:sz w:val="22"/>
            <w:szCs w:val="22"/>
            <w:u w:val="single"/>
          </w:rPr>
          <w:t xml:space="preserve">David Daniels, M.D. — The Enneagram Triads</w:t>
        </w:r>
      </w:hyperlink>
      <w:r>
        <w:rPr>
          <w:rFonts w:ascii="Times New Roman" w:cs="Times New Roman" w:eastAsia="Times New Roman" w:hAnsi="Times New Roman"/>
          <w:color w:val="1F2937"/>
          <w:sz w:val="22"/>
          <w:szCs w:val="22"/>
        </w:rPr>
        <w:t xml:space="preserve"> — Terminologie alternative de David Daniels (Life Energy Triads / Emotional Regulation Triads) — co-fondateur Narrative Enneagram</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bCs/>
          <w:color w:val="1F2937"/>
          <w:sz w:val="22"/>
          <w:szCs w:val="22"/>
        </w:rPr>
        <w:t xml:space="preserve">Leçon n°17 — L'ennéagramme dans la relation : couple, famille, conflits</w:t>
      </w:r>
      <w:r>
        <w:rPr>
          <w:rFonts w:ascii="Times New Roman" w:cs="Times New Roman" w:eastAsia="Times New Roman" w:hAnsi="Times New Roman"/>
          <w:color w:val="1F2937"/>
          <w:sz w:val="22"/>
          <w:szCs w:val="22"/>
        </w:rPr>
        <w:t xml:space="preserve"> : comment les types interagissent entre eux, les dynamiques de compatibilité et de tension, et pourquoi certaines combinaisons génèrent structurellement des incompréhensions.</w:t>
      </w:r>
    </w:p>
    <w:p>
      <w:pPr>
        <w:spacing w:after="60" w:before="60"/>
      </w:pPr>
      <w:r>
        <w:t xml:space="preserve"/>
      </w:r>
    </w:p>
    <w:p>
      <w:pPr>
        <w:spacing w:after="100" w:before="200"/>
        <w:jc w:val="center"/>
      </w:pPr>
      <w:r>
        <w:rPr>
          <w:rFonts w:ascii="Times New Roman" w:cs="Times New Roman" w:eastAsia="Times New Roman" w:hAnsi="Times New Roman"/>
          <w:i/>
          <w:iCs/>
          <w:color w:val="1B3A6B"/>
          <w:sz w:val="20"/>
          <w:szCs w:val="20"/>
        </w:rPr>
        <w:t xml:space="preserve">— Fin de la leçon 16 / 20 —</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htsfzk6yeop8bwkc5mlg" Type="http://schemas.openxmlformats.org/officeDocument/2006/relationships/hyperlink" Target="https://enneagramexplained.com/enneagram-hornevian-groups/" TargetMode="External"/><Relationship Id="rIdm2lpn7bcsrgptivrel8l3" Type="http://schemas.openxmlformats.org/officeDocument/2006/relationships/hyperlink" Target="https://enneagramexplained.com/enneagram-harmonic-groups/" TargetMode="External"/><Relationship Id="rIdzrginvxhc8lycnfdddaug" Type="http://schemas.openxmlformats.org/officeDocument/2006/relationships/hyperlink" Target="https://www.bestenneagramtest.com/blog/enneagram-hornevian-groups" TargetMode="External"/><Relationship Id="rIdln8jfp2buwixgw5zvcbio" Type="http://schemas.openxmlformats.org/officeDocument/2006/relationships/hyperlink" Target="https://heathdavishavlick.com/deeper-into-personal-transformation-the-harmonic-groups-of-the-personality/" TargetMode="External"/><Relationship Id="rIdks1kb6jkqzcgqzsiik-a5" Type="http://schemas.openxmlformats.org/officeDocument/2006/relationships/hyperlink" Target="https://drdaviddaniels.com/the-enneagram-triad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2026-09-16T07:11:40.478Z</dcterms:created>
  <dcterms:modified xsi:type="dcterms:W3CDTF">2026-09-16T07:11:40.481Z</dcterms:modified>
</cp:coreProperties>
</file>

<file path=docProps/custom.xml><?xml version="1.0" encoding="utf-8"?>
<Properties xmlns="http://schemas.openxmlformats.org/officeDocument/2006/custom-properties" xmlns:vt="http://schemas.openxmlformats.org/officeDocument/2006/docPropsVTypes"/>
</file>