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B3A6B"/>
          <w:sz w:val="56"/>
          <w:szCs w:val="56"/>
        </w:rPr>
        <w:t xml:space="preserve">Veille AI Act — Compte-rendu</w:t>
      </w:r>
    </w:p>
    <w:p>
      <w:pPr>
        <w:spacing w:after="80"/>
        <w:jc w:val="center"/>
      </w:pPr>
      <w:r>
        <w:rPr>
          <w:rFonts w:ascii="Calibri" w:cs="Calibri" w:eastAsia="Calibri" w:hAnsi="Calibri"/>
          <w:b/>
          <w:bCs/>
          <w:color w:val="1B3A6B"/>
          <w:sz w:val="32"/>
          <w:szCs w:val="32"/>
        </w:rPr>
        <w:t xml:space="preserve">18 septembre 2026</w:t>
      </w:r>
    </w:p>
    <w:p>
      <w:pPr>
        <w:spacing w:after="80"/>
        <w:jc w:val="center"/>
      </w:pPr>
      <w:r>
        <w:rPr>
          <w:rFonts w:ascii="Calibri" w:cs="Calibri" w:eastAsia="Calibri" w:hAnsi="Calibri"/>
          <w:b/>
          <w:bCs/>
          <w:color w:val="C2410C"/>
          <w:sz w:val="26"/>
          <w:szCs w:val="26"/>
        </w:rPr>
        <w:t xml:space="preserve">🟡 NIVEAU D'ALERTE : À SURVEILLER — SEMAINE POLITIQUE MAJEURE</w:t>
      </w:r>
    </w:p>
    <w:p>
      <w:pPr>
        <w:spacing w:after="80"/>
        <w:jc w:val="center"/>
      </w:pPr>
      <w:r>
        <w:rPr>
          <w:rFonts w:ascii="Calibri" w:cs="Calibri" w:eastAsia="Calibri" w:hAnsi="Calibri"/>
          <w:color w:val="1F2937"/>
          <w:sz w:val="22"/>
          <w:szCs w:val="22"/>
        </w:rPr>
        <w:t xml:space="preserve">Fenêtre couverte : 11 septembre 2026 → 18 septembre 2026 (J-7 à J)</w:t>
      </w:r>
    </w:p>
    <w:p>
      <w:pPr>
        <w:spacing w:after="80"/>
        <w:jc w:val="center"/>
      </w:pPr>
      <w:r>
        <w:rPr>
          <w:rFonts w:ascii="Calibri" w:cs="Calibri" w:eastAsia="Calibri" w:hAnsi="Calibri"/>
          <w:color w:val="1F2937"/>
          <w:sz w:val="22"/>
          <w:szCs w:val="22"/>
        </w:rPr>
        <w:t xml:space="preserve">9 sources documentaires tentées — 3 exploitées (✅), 3 consultées sans extraction directe de contenu, 3 non extractibles ou bloquées (⚠️)</w:t>
      </w:r>
    </w:p>
    <w:p>
      <w:pPr>
        <w:spacing w:after="200"/>
        <w:jc w:val="center"/>
      </w:pPr>
      <w:r>
        <w:rPr>
          <w:rFonts w:ascii="Calibri" w:cs="Calibri" w:eastAsia="Calibri" w:hAnsi="Calibri"/>
          <w:color w:val="1F2937"/>
          <w:sz w:val="22"/>
          <w:szCs w:val="22"/>
        </w:rPr>
        <w:t xml:space="preserve">Faits marquants identifiés : 4</w:t>
      </w:r>
    </w:p>
    <w:p>
      <w:pPr>
        <w:spacing w:after="160"/>
      </w:pPr>
      <w:r>
        <w:rPr>
          <w:rFonts w:ascii="Calibri" w:cs="Calibri" w:eastAsia="Calibri" w:hAnsi="Calibri"/>
          <w:color w:val="1F2937"/>
          <w:sz w:val="22"/>
          <w:szCs w:val="22"/>
        </w:rPr>
        <w:t xml:space="preserve"/>
      </w:r>
    </w:p>
    <w:p>
      <w:pPr>
        <w:spacing w:after="180" w:before="360"/>
      </w:pPr>
      <w:r>
        <w:rPr>
          <w:rFonts w:ascii="Calibri" w:cs="Calibri" w:eastAsia="Calibri" w:hAnsi="Calibri"/>
          <w:b/>
          <w:bCs/>
          <w:color w:val="1B3A6B"/>
          <w:sz w:val="28"/>
          <w:szCs w:val="28"/>
        </w:rPr>
        <w:t xml:space="preserve">🔵 En bref</w:t>
      </w:r>
    </w:p>
    <w:p>
      <w:pPr>
        <w:pStyle w:val="ListParagraph"/>
        <w:numPr>
          <w:ilvl w:val="0"/>
          <w:numId w:val="1"/>
        </w:numPr>
        <w:spacing w:after="80"/>
      </w:pPr>
      <w:r>
        <w:rPr>
          <w:rFonts w:ascii="Calibri" w:cs="Calibri" w:eastAsia="Calibri" w:hAnsi="Calibri"/>
          <w:color w:val="1F2937"/>
          <w:sz w:val="22"/>
          <w:szCs w:val="22"/>
        </w:rPr>
        <w:t xml:space="preserve">Commission européenne — Discours sur l'état de l'Union (16/09/2026) : Von der Leyen appelle à ralentir les modèles IA auto-récursifs — « To pace the frontier », dit le discours à deux reprises (texte intégral lu le 20/09/2026 via l'API du presscorner). Invite les principaux labs frontier à un dialogue sur la sécurité. Annonce une coopération avec le Canada et le Royaume-Uni sur l'évaluation, la vérification et les systèmes d'alerte précoce en matière d'IA — dans le discours et dans l'article d'Isabelle Roccia (IAPP, 17/09/2026) ; l'article d'Alex LaCasse (IAPP, 16/09/2026) ne nomme aucun des deux pays et écrit « the EU should "pace" innovation ». </w:t>
      </w:r>
      <w:r>
        <w:rPr>
          <w:rFonts w:ascii="Calibri" w:cs="Calibri" w:eastAsia="Calibri" w:hAnsi="Calibri"/>
          <w:i/>
          <w:iCs/>
          <w:color w:val="6B7280"/>
          <w:sz w:val="20"/>
          <w:szCs w:val="20"/>
        </w:rPr>
        <w:t xml:space="preserve">[Corrigé le 20/09/2026 : « pacing the frontier » était entre guillemets, prêté à von der Leyen via LaCasse — l'article n'a que « "pace" innovation » et le discours « To pace the frontier » ; le discours, « non lu directement », était lisible par l'API du presscorner.]</w:t>
      </w:r>
    </w:p>
    <w:p>
      <w:pPr>
        <w:pStyle w:val="ListParagraph"/>
        <w:numPr>
          <w:ilvl w:val="0"/>
          <w:numId w:val="1"/>
        </w:numPr>
        <w:spacing w:after="80"/>
      </w:pPr>
      <w:r>
        <w:rPr>
          <w:rFonts w:ascii="Calibri" w:cs="Calibri" w:eastAsia="Calibri" w:hAnsi="Calibri"/>
          <w:color w:val="1F2937"/>
          <w:sz w:val="22"/>
          <w:szCs w:val="22"/>
        </w:rPr>
        <w:t xml:space="preserve">EU Kids Act proposé par la Commission (17/09/2026) : interdiction totale pour les moins de 13 ans, mini-comptes parentaux pour les 13-15 ans, design sûr obligatoire pour les 15-18 ans. Sanctions pouvant atteindre 6 % du CA mondial pour les très grandes plateformes en ligne (VLOPs). Source : IAPP (Alex LaCasse, 17/09/2026).</w:t>
      </w:r>
      <w:r>
        <w:rPr>
          <w:rFonts w:ascii="Calibri" w:cs="Calibri" w:eastAsia="Calibri" w:hAnsi="Calibri"/>
          <w:i/>
          <w:iCs/>
          <w:color w:val="6B7280"/>
          <w:sz w:val="20"/>
          <w:szCs w:val="20"/>
        </w:rPr>
        <w:t xml:space="preserve"> [Corrigé le 20/09/2026 : « 13-15 ans » : l'article écrit « children ages 13 and 14 » ; le discours dit « from 13 until a child turns 15 » — même tranche, deux formulations.]</w:t>
      </w:r>
    </w:p>
    <w:p>
      <w:pPr>
        <w:pStyle w:val="ListParagraph"/>
        <w:numPr>
          <w:ilvl w:val="0"/>
          <w:numId w:val="1"/>
        </w:numPr>
        <w:spacing w:after="80"/>
      </w:pPr>
      <w:r>
        <w:rPr>
          <w:rFonts w:ascii="Calibri" w:cs="Calibri" w:eastAsia="Calibri" w:hAnsi="Calibri"/>
          <w:color w:val="1F2937"/>
          <w:sz w:val="22"/>
          <w:szCs w:val="22"/>
        </w:rPr>
        <w:t xml:space="preserve">Analyse éditoriale IAPP — Isabelle Roccia (17/09/2026) : le discours confirme, pour l'autrice, un « agenda of competitiveness and value-based digital order » ; elle nomme la Digital Fairness Act (design addictif) et l'AI Continent Strategy, juge la Présidente « more cagy about simplification », et note le plan de déploiement IA dans cinq secteurs annoncé pour novembre 2026. </w:t>
      </w:r>
      <w:r>
        <w:rPr>
          <w:rFonts w:ascii="Calibri" w:cs="Calibri" w:eastAsia="Calibri" w:hAnsi="Calibri"/>
          <w:i/>
          <w:iCs/>
          <w:color w:val="6B7280"/>
          <w:sz w:val="20"/>
          <w:szCs w:val="20"/>
        </w:rPr>
        <w:t xml:space="preserve">[Corrigé le 20/09/2026 : « human-centric » n'est pas dans son texte ; « trois chantiers législatifs en cours : Digital Omnibus IA (partiellement adopté via le règlement 2026/1744), Cloud and AI Development Act, révision du Cybersecurity Act » non plus — aucun des trois n'y est nommé (« Digital Omnibus on AI » apparaît une fois chez LaCasse, comme titre du rapporteur McNamara). Connaissances de fond retirées.]</w:t>
      </w:r>
    </w:p>
    <w:p>
      <w:pPr>
        <w:pStyle w:val="ListParagraph"/>
        <w:numPr>
          <w:ilvl w:val="0"/>
          <w:numId w:val="1"/>
        </w:numPr>
        <w:spacing w:after="80"/>
      </w:pPr>
      <w:r>
        <w:rPr>
          <w:rFonts w:ascii="Calibri" w:cs="Calibri" w:eastAsia="Calibri" w:hAnsi="Calibri"/>
          <w:color w:val="1F2937"/>
          <w:sz w:val="22"/>
          <w:szCs w:val="22"/>
        </w:rPr>
        <w:t xml:space="preserve">Signaux MEMBER IAPP (16/09/2026 — titres et thèmes seulement, corps non accessibles) : « When agentic AI meets data protection law: A fundamental mismatch? » et « The multilingual gap is a governance gap » — deux sujets directement pertinents pour les obligations de conformité des ESSMS.</w:t>
      </w:r>
    </w:p>
    <w:p>
      <w:pPr>
        <w:spacing w:after="160"/>
      </w:pPr>
      <w:r>
        <w:rPr>
          <w:rFonts w:ascii="Calibri" w:cs="Calibri" w:eastAsia="Calibri" w:hAnsi="Calibri"/>
          <w:color w:val="1F2937"/>
          <w:sz w:val="22"/>
          <w:szCs w:val="22"/>
        </w:rPr>
        <w:t xml:space="preserve"/>
      </w:r>
    </w:p>
    <w:p>
      <w:pPr>
        <w:spacing w:after="180" w:before="360"/>
      </w:pPr>
      <w:r>
        <w:rPr>
          <w:rFonts w:ascii="Calibri" w:cs="Calibri" w:eastAsia="Calibri" w:hAnsi="Calibri"/>
          <w:b/>
          <w:bCs/>
          <w:color w:val="1B3A6B"/>
          <w:sz w:val="28"/>
          <w:szCs w:val="28"/>
        </w:rPr>
        <w:t xml:space="preserve">📅 Échéances réglementaires à venir</w:t>
      </w:r>
    </w:p>
    <w:p>
      <w:pPr>
        <w:spacing w:after="100"/>
      </w:pPr>
      <w:r>
        <w:rPr>
          <w:rFonts w:ascii="Calibri" w:cs="Calibri" w:eastAsia="Calibri" w:hAnsi="Calibri"/>
          <w:b w:val="false"/>
          <w:bCs w:val="false"/>
          <w:color w:val="1F2937"/>
          <w:sz w:val="22"/>
          <w:szCs w:val="22"/>
        </w:rPr>
        <w:t xml:space="preserve">Référence : règlement (UE) 2024/1689 tel que modifié par le règlement (UE) 2026/1744 du 8 juillet 2026 (« Omnibus IA »), publié au JOUE le 24 juillet 2026, en vigueur le 27 juillet 2026.</w:t>
      </w:r>
    </w:p>
    <w:p>
      <w:pPr>
        <w:spacing w:after="100"/>
      </w:pPr>
      <w:r>
        <w:rPr>
          <w:rFonts w:ascii="Calibri" w:cs="Calibri" w:eastAsia="Calibri" w:hAnsi="Calibri"/>
          <w:color w:val="1F2937"/>
          <w:sz w:val="22"/>
          <w:szCs w:val="22"/>
        </w:rPr>
        <w:t xml:space="preserve">Lien EUR-Lex (testé HTTP 202, contenu non lu directement pendant cette exécution — référence héritée de l'édition du 29/08/2026) : </w:t>
      </w:r>
      <w:hyperlink w:history="1" r:id="rId1wnkpdifcy635jjk5ckj6">
        <w:r>
          <w:rPr>
            <w:rFonts w:ascii="Calibri" w:cs="Calibri" w:eastAsia="Calibri" w:hAnsi="Calibri"/>
            <w:color w:val="1155CC"/>
            <w:sz w:val="22"/>
            <w:szCs w:val="22"/>
            <w:u w:val="single"/>
          </w:rPr>
          <w:t xml:space="preserve">Règlement (UE) 2026/1744 — EUR-Lex</w:t>
        </w:r>
      </w:hyperlink>
    </w:p>
    <w:p>
      <w:pPr>
        <w:spacing w:after="100"/>
      </w:pPr>
      <w:r>
        <w:rPr>
          <w:rFonts w:ascii="Calibri" w:cs="Calibri" w:eastAsia="Calibri" w:hAnsi="Calibri"/>
          <w:b w:val="false"/>
          <w:bCs w:val="false"/>
          <w:color w:val="1F2937"/>
          <w:sz w:val="22"/>
          <w:szCs w:val="22"/>
        </w:rPr>
        <w:t xml:space="preserve">⚠️ Discordance entre sources (héritée des éditions précédentes) : la Q/R de la CNIL écrit « Une version amendée du RIA a été adopté le 24 juillet 2026 » [sic] — il s'agit de la date de publication au JOUE, non de la date de l'acte (8 juillet 2026). EUR-Lex fait foi pour la date de l'acte.</w:t>
      </w:r>
      <w:r>
        <w:rPr>
          <w:rFonts w:ascii="Calibri" w:cs="Calibri" w:eastAsia="Calibri" w:hAnsi="Calibri"/>
          <w:i/>
          <w:iCs/>
          <w:color w:val="6B7280"/>
          <w:sz w:val="20"/>
          <w:szCs w:val="20"/>
        </w:rPr>
        <w:t xml:space="preserve"> [Corrigé le 20/09/2026 : la page écrit « adopté », relue le 20/09/2026 ; la note écrivait « adoptée » entre guillemets.]</w:t>
      </w:r>
    </w:p>
    <w:p>
      <w:pPr>
        <w:spacing w:after="100"/>
      </w:pPr>
      <w:r>
        <w:rPr>
          <w:rFonts w:ascii="Calibri" w:cs="Calibri" w:eastAsia="Calibri" w:hAnsi="Calibri"/>
          <w:b w:val="false"/>
          <w:bCs w:val="false"/>
          <w:color w:val="1F2937"/>
          <w:sz w:val="22"/>
          <w:szCs w:val="22"/>
        </w:rPr>
        <w:t xml:space="preserve">Source du calendrier : AI Act Service Desk (Commission) — vérifié le 18/09/2026, aucune modification observée.</w:t>
      </w:r>
    </w:p>
    <w:p>
      <w:pPr>
        <w:spacing w:after="160"/>
      </w:pPr>
      <w:r>
        <w:rPr>
          <w:rFonts w:ascii="Calibri" w:cs="Calibri" w:eastAsia="Calibri" w:hAnsi="Calibri"/>
          <w:color w:val="1F2937"/>
          <w:sz w:val="22"/>
          <w:szCs w:val="22"/>
        </w:rPr>
        <w:t xml:space="preserve"/>
      </w:r>
    </w:p>
    <w:p>
      <w:pPr>
        <w:pStyle w:val="ListParagraph"/>
        <w:numPr>
          <w:ilvl w:val="0"/>
          <w:numId w:val="1"/>
        </w:numPr>
        <w:spacing w:after="80"/>
      </w:pPr>
      <w:r>
        <w:rPr>
          <w:rFonts w:ascii="Calibri" w:cs="Calibri" w:eastAsia="Calibri" w:hAnsi="Calibri"/>
          <w:color w:val="1F2937"/>
          <w:sz w:val="22"/>
          <w:szCs w:val="22"/>
        </w:rPr>
        <w:t xml:space="preserve">✅ 2 août 2026 (PASSÉ) — Entrée en application principale du règlement : obligations de transparence (art. 50), littératie IA (art. 4, allégée par l'Omnibus), sanctions actives. Régime : jusqu'à 35 M€ ou 7 % du CA mondial pour pratiques interdites ; jusqu'à 15 M€ ou 3 % pour transparence et GPAI.</w:t>
      </w:r>
    </w:p>
    <w:p>
      <w:pPr>
        <w:pStyle w:val="ListParagraph"/>
        <w:numPr>
          <w:ilvl w:val="0"/>
          <w:numId w:val="1"/>
        </w:numPr>
        <w:spacing w:after="80"/>
      </w:pPr>
      <w:r>
        <w:rPr>
          <w:rFonts w:ascii="Calibri" w:cs="Calibri" w:eastAsia="Calibri" w:hAnsi="Calibri"/>
          <w:color w:val="1F2937"/>
          <w:sz w:val="22"/>
          <w:szCs w:val="22"/>
        </w:rPr>
        <w:t xml:space="preserve">⏳ 2 décembre 2026 — J-75 : (1) Fin de la période transitoire art. 50 §2 pour les systèmes génératifs mis sur le marché avant le 2 août 2026 ; (2) Entrée en vigueur de l'interdiction des hypertrucages sexuels non consentis et du CSAM (ajouts de l'Omnibus 2026/1744).</w:t>
      </w:r>
    </w:p>
    <w:p>
      <w:pPr>
        <w:pStyle w:val="ListParagraph"/>
        <w:numPr>
          <w:ilvl w:val="0"/>
          <w:numId w:val="1"/>
        </w:numPr>
        <w:spacing w:after="80"/>
      </w:pPr>
      <w:r>
        <w:rPr>
          <w:rFonts w:ascii="Calibri" w:cs="Calibri" w:eastAsia="Calibri" w:hAnsi="Calibri"/>
          <w:color w:val="1F2937"/>
          <w:sz w:val="22"/>
          <w:szCs w:val="22"/>
        </w:rPr>
        <w:t xml:space="preserve">⏳ 2 août 2027 — Obligation pour les États membres d'avoir mis en place des bacs à sable réglementaires opérationnels.</w:t>
      </w:r>
    </w:p>
    <w:p>
      <w:pPr>
        <w:pStyle w:val="ListParagraph"/>
        <w:numPr>
          <w:ilvl w:val="0"/>
          <w:numId w:val="1"/>
        </w:numPr>
        <w:spacing w:after="80"/>
      </w:pPr>
      <w:r>
        <w:rPr>
          <w:rFonts w:ascii="Calibri" w:cs="Calibri" w:eastAsia="Calibri" w:hAnsi="Calibri"/>
          <w:color w:val="1F2937"/>
          <w:sz w:val="22"/>
          <w:szCs w:val="22"/>
        </w:rPr>
        <w:t xml:space="preserve">⏳ 2 décembre 2027 — Application des exigences pour les systèmes à haut risque de l'annexe III (dont les systèmes d'aide à la décision en contexte de services essentiels — pertinent pour les ESSMS).</w:t>
      </w:r>
    </w:p>
    <w:p>
      <w:pPr>
        <w:pStyle w:val="ListParagraph"/>
        <w:numPr>
          <w:ilvl w:val="0"/>
          <w:numId w:val="1"/>
        </w:numPr>
        <w:spacing w:after="80"/>
      </w:pPr>
      <w:r>
        <w:rPr>
          <w:rFonts w:ascii="Calibri" w:cs="Calibri" w:eastAsia="Calibri" w:hAnsi="Calibri"/>
          <w:color w:val="1F2937"/>
          <w:sz w:val="22"/>
          <w:szCs w:val="22"/>
        </w:rPr>
        <w:t xml:space="preserve">⏳ 2 août 2028 — Application des règles pour les produits réglementés embarquant de l'IA (annexe I).</w:t>
      </w:r>
    </w:p>
    <w:p>
      <w:pPr>
        <w:spacing w:after="160"/>
      </w:pPr>
      <w:r>
        <w:rPr>
          <w:rFonts w:ascii="Calibri" w:cs="Calibri" w:eastAsia="Calibri" w:hAnsi="Calibri"/>
          <w:color w:val="1F2937"/>
          <w:sz w:val="22"/>
          <w:szCs w:val="22"/>
        </w:rPr>
        <w:t xml:space="preserve"/>
      </w:r>
    </w:p>
    <w:p>
      <w:pPr>
        <w:spacing w:after="100"/>
      </w:pPr>
      <w:r>
        <w:rPr>
          <w:rFonts w:ascii="Calibri" w:cs="Calibri" w:eastAsia="Calibri" w:hAnsi="Calibri"/>
          <w:b w:val="false"/>
          <w:bCs w:val="false"/>
          <w:color w:val="1F2937"/>
          <w:sz w:val="22"/>
          <w:szCs w:val="22"/>
        </w:rPr>
        <w:t xml:space="preserve">Note institutionnelle (non vérifiée à une source pendant cette exécution — reprise du cadrage du job du 30/08/2026) : les autorités françaises compétentes pour l'AI Act (volet numérique du DDADUE) ne sont toujours pas désignées au 18/09/2026. Cette absence ne suspend aucune obligation. L'interlocuteur de fait d'un ESSMS reste la CNIL via son DPO.</w:t>
      </w:r>
      <w:r>
        <w:rPr>
          <w:rFonts w:ascii="Calibri" w:cs="Calibri" w:eastAsia="Calibri" w:hAnsi="Calibri"/>
          <w:i/>
          <w:iCs/>
          <w:color w:val="6B7280"/>
          <w:sz w:val="20"/>
          <w:szCs w:val="20"/>
        </w:rPr>
        <w:t xml:space="preserve"> [Corrigé le 20/09/2026 : cette ligne est reprise du cadrage du job (30/08/2026) et n'a été vérifiée à aucune source pendant l'exécution du 18/09 — ni dans les éditions des 04/09 et 11/09, qui la portent à l'identique. À lire : non vérifié au 18/09/2026.]</w:t>
      </w:r>
    </w:p>
    <w:p>
      <w:pPr>
        <w:spacing w:after="160"/>
      </w:pPr>
      <w:r>
        <w:rPr>
          <w:rFonts w:ascii="Calibri" w:cs="Calibri" w:eastAsia="Calibri" w:hAnsi="Calibri"/>
          <w:color w:val="1F2937"/>
          <w:sz w:val="22"/>
          <w:szCs w:val="22"/>
        </w:rPr>
        <w:t xml:space="preserve"/>
      </w:r>
    </w:p>
    <w:p>
      <w:pPr>
        <w:spacing w:after="180" w:before="360"/>
      </w:pPr>
      <w:r>
        <w:rPr>
          <w:rFonts w:ascii="Calibri" w:cs="Calibri" w:eastAsia="Calibri" w:hAnsi="Calibri"/>
          <w:b/>
          <w:bCs/>
          <w:color w:val="1B3A6B"/>
          <w:sz w:val="28"/>
          <w:szCs w:val="28"/>
        </w:rPr>
        <w:t xml:space="preserve">🏛️ Actualité officielle UE</w:t>
      </w:r>
    </w:p>
    <w:p>
      <w:pPr>
        <w:spacing w:after="100"/>
      </w:pPr>
      <w:r>
        <w:rPr>
          <w:rFonts w:ascii="Calibri" w:cs="Calibri" w:eastAsia="Calibri" w:hAnsi="Calibri"/>
          <w:b/>
          <w:bCs/>
          <w:color w:val="1F2937"/>
          <w:sz w:val="22"/>
          <w:szCs w:val="22"/>
        </w:rPr>
        <w:t xml:space="preserve">Commission européenne — Discours sur l'état de l'Union 2026</w:t>
      </w:r>
    </w:p>
    <w:p>
      <w:pPr>
        <w:spacing w:after="100"/>
      </w:pPr>
      <w:r>
        <w:rPr>
          <w:rFonts w:ascii="Calibri" w:cs="Calibri" w:eastAsia="Calibri" w:hAnsi="Calibri"/>
          <w:b w:val="false"/>
          <w:bCs w:val="false"/>
          <w:color w:val="1F2937"/>
          <w:sz w:val="22"/>
          <w:szCs w:val="22"/>
        </w:rPr>
        <w:t xml:space="preserve">Discours du 16 septembre 2026, Ursula von der Leyen, Présidente de la Commission européenne.</w:t>
      </w:r>
    </w:p>
    <w:p>
      <w:pPr>
        <w:spacing w:after="100"/>
      </w:pPr>
      <w:r>
        <w:rPr>
          <w:rFonts w:ascii="Calibri" w:cs="Calibri" w:eastAsia="Calibri" w:hAnsi="Calibri"/>
          <w:color w:val="1F2937"/>
          <w:sz w:val="22"/>
          <w:szCs w:val="22"/>
        </w:rPr>
        <w:t xml:space="preserve">Source primaire — texte intégral lu le 20/09/2026 via l'API du presscorner (HTTP 200, 44 388 caractères de texte ; la page HTML est une coquille JavaScript de 3 882 caractères) ; le 18/09, testée HTTP 200 sans être ouverte, informations reprises depuis IAPP : </w:t>
      </w:r>
      <w:hyperlink w:history="1" r:id="rIdgjrd2ad5fd4cx8b2uebtr">
        <w:r>
          <w:rPr>
            <w:rFonts w:ascii="Calibri" w:cs="Calibri" w:eastAsia="Calibri" w:hAnsi="Calibri"/>
            <w:color w:val="1155CC"/>
            <w:sz w:val="22"/>
            <w:szCs w:val="22"/>
            <w:u w:val="single"/>
          </w:rPr>
          <w:t xml:space="preserve">Commission — Discours État de l'Union 2026 (presscorner)</w:t>
        </w:r>
      </w:hyperlink>
      <w:r>
        <w:rPr>
          <w:rFonts w:ascii="Calibri" w:cs="Calibri" w:eastAsia="Calibri" w:hAnsi="Calibri"/>
          <w:i/>
          <w:iCs/>
          <w:color w:val="6B7280"/>
          <w:sz w:val="20"/>
          <w:szCs w:val="20"/>
        </w:rPr>
        <w:t xml:space="preserve"> [Corrigé le 20/09/2026 : la note disait le discours « non lu directement » ; l'API du presscorner le rendait en entier. Les citations ci-dessous en sont tirées. Texte intégral : </w:t>
      </w:r>
      <w:hyperlink w:history="1" r:id="rIdApiSpeech261868">
        <w:r>
          <w:rPr>
            <w:rFonts w:ascii="Calibri" w:cs="Calibri" w:eastAsia="Calibri" w:hAnsi="Calibri"/>
            <w:color w:val="1155CC"/>
            <w:sz w:val="22"/>
            <w:szCs w:val="22"/>
            <w:u w:val="single"/>
          </w:rPr>
          <w:t xml:space="preserve">API du presscorner — SPEECH/26/1868</w:t>
        </w:r>
      </w:hyperlink>
      <w:r>
        <w:rPr>
          <w:rFonts w:ascii="Calibri" w:cs="Calibri" w:eastAsia="Calibri" w:hAnsi="Calibri"/>
          <w:i/>
          <w:iCs/>
          <w:color w:val="6B7280"/>
          <w:sz w:val="20"/>
          <w:szCs w:val="20"/>
        </w:rPr>
        <w:t xml:space="preserve">]</w:t>
      </w:r>
    </w:p>
    <w:p>
      <w:pPr>
        <w:spacing w:after="100"/>
      </w:pPr>
      <w:r>
        <w:rPr>
          <w:rFonts w:ascii="Calibri" w:cs="Calibri" w:eastAsia="Calibri" w:hAnsi="Calibri"/>
          <w:b w:val="false"/>
          <w:bCs w:val="false"/>
          <w:color w:val="1F2937"/>
          <w:sz w:val="22"/>
          <w:szCs w:val="22"/>
        </w:rPr>
        <w:t xml:space="preserve">Principales annonces IA (discours lu le 20/09/2026 ; le 18/09, reprises de l'IAPP) :</w:t>
      </w:r>
    </w:p>
    <w:p>
      <w:pPr>
        <w:pStyle w:val="ListParagraph"/>
        <w:numPr>
          <w:ilvl w:val="0"/>
          <w:numId w:val="1"/>
        </w:numPr>
        <w:spacing w:after="80"/>
      </w:pPr>
      <w:r>
        <w:rPr>
          <w:rFonts w:ascii="Calibri" w:cs="Calibri" w:eastAsia="Calibri" w:hAnsi="Calibri"/>
          <w:color w:val="1F2937"/>
          <w:sz w:val="22"/>
          <w:szCs w:val="22"/>
        </w:rPr>
        <w:t xml:space="preserve">Appel à ralentir les modèles auto-récursifs : le discours porte « CEOs of the most advanced companies tell us that it is time to slow down on the self-recursive models. To pace the frontier. » — LaCasse cite la première phrase et résume la seconde par « the EU should "pace" innovation ». </w:t>
      </w:r>
      <w:r>
        <w:rPr>
          <w:rFonts w:ascii="Calibri" w:cs="Calibri" w:eastAsia="Calibri" w:hAnsi="Calibri"/>
          <w:i/>
          <w:iCs/>
          <w:color w:val="6B7280"/>
          <w:sz w:val="20"/>
          <w:szCs w:val="20"/>
        </w:rPr>
        <w:t xml:space="preserve">[Corrigé le 20/09/2026 : « pacing the frontier » et « pacing with them » étaient entre guillemets : ni l'une ni l'autre n'est dans l'article ni dans le discours, où « pace with » n'apparaît qu'à propos de la doctrine de défense.]</w:t>
      </w:r>
    </w:p>
    <w:p>
      <w:pPr>
        <w:pStyle w:val="ListParagraph"/>
        <w:numPr>
          <w:ilvl w:val="0"/>
          <w:numId w:val="1"/>
        </w:numPr>
        <w:spacing w:after="80"/>
      </w:pPr>
      <w:r>
        <w:rPr>
          <w:rFonts w:ascii="Calibri" w:cs="Calibri" w:eastAsia="Calibri" w:hAnsi="Calibri"/>
          <w:color w:val="1F2937"/>
          <w:sz w:val="22"/>
          <w:szCs w:val="22"/>
        </w:rPr>
        <w:t xml:space="preserve">Invitation des principaux labs frontier : « I will invite the main frontier labs for a discussion on how we can support ongoing industry efforts to pace the frontier » (discours). </w:t>
      </w:r>
      <w:r>
        <w:rPr>
          <w:rFonts w:ascii="Calibri" w:cs="Calibri" w:eastAsia="Calibri" w:hAnsi="Calibri"/>
          <w:i/>
          <w:iCs/>
          <w:color w:val="6B7280"/>
          <w:sz w:val="20"/>
          <w:szCs w:val="20"/>
        </w:rPr>
        <w:t xml:space="preserve">[Corrigé le 20/09/2026 : formulation exacte ajoutée, tirée du discours.]</w:t>
      </w:r>
    </w:p>
    <w:p>
      <w:pPr>
        <w:pStyle w:val="ListParagraph"/>
        <w:numPr>
          <w:ilvl w:val="0"/>
          <w:numId w:val="1"/>
        </w:numPr>
        <w:spacing w:after="80"/>
      </w:pPr>
      <w:r>
        <w:rPr>
          <w:rFonts w:ascii="Calibri" w:cs="Calibri" w:eastAsia="Calibri" w:hAnsi="Calibri"/>
          <w:color w:val="1F2937"/>
          <w:sz w:val="22"/>
          <w:szCs w:val="22"/>
        </w:rPr>
        <w:t xml:space="preserve">Coopération annoncée « with our like-minded partners like Canada, the United Kingdom and others » sur « model evaluation, verification, early warning, AI security and much more » (discours ; repris par Roccia, IAPP 17/09/2026). </w:t>
      </w:r>
      <w:r>
        <w:rPr>
          <w:rFonts w:ascii="Calibri" w:cs="Calibri" w:eastAsia="Calibri" w:hAnsi="Calibri"/>
          <w:i/>
          <w:iCs/>
          <w:color w:val="6B7280"/>
          <w:sz w:val="20"/>
          <w:szCs w:val="20"/>
        </w:rPr>
        <w:t xml:space="preserve">[Corrigé le 20/09/2026 : citations exactes ajoutées ; l'article de LaCasse, seule source du 18/09 pour ce point, ne nomme pas ces pays.]</w:t>
      </w:r>
    </w:p>
    <w:p>
      <w:pPr>
        <w:pStyle w:val="ListParagraph"/>
        <w:numPr>
          <w:ilvl w:val="0"/>
          <w:numId w:val="1"/>
        </w:numPr>
        <w:spacing w:after="80"/>
      </w:pPr>
      <w:r>
        <w:rPr>
          <w:rFonts w:ascii="Calibri" w:cs="Calibri" w:eastAsia="Calibri" w:hAnsi="Calibri"/>
          <w:color w:val="1F2937"/>
          <w:sz w:val="22"/>
          <w:szCs w:val="22"/>
        </w:rPr>
        <w:t xml:space="preserve">Plan de déploiement IA sectoriel attendu en novembre 2026 — cinq secteurs : santé, transport, agriculture/alimentation, industrie avancée, défense/espace.</w:t>
      </w:r>
    </w:p>
    <w:p>
      <w:pPr>
        <w:spacing w:after="160"/>
      </w:pPr>
      <w:r>
        <w:rPr>
          <w:rFonts w:ascii="Calibri" w:cs="Calibri" w:eastAsia="Calibri" w:hAnsi="Calibri"/>
          <w:color w:val="1F2937"/>
          <w:sz w:val="22"/>
          <w:szCs w:val="22"/>
        </w:rPr>
        <w:t xml:space="preserve"/>
      </w:r>
    </w:p>
    <w:p>
      <w:pPr>
        <w:spacing w:after="100"/>
      </w:pPr>
      <w:r>
        <w:rPr>
          <w:rFonts w:ascii="Calibri" w:cs="Calibri" w:eastAsia="Calibri" w:hAnsi="Calibri"/>
          <w:b/>
          <w:bCs/>
          <w:color w:val="1F2937"/>
          <w:sz w:val="22"/>
          <w:szCs w:val="22"/>
        </w:rPr>
        <w:t xml:space="preserve">Commission européenne — Page AI Act (digital-strategy)</w:t>
      </w:r>
    </w:p>
    <w:p>
      <w:pPr>
        <w:spacing w:after="100"/>
      </w:pPr>
      <w:r>
        <w:rPr>
          <w:rFonts w:ascii="Calibri" w:cs="Calibri" w:eastAsia="Calibri" w:hAnsi="Calibri"/>
          <w:color w:val="1F2937"/>
          <w:sz w:val="22"/>
          <w:szCs w:val="22"/>
        </w:rPr>
        <w:t xml:space="preserve">Consultée le 18/09/2026. Aucune publication nouvelle dans la fenêtre (11-18/09/2026). Dernière actualité visible : 31 août 2026. </w:t>
      </w:r>
      <w:hyperlink w:history="1" r:id="rIdgnw6eoarubqt36jo6j-ob">
        <w:r>
          <w:rPr>
            <w:rFonts w:ascii="Calibri" w:cs="Calibri" w:eastAsia="Calibri" w:hAnsi="Calibri"/>
            <w:color w:val="1155CC"/>
            <w:sz w:val="22"/>
            <w:szCs w:val="22"/>
            <w:u w:val="single"/>
          </w:rPr>
          <w:t xml:space="preserve">digital-strategy.ec.europa.eu — AI Act</w:t>
        </w:r>
      </w:hyperlink>
    </w:p>
    <w:p>
      <w:pPr>
        <w:spacing w:after="160"/>
      </w:pPr>
      <w:r>
        <w:rPr>
          <w:rFonts w:ascii="Calibri" w:cs="Calibri" w:eastAsia="Calibri" w:hAnsi="Calibri"/>
          <w:color w:val="1F2937"/>
          <w:sz w:val="22"/>
          <w:szCs w:val="22"/>
        </w:rPr>
        <w:t xml:space="preserve"/>
      </w:r>
    </w:p>
    <w:p>
      <w:pPr>
        <w:spacing w:after="100"/>
      </w:pPr>
      <w:r>
        <w:rPr>
          <w:rFonts w:ascii="Calibri" w:cs="Calibri" w:eastAsia="Calibri" w:hAnsi="Calibri"/>
          <w:b/>
          <w:bCs/>
          <w:color w:val="1F2937"/>
          <w:sz w:val="22"/>
          <w:szCs w:val="22"/>
        </w:rPr>
        <w:t xml:space="preserve">AI Act Service Desk (Commission européenne)</w:t>
      </w:r>
    </w:p>
    <w:p>
      <w:pPr>
        <w:spacing w:after="100"/>
      </w:pPr>
      <w:r>
        <w:rPr>
          <w:rFonts w:ascii="Calibri" w:cs="Calibri" w:eastAsia="Calibri" w:hAnsi="Calibri"/>
          <w:color w:val="1F2937"/>
          <w:sz w:val="22"/>
          <w:szCs w:val="22"/>
        </w:rPr>
        <w:t xml:space="preserve">Calendrier vérifié le 18/09/2026 — aucune modification constatée. Les jalons confirment la chronologie établie. </w:t>
      </w:r>
      <w:hyperlink w:history="1" r:id="rIdseziyyf2bp1icaha5e_kx">
        <w:r>
          <w:rPr>
            <w:rFonts w:ascii="Calibri" w:cs="Calibri" w:eastAsia="Calibri" w:hAnsi="Calibri"/>
            <w:color w:val="1155CC"/>
            <w:sz w:val="22"/>
            <w:szCs w:val="22"/>
            <w:u w:val="single"/>
          </w:rPr>
          <w:t xml:space="preserve">AI Act Service Desk — Calendrier d'implémentation</w:t>
        </w:r>
      </w:hyperlink>
    </w:p>
    <w:p>
      <w:pPr>
        <w:spacing w:after="160"/>
      </w:pPr>
      <w:r>
        <w:rPr>
          <w:rFonts w:ascii="Calibri" w:cs="Calibri" w:eastAsia="Calibri" w:hAnsi="Calibri"/>
          <w:color w:val="1F2937"/>
          <w:sz w:val="22"/>
          <w:szCs w:val="22"/>
        </w:rPr>
        <w:t xml:space="preserve"/>
      </w:r>
    </w:p>
    <w:p>
      <w:pPr>
        <w:spacing w:after="100"/>
      </w:pPr>
      <w:r>
        <w:rPr>
          <w:rFonts w:ascii="Calibri" w:cs="Calibri" w:eastAsia="Calibri" w:hAnsi="Calibri"/>
          <w:b/>
          <w:bCs/>
          <w:color w:val="1F2937"/>
          <w:sz w:val="22"/>
          <w:szCs w:val="22"/>
        </w:rPr>
        <w:t xml:space="preserve">Conseil de l'UE</w:t>
      </w:r>
    </w:p>
    <w:p>
      <w:pPr>
        <w:spacing w:after="100"/>
      </w:pPr>
      <w:r>
        <w:rPr>
          <w:rFonts w:ascii="Calibri" w:cs="Calibri" w:eastAsia="Calibri" w:hAnsi="Calibri"/>
          <w:b w:val="false"/>
          <w:bCs w:val="false"/>
          <w:color w:val="1F2937"/>
          <w:sz w:val="22"/>
          <w:szCs w:val="22"/>
        </w:rPr>
        <w:t xml:space="preserve">⚠️ Page des communiqués de presse (consilium.europa.eu) inaccessible : HTTP 403 (blocage anti-robot). Source non exploitée pour la fenêtre courante.</w:t>
      </w:r>
    </w:p>
    <w:p>
      <w:pPr>
        <w:spacing w:after="160"/>
      </w:pPr>
      <w:r>
        <w:rPr>
          <w:rFonts w:ascii="Calibri" w:cs="Calibri" w:eastAsia="Calibri" w:hAnsi="Calibri"/>
          <w:color w:val="1F2937"/>
          <w:sz w:val="22"/>
          <w:szCs w:val="22"/>
        </w:rPr>
        <w:t xml:space="preserve"/>
      </w:r>
    </w:p>
    <w:p>
      <w:pPr>
        <w:spacing w:after="180" w:before="360"/>
      </w:pPr>
      <w:r>
        <w:rPr>
          <w:rFonts w:ascii="Calibri" w:cs="Calibri" w:eastAsia="Calibri" w:hAnsi="Calibri"/>
          <w:b/>
          <w:bCs/>
          <w:color w:val="1B3A6B"/>
          <w:sz w:val="28"/>
          <w:szCs w:val="28"/>
        </w:rPr>
        <w:t xml:space="preserve">📰 Analyses &amp; gouvernance</w:t>
      </w:r>
    </w:p>
    <w:p>
      <w:pPr>
        <w:spacing w:after="100"/>
      </w:pPr>
      <w:r>
        <w:rPr>
          <w:rFonts w:ascii="Calibri" w:cs="Calibri" w:eastAsia="Calibri" w:hAnsi="Calibri"/>
          <w:b/>
          <w:bCs/>
          <w:color w:val="1F2937"/>
          <w:sz w:val="22"/>
          <w:szCs w:val="22"/>
        </w:rPr>
        <w:t xml:space="preserve">IAPP — Articles du 16-17 septembre 2026</w:t>
      </w:r>
    </w:p>
    <w:p>
      <w:pPr>
        <w:spacing w:after="160"/>
      </w:pPr>
      <w:r>
        <w:rPr>
          <w:rFonts w:ascii="Calibri" w:cs="Calibri" w:eastAsia="Calibri" w:hAnsi="Calibri"/>
          <w:color w:val="1F2937"/>
          <w:sz w:val="22"/>
          <w:szCs w:val="22"/>
        </w:rPr>
        <w:t xml:space="preserve"/>
      </w:r>
    </w:p>
    <w:p>
      <w:pPr>
        <w:spacing w:after="100"/>
      </w:pPr>
      <w:r>
        <w:rPr>
          <w:rFonts w:ascii="Calibri" w:cs="Calibri" w:eastAsia="Calibri" w:hAnsi="Calibri"/>
          <w:b/>
          <w:bCs/>
          <w:color w:val="1F2937"/>
          <w:sz w:val="22"/>
          <w:szCs w:val="22"/>
        </w:rPr>
        <w:t xml:space="preserve">Article 1 — Lu en entier (accès libre)</w:t>
      </w:r>
    </w:p>
    <w:p>
      <w:pPr>
        <w:spacing w:after="100"/>
      </w:pPr>
      <w:hyperlink w:history="1" r:id="rIdbqsu_gj8tylemtyqfuzzq">
        <w:r>
          <w:rPr>
            <w:rFonts w:ascii="Calibri" w:cs="Calibri" w:eastAsia="Calibri" w:hAnsi="Calibri"/>
            <w:color w:val="1155CC"/>
            <w:sz w:val="22"/>
            <w:szCs w:val="22"/>
            <w:u w:val="single"/>
          </w:rPr>
          <w:t xml:space="preserve">« Frontier AI curbs, children's social media restrictions among priorities in EU State of the Union address »</w:t>
        </w:r>
      </w:hyperlink>
      <w:r>
        <w:rPr>
          <w:rFonts w:ascii="Calibri" w:cs="Calibri" w:eastAsia="Calibri" w:hAnsi="Calibri"/>
          <w:color w:val="1F2937"/>
          <w:sz w:val="22"/>
          <w:szCs w:val="22"/>
        </w:rPr>
        <w:t xml:space="preserve"> — Alex LaCasse (Staff Writer, IAPP), 16 septembre 2026</w:t>
      </w:r>
    </w:p>
    <w:p>
      <w:pPr>
        <w:spacing w:after="100"/>
      </w:pPr>
      <w:r>
        <w:rPr>
          <w:rFonts w:ascii="Calibri" w:cs="Calibri" w:eastAsia="Calibri" w:hAnsi="Calibri"/>
          <w:color w:val="1F2937"/>
          <w:sz w:val="22"/>
          <w:szCs w:val="22"/>
        </w:rPr>
        <w:t xml:space="preserve">Analyse du discours de Von der Leyen : appel à réguler le développement des modèles frontier, annonce de l'EU Kids Act, plan sectoriel en cinq « highest-value sectors » en novembre. L'article cite deux eurodéputés : Michael McNamara — l'UE « has already legislated for exactly this scenario » — et Brando Benifei : « This is exactly why the AI Act created obligations for systemic-risk models. Europe must now enforce them fully. » </w:t>
      </w:r>
      <w:r>
        <w:rPr>
          <w:rFonts w:ascii="Calibri" w:cs="Calibri" w:eastAsia="Calibri" w:hAnsi="Calibri"/>
          <w:i/>
          <w:iCs/>
          <w:color w:val="6B7280"/>
          <w:sz w:val="20"/>
          <w:szCs w:val="20"/>
        </w:rPr>
        <w:t xml:space="preserve">[Corrigé le 20/09/2026 : « articulation avec le cadre de l'AI Act pour les modèles à risque systémique (GPAI) … continuité des obligations GPAI déjà en vigueur depuis août 2026 » : l'article ne dit ni « GPAI » ni « août 2026 » — c'était une lecture, pas son texte.]</w:t>
      </w:r>
    </w:p>
    <w:p>
      <w:pPr>
        <w:spacing w:after="160"/>
      </w:pPr>
      <w:r>
        <w:rPr>
          <w:rFonts w:ascii="Calibri" w:cs="Calibri" w:eastAsia="Calibri" w:hAnsi="Calibri"/>
          <w:color w:val="1F2937"/>
          <w:sz w:val="22"/>
          <w:szCs w:val="22"/>
        </w:rPr>
        <w:t xml:space="preserve"/>
      </w:r>
    </w:p>
    <w:p>
      <w:pPr>
        <w:spacing w:after="100"/>
      </w:pPr>
      <w:r>
        <w:rPr>
          <w:rFonts w:ascii="Calibri" w:cs="Calibri" w:eastAsia="Calibri" w:hAnsi="Calibri"/>
          <w:b/>
          <w:bCs/>
          <w:color w:val="1F2937"/>
          <w:sz w:val="22"/>
          <w:szCs w:val="22"/>
        </w:rPr>
        <w:t xml:space="preserve">Article 2 — Lu en entier (accès libre)</w:t>
      </w:r>
    </w:p>
    <w:p>
      <w:pPr>
        <w:spacing w:after="100"/>
      </w:pPr>
      <w:hyperlink w:history="1" r:id="rId5mzdknamwrb9ywhtanh2f">
        <w:r>
          <w:rPr>
            <w:rFonts w:ascii="Calibri" w:cs="Calibri" w:eastAsia="Calibri" w:hAnsi="Calibri"/>
            <w:color w:val="1155CC"/>
            <w:sz w:val="22"/>
            <w:szCs w:val="22"/>
            <w:u w:val="single"/>
          </w:rPr>
          <w:t xml:space="preserve">« A view from Brussels: Was it worth watching the movie if you saw the trailer? »</w:t>
        </w:r>
      </w:hyperlink>
      <w:r>
        <w:rPr>
          <w:rFonts w:ascii="Calibri" w:cs="Calibri" w:eastAsia="Calibri" w:hAnsi="Calibri"/>
          <w:color w:val="1F2937"/>
          <w:sz w:val="22"/>
          <w:szCs w:val="22"/>
        </w:rPr>
        <w:t xml:space="preserve"> — Isabelle Roccia (CIPP/E, MD Europe, IAPP), 17 septembre 2026</w:t>
      </w:r>
    </w:p>
    <w:p>
      <w:pPr>
        <w:spacing w:after="100"/>
      </w:pPr>
      <w:r>
        <w:rPr>
          <w:rFonts w:ascii="Calibri" w:cs="Calibri" w:eastAsia="Calibri" w:hAnsi="Calibri"/>
          <w:color w:val="1F2937"/>
          <w:sz w:val="22"/>
          <w:szCs w:val="22"/>
        </w:rPr>
        <w:t xml:space="preserve">Bilan du discours vu de Bruxelles. L'autrice y lit la confirmation d'un « agenda of competitiveness and value-based digital order », un plan de déploiement IA dans cinq secteurs annoncé pour novembre 2026 dans la ligne de l'AI Continent Strategy, une Présidente « more cagy about simplification », et des négociations qu'elle anticipe complexes sur le Kids Act, mêlées aux éléments de la Digital Fairness Act sur le design addictif. Phrase qu'elle retient du discours, « from a governance perspective » : « Reversing the burden of proof ». </w:t>
      </w:r>
      <w:r>
        <w:rPr>
          <w:rFonts w:ascii="Calibri" w:cs="Calibri" w:eastAsia="Calibri" w:hAnsi="Calibri"/>
          <w:i/>
          <w:iCs/>
          <w:color w:val="6B7280"/>
          <w:sz w:val="20"/>
          <w:szCs w:val="20"/>
        </w:rPr>
        <w:t xml:space="preserve">[Corrigé le 20/09/2026 : « human-centric » et « trois chantiers législatifs en cours signalés : Digital Omnibus IA (partiellement conclu via le règlement 2026/1744, négociations sur d'autres volets toujours actives), Cloud and AI Development Act, révision du Cybersecurity Act » étaient prêtés à un article « lu en entier » qui ne contient aucun de ces mots ; retirés.]</w:t>
      </w:r>
    </w:p>
    <w:p>
      <w:pPr>
        <w:spacing w:after="160"/>
      </w:pPr>
      <w:r>
        <w:rPr>
          <w:rFonts w:ascii="Calibri" w:cs="Calibri" w:eastAsia="Calibri" w:hAnsi="Calibri"/>
          <w:color w:val="1F2937"/>
          <w:sz w:val="22"/>
          <w:szCs w:val="22"/>
        </w:rPr>
        <w:t xml:space="preserve"/>
      </w:r>
    </w:p>
    <w:p>
      <w:pPr>
        <w:spacing w:after="100"/>
      </w:pPr>
      <w:r>
        <w:rPr>
          <w:rFonts w:ascii="Calibri" w:cs="Calibri" w:eastAsia="Calibri" w:hAnsi="Calibri"/>
          <w:b/>
          <w:bCs/>
          <w:color w:val="1F2937"/>
          <w:sz w:val="22"/>
          <w:szCs w:val="22"/>
        </w:rPr>
        <w:t xml:space="preserve">Article 3 — Lu en entier (accès libre)</w:t>
      </w:r>
    </w:p>
    <w:p>
      <w:pPr>
        <w:spacing w:after="100"/>
      </w:pPr>
      <w:hyperlink w:history="1" r:id="rIdeenu0qtdkqhsihhvpjh4i">
        <w:r>
          <w:rPr>
            <w:rFonts w:ascii="Calibri" w:cs="Calibri" w:eastAsia="Calibri" w:hAnsi="Calibri"/>
            <w:color w:val="1155CC"/>
            <w:sz w:val="22"/>
            <w:szCs w:val="22"/>
            <w:u w:val="single"/>
          </w:rPr>
          <w:t xml:space="preserve">« European Commission unveils EU KIDS Act »</w:t>
        </w:r>
      </w:hyperlink>
      <w:r>
        <w:rPr>
          <w:rFonts w:ascii="Calibri" w:cs="Calibri" w:eastAsia="Calibri" w:hAnsi="Calibri"/>
          <w:color w:val="1F2937"/>
          <w:sz w:val="22"/>
          <w:szCs w:val="22"/>
        </w:rPr>
        <w:t xml:space="preserve"> — Alex LaCasse (Staff Writer, IAPP), 17 septembre 2026</w:t>
      </w:r>
    </w:p>
    <w:p>
      <w:pPr>
        <w:spacing w:after="100"/>
      </w:pPr>
      <w:r>
        <w:rPr>
          <w:rFonts w:ascii="Calibri" w:cs="Calibri" w:eastAsia="Calibri" w:hAnsi="Calibri"/>
          <w:b w:val="false"/>
          <w:bCs w:val="false"/>
          <w:color w:val="1F2937"/>
          <w:sz w:val="22"/>
          <w:szCs w:val="22"/>
        </w:rPr>
        <w:t xml:space="preserve">Détail de la proposition EU Kids Act : interdiction des fonctionnalités addictives (défilement infini, mécaniques de récompense, notifications nocturnes), obligation d'audit indépendant pour les VLOPs avant tout nouveau lancement. Une solution de vérification d'âge open-source (EU Age Verification Solution) est attendue fin 2026. Sanctions : jusqu'à 6 % du CA mondial.</w:t>
      </w:r>
    </w:p>
    <w:p>
      <w:pPr>
        <w:spacing w:after="160"/>
      </w:pPr>
      <w:r>
        <w:rPr>
          <w:rFonts w:ascii="Calibri" w:cs="Calibri" w:eastAsia="Calibri" w:hAnsi="Calibri"/>
          <w:color w:val="1F2937"/>
          <w:sz w:val="22"/>
          <w:szCs w:val="22"/>
        </w:rPr>
        <w:t xml:space="preserve"/>
      </w:r>
    </w:p>
    <w:p>
      <w:pPr>
        <w:spacing w:after="100"/>
      </w:pPr>
      <w:r>
        <w:rPr>
          <w:rFonts w:ascii="Calibri" w:cs="Calibri" w:eastAsia="Calibri" w:hAnsi="Calibri"/>
          <w:b/>
          <w:bCs/>
          <w:color w:val="1F2937"/>
          <w:sz w:val="22"/>
          <w:szCs w:val="22"/>
        </w:rPr>
        <w:t xml:space="preserve">Articles MEMBER (16/09/2026) — titres et thèmes seulement, corps non accessibles</w:t>
      </w:r>
    </w:p>
    <w:p>
      <w:pPr>
        <w:pStyle w:val="ListParagraph"/>
        <w:numPr>
          <w:ilvl w:val="0"/>
          <w:numId w:val="1"/>
        </w:numPr>
        <w:spacing w:after="80"/>
      </w:pPr>
      <w:r>
        <w:rPr>
          <w:rFonts w:ascii="Calibri" w:cs="Calibri" w:eastAsia="Calibri" w:hAnsi="Calibri"/>
          <w:color w:val="1F2937"/>
          <w:sz w:val="22"/>
          <w:szCs w:val="22"/>
        </w:rPr>
        <w:t xml:space="preserve">« When agentic AI meets data protection law: A fundamental mismatch? » — analyse des tensions entre systèmes IA autonomes (agentique) et cadres réglementaires existants. Sujet pertinent pour les ESSMS envisageant des outils d'automatisation des tâches professionnelles.</w:t>
      </w:r>
    </w:p>
    <w:p>
      <w:pPr>
        <w:pStyle w:val="ListParagraph"/>
        <w:numPr>
          <w:ilvl w:val="0"/>
          <w:numId w:val="1"/>
        </w:numPr>
        <w:spacing w:after="80"/>
      </w:pPr>
      <w:r>
        <w:rPr>
          <w:rFonts w:ascii="Calibri" w:cs="Calibri" w:eastAsia="Calibri" w:hAnsi="Calibri"/>
          <w:color w:val="1F2937"/>
          <w:sz w:val="22"/>
          <w:szCs w:val="22"/>
        </w:rPr>
        <w:t xml:space="preserve">« The multilingual gap is a governance gap » — conformité IA multilingue comme obligation réglementaire. Pertinent pour les ESSMS qui utilisent ou déploient des outils IA en contexte de diversité linguistique.</w:t>
      </w:r>
    </w:p>
    <w:p>
      <w:pPr>
        <w:spacing w:after="160"/>
      </w:pPr>
      <w:r>
        <w:rPr>
          <w:rFonts w:ascii="Calibri" w:cs="Calibri" w:eastAsia="Calibri" w:hAnsi="Calibri"/>
          <w:color w:val="1F2937"/>
          <w:sz w:val="22"/>
          <w:szCs w:val="22"/>
        </w:rPr>
        <w:t xml:space="preserve"/>
      </w:r>
    </w:p>
    <w:p>
      <w:pPr>
        <w:spacing w:after="100"/>
      </w:pPr>
      <w:r>
        <w:rPr>
          <w:rFonts w:ascii="Calibri" w:cs="Calibri" w:eastAsia="Calibri" w:hAnsi="Calibri"/>
          <w:b/>
          <w:bCs/>
          <w:color w:val="1F2937"/>
          <w:sz w:val="22"/>
          <w:szCs w:val="22"/>
        </w:rPr>
        <w:t xml:space="preserve">artificialintelligenceact.eu (Future of Life Institute)</w:t>
      </w:r>
    </w:p>
    <w:p>
      <w:pPr>
        <w:spacing w:after="100"/>
      </w:pPr>
      <w:r>
        <w:rPr>
          <w:rFonts w:ascii="Calibri" w:cs="Calibri" w:eastAsia="Calibri" w:hAnsi="Calibri"/>
          <w:color w:val="1F2937"/>
          <w:sz w:val="22"/>
          <w:szCs w:val="22"/>
        </w:rPr>
        <w:t xml:space="preserve">Site lu le 20/09/2026 avec un agent de navigateur : HTTP 200, 314 297 octets reçus, 16 210 caractères de texte utile une fois les balises retirées (page d'accueil : navigation, analyses, offres d'emploi). Aucun élément daté dans la fenêtre 11-18/09/2026 ; la date la plus récente lisible est « Updated on 31 August 2026 » (fiche sur le Bureau de l'IA). Source consultée, sans élément nouveau — ni illisible, ni écartée. </w:t>
      </w:r>
      <w:r>
        <w:rPr>
          <w:rFonts w:ascii="Calibri" w:cs="Calibri" w:eastAsia="Calibri" w:hAnsi="Calibri"/>
          <w:i/>
          <w:iCs/>
          <w:color w:val="6B7280"/>
          <w:sz w:val="20"/>
          <w:szCs w:val="20"/>
        </w:rPr>
        <w:t xml:space="preserve">[Corrigé le 20/09/2026 : la note écrivait « ~314 000 caractères retournés avec agent de navigateur, mais contenu non extractible via l'outil WebFetch (retour HTML brut …) » : la page avait été reçue et n'avait pas été lue — retirer les balises suffisait, comme le 12/09 (16 376 caractères).]</w:t>
      </w:r>
    </w:p>
    <w:p>
      <w:pPr>
        <w:spacing w:after="160"/>
      </w:pPr>
      <w:r>
        <w:rPr>
          <w:rFonts w:ascii="Calibri" w:cs="Calibri" w:eastAsia="Calibri" w:hAnsi="Calibri"/>
          <w:color w:val="1F2937"/>
          <w:sz w:val="22"/>
          <w:szCs w:val="22"/>
        </w:rPr>
        <w:t xml:space="preserve"/>
      </w:r>
    </w:p>
    <w:p>
      <w:pPr>
        <w:spacing w:after="180" w:before="360"/>
      </w:pPr>
      <w:r>
        <w:rPr>
          <w:rFonts w:ascii="Calibri" w:cs="Calibri" w:eastAsia="Calibri" w:hAnsi="Calibri"/>
          <w:b/>
          <w:bCs/>
          <w:color w:val="1B3A6B"/>
          <w:sz w:val="28"/>
          <w:szCs w:val="28"/>
        </w:rPr>
        <w:t xml:space="preserve">🇫🇷 Perspective française (CNIL / RGPD)</w:t>
      </w:r>
    </w:p>
    <w:p>
      <w:pPr>
        <w:spacing w:after="100"/>
      </w:pPr>
      <w:r>
        <w:rPr>
          <w:rFonts w:ascii="Calibri" w:cs="Calibri" w:eastAsia="Calibri" w:hAnsi="Calibri"/>
          <w:b/>
          <w:bCs/>
          <w:color w:val="1F2937"/>
          <w:sz w:val="22"/>
          <w:szCs w:val="22"/>
        </w:rPr>
        <w:t xml:space="preserve">CNIL — Page Intelligence artificielle (consultée le 18/09/2026)</w:t>
      </w:r>
    </w:p>
    <w:p>
      <w:pPr>
        <w:spacing w:after="100"/>
      </w:pPr>
      <w:r>
        <w:rPr>
          <w:rFonts w:ascii="Calibri" w:cs="Calibri" w:eastAsia="Calibri" w:hAnsi="Calibri"/>
          <w:color w:val="1F2937"/>
          <w:sz w:val="22"/>
          <w:szCs w:val="22"/>
        </w:rPr>
        <w:t xml:space="preserve">Aucune publication nouvelle dans la fenêtre (11-18/09/2026). Dernière publication visible : 26 août 2026 — mise à jour de l'outil de traçabilité des modèles publiés en source ouverte (pertinent pour les ESSMS utilisant des modèles open source). </w:t>
      </w:r>
      <w:hyperlink w:history="1" r:id="rIdhrimzwzli6t_pgvukovbp">
        <w:r>
          <w:rPr>
            <w:rFonts w:ascii="Calibri" w:cs="Calibri" w:eastAsia="Calibri" w:hAnsi="Calibri"/>
            <w:color w:val="1155CC"/>
            <w:sz w:val="22"/>
            <w:szCs w:val="22"/>
            <w:u w:val="single"/>
          </w:rPr>
          <w:t xml:space="preserve">CNIL — Intelligence artificielle</w:t>
        </w:r>
      </w:hyperlink>
    </w:p>
    <w:p>
      <w:pPr>
        <w:spacing w:after="160"/>
      </w:pPr>
      <w:r>
        <w:rPr>
          <w:rFonts w:ascii="Calibri" w:cs="Calibri" w:eastAsia="Calibri" w:hAnsi="Calibri"/>
          <w:color w:val="1F2937"/>
          <w:sz w:val="22"/>
          <w:szCs w:val="22"/>
        </w:rPr>
        <w:t xml:space="preserve"/>
      </w:r>
    </w:p>
    <w:p>
      <w:pPr>
        <w:spacing w:after="100"/>
      </w:pPr>
      <w:r>
        <w:rPr>
          <w:rFonts w:ascii="Calibri" w:cs="Calibri" w:eastAsia="Calibri" w:hAnsi="Calibri"/>
          <w:b/>
          <w:bCs/>
          <w:color w:val="1F2937"/>
          <w:sz w:val="22"/>
          <w:szCs w:val="22"/>
        </w:rPr>
        <w:t xml:space="preserve">CNIL — Q/R sur le Règlement IA (mise à jour 17 août 2026)</w:t>
      </w:r>
    </w:p>
    <w:p>
      <w:pPr>
        <w:spacing w:after="100"/>
      </w:pPr>
      <w:r>
        <w:rPr>
          <w:rFonts w:ascii="Calibri" w:cs="Calibri" w:eastAsia="Calibri" w:hAnsi="Calibri"/>
          <w:color w:val="1F2937"/>
          <w:sz w:val="22"/>
          <w:szCs w:val="22"/>
        </w:rPr>
        <w:t xml:space="preserve">Articulation RIA / RGPD confirmée : les deux règlements sont complémentaires et s'appliquent simultanément. </w:t>
      </w:r>
      <w:hyperlink w:history="1" r:id="rIdbvue-eptxlf1x5cuqm4tk">
        <w:r>
          <w:rPr>
            <w:rFonts w:ascii="Calibri" w:cs="Calibri" w:eastAsia="Calibri" w:hAnsi="Calibri"/>
            <w:color w:val="1155CC"/>
            <w:sz w:val="22"/>
            <w:szCs w:val="22"/>
            <w:u w:val="single"/>
          </w:rPr>
          <w:t xml:space="preserve">CNIL — Q/R Règlement IA</w:t>
        </w:r>
      </w:hyperlink>
    </w:p>
    <w:p>
      <w:pPr>
        <w:spacing w:after="100"/>
      </w:pPr>
      <w:r>
        <w:rPr>
          <w:rFonts w:ascii="Calibri" w:cs="Calibri" w:eastAsia="Calibri" w:hAnsi="Calibri"/>
          <w:b w:val="false"/>
          <w:bCs w:val="false"/>
          <w:color w:val="1F2937"/>
          <w:sz w:val="22"/>
          <w:szCs w:val="22"/>
        </w:rPr>
        <w:t xml:space="preserve">RIA : approche par les risques (santé, sécurité, droits fondamentaux) — RGPD : principes généraux sur tout traitement de données. Un ESSMS qui déploie un système IA doit satisfaire aux deux simultanément.</w:t>
      </w:r>
    </w:p>
    <w:p>
      <w:pPr>
        <w:spacing w:after="160"/>
      </w:pPr>
      <w:r>
        <w:rPr>
          <w:rFonts w:ascii="Calibri" w:cs="Calibri" w:eastAsia="Calibri" w:hAnsi="Calibri"/>
          <w:color w:val="1F2937"/>
          <w:sz w:val="22"/>
          <w:szCs w:val="22"/>
        </w:rPr>
        <w:t xml:space="preserve"/>
      </w:r>
    </w:p>
    <w:p>
      <w:pPr>
        <w:spacing w:after="100"/>
      </w:pPr>
      <w:r>
        <w:rPr>
          <w:rFonts w:ascii="Calibri" w:cs="Calibri" w:eastAsia="Calibri" w:hAnsi="Calibri"/>
          <w:b/>
          <w:bCs/>
          <w:color w:val="1F2937"/>
          <w:sz w:val="22"/>
          <w:szCs w:val="22"/>
        </w:rPr>
        <w:t xml:space="preserve">Rappel de contexte — Note exploratoire CNIL/CIANum sur l'IA agentique (hors fenêtre, 20 juillet 2026)</w:t>
      </w:r>
    </w:p>
    <w:p>
      <w:pPr>
        <w:spacing w:after="100"/>
      </w:pPr>
      <w:r>
        <w:rPr>
          <w:rFonts w:ascii="Calibri" w:cs="Calibri" w:eastAsia="Calibri" w:hAnsi="Calibri"/>
          <w:color w:val="1F2937"/>
          <w:sz w:val="22"/>
          <w:szCs w:val="22"/>
        </w:rPr>
        <w:t xml:space="preserve">Publication hors fenêtre (20/07/2026). En résonance avec l'article MEMBER IAPP de cette semaine sur l'IA agentique et la protection des données. </w:t>
      </w:r>
      <w:hyperlink w:history="1" r:id="rIdaehfownzxungtrubpgklk">
        <w:r>
          <w:rPr>
            <w:rFonts w:ascii="Calibri" w:cs="Calibri" w:eastAsia="Calibri" w:hAnsi="Calibri"/>
            <w:color w:val="1155CC"/>
            <w:sz w:val="22"/>
            <w:szCs w:val="22"/>
            <w:u w:val="single"/>
          </w:rPr>
          <w:t xml:space="preserve">CNIL — IA agentique et données personnelles (note exploratoire)</w:t>
        </w:r>
      </w:hyperlink>
    </w:p>
    <w:p>
      <w:pPr>
        <w:spacing w:after="100"/>
      </w:pPr>
      <w:r>
        <w:rPr>
          <w:rFonts w:ascii="Calibri" w:cs="Calibri" w:eastAsia="Calibri" w:hAnsi="Calibri"/>
          <w:b w:val="false"/>
          <w:bCs w:val="false"/>
          <w:color w:val="1F2937"/>
          <w:sz w:val="22"/>
          <w:szCs w:val="22"/>
        </w:rPr>
        <w:t xml:space="preserve">Tout ESSMS envisageant des outils d'IA à caractère autonome (assistants, planification automatisée, génération de comptes-rendus) doit consulter cette note avant déploiement.</w:t>
      </w:r>
    </w:p>
    <w:p>
      <w:pPr>
        <w:spacing w:after="160"/>
      </w:pPr>
      <w:r>
        <w:rPr>
          <w:rFonts w:ascii="Calibri" w:cs="Calibri" w:eastAsia="Calibri" w:hAnsi="Calibri"/>
          <w:color w:val="1F2937"/>
          <w:sz w:val="22"/>
          <w:szCs w:val="22"/>
        </w:rPr>
        <w:t xml:space="preserve"/>
      </w:r>
    </w:p>
    <w:p>
      <w:pPr>
        <w:spacing w:after="180" w:before="360"/>
      </w:pPr>
      <w:r>
        <w:rPr>
          <w:rFonts w:ascii="Calibri" w:cs="Calibri" w:eastAsia="Calibri" w:hAnsi="Calibri"/>
          <w:b/>
          <w:bCs/>
          <w:color w:val="1B3A6B"/>
          <w:sz w:val="28"/>
          <w:szCs w:val="28"/>
        </w:rPr>
        <w:t xml:space="preserve">⚠️ Impacts pour les ESSMS</w:t>
      </w:r>
    </w:p>
    <w:p>
      <w:pPr>
        <w:spacing w:after="100"/>
      </w:pPr>
      <w:r>
        <w:rPr>
          <w:rFonts w:ascii="Calibri" w:cs="Calibri" w:eastAsia="Calibri" w:hAnsi="Calibri"/>
          <w:b w:val="false"/>
          <w:bCs w:val="false"/>
          <w:color w:val="1F2937"/>
          <w:sz w:val="22"/>
          <w:szCs w:val="22"/>
        </w:rPr>
        <w:t xml:space="preserve">Pour un foyer d'hébergement accueillant des adultes en situation de handicap mental et psychique :</w:t>
      </w:r>
    </w:p>
    <w:p>
      <w:pPr>
        <w:spacing w:after="160"/>
      </w:pPr>
      <w:r>
        <w:rPr>
          <w:rFonts w:ascii="Calibri" w:cs="Calibri" w:eastAsia="Calibri" w:hAnsi="Calibri"/>
          <w:color w:val="1F2937"/>
          <w:sz w:val="22"/>
          <w:szCs w:val="22"/>
        </w:rPr>
        <w:t xml:space="preserve"/>
      </w:r>
    </w:p>
    <w:p>
      <w:pPr>
        <w:pStyle w:val="ListParagraph"/>
        <w:numPr>
          <w:ilvl w:val="0"/>
          <w:numId w:val="1"/>
        </w:numPr>
        <w:spacing w:after="80"/>
      </w:pPr>
      <w:r>
        <w:rPr>
          <w:rFonts w:ascii="Calibri" w:cs="Calibri" w:eastAsia="Calibri" w:hAnsi="Calibri"/>
          <w:color w:val="1F2937"/>
          <w:sz w:val="22"/>
          <w:szCs w:val="22"/>
        </w:rPr>
        <w:t xml:space="preserve">Frontier AI (modèles auto-récursifs) : l'appel de Von der Leyen n'a pas de portée juridique immédiate pour un ESSMS. Il signale une évolution probable du cadre réglementaire des modèles d'usage général (GPAI) — à suivre pour d'éventuels actes délégués ou lignes directrices impactant les outils IA déjà utilisés en établissement (chatbots, assistants de rédaction, traitement de données usagers).</w:t>
      </w:r>
    </w:p>
    <w:p>
      <w:pPr>
        <w:pStyle w:val="ListParagraph"/>
        <w:numPr>
          <w:ilvl w:val="0"/>
          <w:numId w:val="1"/>
        </w:numPr>
        <w:spacing w:after="80"/>
      </w:pPr>
      <w:r>
        <w:rPr>
          <w:rFonts w:ascii="Calibri" w:cs="Calibri" w:eastAsia="Calibri" w:hAnsi="Calibri"/>
          <w:color w:val="1F2937"/>
          <w:sz w:val="22"/>
          <w:szCs w:val="22"/>
        </w:rPr>
        <w:t xml:space="preserve">EU Kids Act : non directement applicable à un foyer hébergeant des adultes. Pertinent si l'établissement accompagne aussi des mineurs ou encadre l'usage des réseaux sociaux dans le cadre de projets d'insertion socio-culturelle des personnes accompagnées.</w:t>
      </w:r>
    </w:p>
    <w:p>
      <w:pPr>
        <w:pStyle w:val="ListParagraph"/>
        <w:numPr>
          <w:ilvl w:val="0"/>
          <w:numId w:val="1"/>
        </w:numPr>
        <w:spacing w:after="80"/>
      </w:pPr>
      <w:r>
        <w:rPr>
          <w:rFonts w:ascii="Calibri" w:cs="Calibri" w:eastAsia="Calibri" w:hAnsi="Calibri"/>
          <w:color w:val="1F2937"/>
          <w:sz w:val="22"/>
          <w:szCs w:val="22"/>
        </w:rPr>
        <w:t xml:space="preserve">IA agentique et RGPD : le signal fort de la semaine pour les ESSMS. Un outil IA autonome (planification, rédaction de notes, gestion d'agendas professionnels) soulève des questions de responsabilité, de droit à l'information et de droit à l'opposition au sens du RGPD. La note CNIL/CIANum (20/07/2026) est la référence à consulter avant tout déploiement.</w:t>
      </w:r>
    </w:p>
    <w:p>
      <w:pPr>
        <w:pStyle w:val="ListParagraph"/>
        <w:numPr>
          <w:ilvl w:val="0"/>
          <w:numId w:val="1"/>
        </w:numPr>
        <w:spacing w:after="80"/>
      </w:pPr>
      <w:r>
        <w:rPr>
          <w:rFonts w:ascii="Calibri" w:cs="Calibri" w:eastAsia="Calibri" w:hAnsi="Calibri"/>
          <w:color w:val="1F2937"/>
          <w:sz w:val="22"/>
          <w:szCs w:val="22"/>
        </w:rPr>
        <w:t xml:space="preserve">Transparence IA (art. 50 AI Act — en vigueur depuis le 2 août 2026) : tout système IA interagissant avec les personnes accompagnées doit leur indiquer qu'elles interagissent avec une IA. Obligation ACTIVE. Vérifier les mentions d'information dans les outils déployés.</w:t>
      </w:r>
    </w:p>
    <w:p>
      <w:pPr>
        <w:pStyle w:val="ListParagraph"/>
        <w:numPr>
          <w:ilvl w:val="0"/>
          <w:numId w:val="1"/>
        </w:numPr>
        <w:spacing w:after="80"/>
      </w:pPr>
      <w:r>
        <w:rPr>
          <w:rFonts w:ascii="Calibri" w:cs="Calibri" w:eastAsia="Calibri" w:hAnsi="Calibri"/>
          <w:color w:val="1F2937"/>
          <w:sz w:val="22"/>
          <w:szCs w:val="22"/>
        </w:rPr>
        <w:t xml:space="preserve">Littératie IA (art. 4 — en vigueur depuis le 2 août 2026, allégé par l'Omnibus) : les formations d'équipes à l'IA relèvent des mesures que l'article 4 demande aux déployeurs pour assurer un niveau suffisant de maîtrise de l'IA de leur personnel. Les documenter dans le DUERP ou le plan de formation. </w:t>
      </w:r>
      <w:r>
        <w:rPr>
          <w:rFonts w:ascii="Calibri" w:cs="Calibri" w:eastAsia="Calibri" w:hAnsi="Calibri"/>
          <w:i/>
          <w:iCs/>
          <w:color w:val="6B7280"/>
          <w:sz w:val="20"/>
          <w:szCs w:val="20"/>
        </w:rPr>
        <w:t xml:space="preserve">[Corrigé le 20/09/2026 : « mesure de soutien à la littératie » entre guillemets était une reformulation, signalée dans le récapitulatif du job et laissée dans la note ; guillemets retirés.]</w:t>
      </w:r>
    </w:p>
    <w:p>
      <w:pPr>
        <w:pStyle w:val="ListParagraph"/>
        <w:numPr>
          <w:ilvl w:val="0"/>
          <w:numId w:val="1"/>
        </w:numPr>
        <w:spacing w:after="80"/>
      </w:pPr>
      <w:r>
        <w:rPr>
          <w:rFonts w:ascii="Calibri" w:cs="Calibri" w:eastAsia="Calibri" w:hAnsi="Calibri"/>
          <w:color w:val="1F2937"/>
          <w:sz w:val="22"/>
          <w:szCs w:val="22"/>
        </w:rPr>
        <w:t xml:space="preserve">Prochaine échéance critique — 2 décembre 2026 (J-75) : faire l'inventaire des outils IA générative en usage dans l'établissement (Copilot, ChatGPT, Claude, outils métiers embarquant de l'IA). Vérifier leur statut de conformité art. 50 §2 avant cette date.</w:t>
      </w:r>
    </w:p>
    <w:p>
      <w:pPr>
        <w:pStyle w:val="ListParagraph"/>
        <w:numPr>
          <w:ilvl w:val="0"/>
          <w:numId w:val="1"/>
        </w:numPr>
        <w:spacing w:after="80"/>
      </w:pPr>
      <w:r>
        <w:rPr>
          <w:rFonts w:ascii="Calibri" w:cs="Calibri" w:eastAsia="Calibri" w:hAnsi="Calibri"/>
          <w:color w:val="1F2937"/>
          <w:sz w:val="22"/>
          <w:szCs w:val="22"/>
        </w:rPr>
        <w:t xml:space="preserve">Autorités françaises non désignées : toute question relative à l'AI Act d'un ESSMS passe par la CNIL via le DPO de l'association gestionnaire.</w:t>
      </w:r>
    </w:p>
    <w:p>
      <w:pPr>
        <w:spacing w:after="160"/>
      </w:pPr>
      <w:r>
        <w:rPr>
          <w:rFonts w:ascii="Calibri" w:cs="Calibri" w:eastAsia="Calibri" w:hAnsi="Calibri"/>
          <w:color w:val="1F2937"/>
          <w:sz w:val="22"/>
          <w:szCs w:val="22"/>
        </w:rPr>
        <w:t xml:space="preserve"/>
      </w:r>
    </w:p>
    <w:p>
      <w:pPr>
        <w:spacing w:after="180" w:before="360"/>
      </w:pPr>
      <w:r>
        <w:rPr>
          <w:rFonts w:ascii="Calibri" w:cs="Calibri" w:eastAsia="Calibri" w:hAnsi="Calibri"/>
          <w:b/>
          <w:bCs/>
          <w:color w:val="1B3A6B"/>
          <w:sz w:val="28"/>
          <w:szCs w:val="28"/>
        </w:rPr>
        <w:t xml:space="preserve">📚 Sources du jour</w:t>
      </w:r>
    </w:p>
    <w:p>
      <w:pPr>
        <w:spacing w:after="100"/>
      </w:pPr>
      <w:r>
        <w:rPr>
          <w:rFonts w:ascii="Calibri" w:cs="Calibri" w:eastAsia="Calibri" w:hAnsi="Calibri"/>
          <w:b w:val="false"/>
          <w:bCs w:val="false"/>
          <w:color w:val="1F2937"/>
          <w:sz w:val="22"/>
          <w:szCs w:val="22"/>
        </w:rPr>
        <w:t xml:space="preserve">9 sources documentaires tentées — 3 exploitées (✅), 3 consultées sans extraction directe de contenu, 3 non extractibles ou bloquées (⚠️).</w:t>
      </w:r>
    </w:p>
    <w:p>
      <w:pPr>
        <w:spacing w:after="100"/>
      </w:pPr>
      <w:r>
        <w:rPr>
          <w:rFonts w:ascii="Calibri" w:cs="Calibri" w:eastAsia="Calibri" w:hAnsi="Calibri"/>
          <w:b w:val="false"/>
          <w:bCs w:val="false"/>
          <w:color w:val="1F2937"/>
          <w:sz w:val="22"/>
          <w:szCs w:val="22"/>
        </w:rPr>
        <w:t xml:space="preserve">Note méthodologique : WebFetch, WebSearch et curl sont des outils, non des sources. Seules les ressources documentaires réellement tentées figurent dans cette liste.</w:t>
      </w:r>
    </w:p>
    <w:p>
      <w:pPr>
        <w:spacing w:after="160"/>
      </w:pPr>
      <w:r>
        <w:rPr>
          <w:rFonts w:ascii="Calibri" w:cs="Calibri" w:eastAsia="Calibri" w:hAnsi="Calibri"/>
          <w:color w:val="1F2937"/>
          <w:sz w:val="22"/>
          <w:szCs w:val="22"/>
        </w:rPr>
        <w:t xml:space="preserve"/>
      </w:r>
    </w:p>
    <w:p>
      <w:pPr>
        <w:spacing w:after="100"/>
      </w:pPr>
      <w:r>
        <w:rPr>
          <w:rFonts w:ascii="Calibri" w:cs="Calibri" w:eastAsia="Calibri" w:hAnsi="Calibri"/>
          <w:b/>
          <w:bCs/>
          <w:color w:val="1F2937"/>
          <w:sz w:val="22"/>
          <w:szCs w:val="22"/>
        </w:rPr>
        <w:t xml:space="preserve">Sources exploitées — informations reprises dans le corps de la note :</w:t>
      </w:r>
    </w:p>
    <w:p>
      <w:pPr>
        <w:spacing w:after="100"/>
      </w:pPr>
      <w:r>
        <w:rPr>
          <w:rFonts w:ascii="Calibri" w:cs="Calibri" w:eastAsia="Calibri" w:hAnsi="Calibri"/>
          <w:color w:val="1F2937"/>
          <w:sz w:val="22"/>
          <w:szCs w:val="22"/>
        </w:rPr>
        <w:t xml:space="preserve">✅ </w:t>
      </w:r>
      <w:hyperlink w:history="1" r:id="rIdcx8i3sx4aqhkcn4d9bb-n">
        <w:r>
          <w:rPr>
            <w:rFonts w:ascii="Calibri" w:cs="Calibri" w:eastAsia="Calibri" w:hAnsi="Calibri"/>
            <w:color w:val="1155CC"/>
            <w:sz w:val="22"/>
            <w:szCs w:val="22"/>
            <w:u w:val="single"/>
          </w:rPr>
          <w:t xml:space="preserve">AI Act Service Desk — Calendrier d'implémentation EU AI Act</w:t>
        </w:r>
      </w:hyperlink>
    </w:p>
    <w:p>
      <w:pPr>
        <w:spacing w:after="100"/>
      </w:pPr>
      <w:r>
        <w:rPr>
          <w:rFonts w:ascii="Calibri" w:cs="Calibri" w:eastAsia="Calibri" w:hAnsi="Calibri"/>
          <w:color w:val="1F2937"/>
          <w:sz w:val="22"/>
          <w:szCs w:val="22"/>
        </w:rPr>
        <w:t xml:space="preserve">✅ </w:t>
      </w:r>
      <w:hyperlink w:history="1" r:id="rIdwoeomvj6he-cmjlplvbvw">
        <w:r>
          <w:rPr>
            <w:rFonts w:ascii="Calibri" w:cs="Calibri" w:eastAsia="Calibri" w:hAnsi="Calibri"/>
            <w:color w:val="1155CC"/>
            <w:sz w:val="22"/>
            <w:szCs w:val="22"/>
            <w:u w:val="single"/>
          </w:rPr>
          <w:t xml:space="preserve">IAPP — Actualités AI Act 16-17 septembre 2026 (iapp.org/news)</w:t>
        </w:r>
      </w:hyperlink>
    </w:p>
    <w:p>
      <w:pPr>
        <w:spacing w:after="100"/>
      </w:pPr>
      <w:r>
        <w:rPr>
          <w:rFonts w:ascii="Calibri" w:cs="Calibri" w:eastAsia="Calibri" w:hAnsi="Calibri"/>
          <w:color w:val="1F2937"/>
          <w:sz w:val="22"/>
          <w:szCs w:val="22"/>
        </w:rPr>
        <w:t xml:space="preserve">✅ </w:t>
      </w:r>
      <w:hyperlink w:history="1" r:id="rIdt91gke2cntyghlgjp_uyp">
        <w:r>
          <w:rPr>
            <w:rFonts w:ascii="Calibri" w:cs="Calibri" w:eastAsia="Calibri" w:hAnsi="Calibri"/>
            <w:color w:val="1155CC"/>
            <w:sz w:val="22"/>
            <w:szCs w:val="22"/>
            <w:u w:val="single"/>
          </w:rPr>
          <w:t xml:space="preserve">CNIL — Q/R Règlement IA (mise à jour 17/08/2026)</w:t>
        </w:r>
      </w:hyperlink>
    </w:p>
    <w:p>
      <w:pPr>
        <w:spacing w:after="160"/>
      </w:pPr>
      <w:r>
        <w:rPr>
          <w:rFonts w:ascii="Calibri" w:cs="Calibri" w:eastAsia="Calibri" w:hAnsi="Calibri"/>
          <w:color w:val="1F2937"/>
          <w:sz w:val="22"/>
          <w:szCs w:val="22"/>
        </w:rPr>
        <w:t xml:space="preserve"/>
      </w:r>
    </w:p>
    <w:p>
      <w:pPr>
        <w:spacing w:after="100"/>
      </w:pPr>
      <w:r>
        <w:rPr>
          <w:rFonts w:ascii="Calibri" w:cs="Calibri" w:eastAsia="Calibri" w:hAnsi="Calibri"/>
          <w:b/>
          <w:bCs/>
          <w:color w:val="1F2937"/>
          <w:sz w:val="22"/>
          <w:szCs w:val="22"/>
        </w:rPr>
        <w:t xml:space="preserve">Source primaire identifiée — le 18/09 sans être ouverte, lue le 20/09/2026 via l'API du presscorner :</w:t>
      </w:r>
    </w:p>
    <w:p>
      <w:pPr>
        <w:spacing w:after="100"/>
      </w:pPr>
      <w:r>
        <w:rPr>
          <w:rFonts w:ascii="Calibri" w:cs="Calibri" w:eastAsia="Calibri" w:hAnsi="Calibri"/>
          <w:b w:val="false"/>
          <w:bCs w:val="false"/>
          <w:color w:val="1F2937"/>
          <w:sz w:val="22"/>
          <w:szCs w:val="22"/>
        </w:rPr>
        <w:t xml:space="preserve">Discours (le 18/09 : HTTP 200 confirmé, informations reprises depuis IAPP — source secondaire ; le 20/09 : texte intégral lu via l'API) :</w:t>
      </w:r>
    </w:p>
    <w:p>
      <w:pPr>
        <w:spacing w:after="100"/>
      </w:pPr>
      <w:r>
        <w:rPr>
          <w:rFonts w:ascii="Calibri" w:cs="Calibri" w:eastAsia="Calibri" w:hAnsi="Calibri"/>
          <w:color w:val="1F2937"/>
          <w:sz w:val="22"/>
          <w:szCs w:val="22"/>
        </w:rPr>
        <w:t xml:space="preserve">   </w:t>
      </w:r>
      <w:hyperlink w:history="1" r:id="rIdim2qqpoqbeth-509jah-e">
        <w:r>
          <w:rPr>
            <w:rFonts w:ascii="Calibri" w:cs="Calibri" w:eastAsia="Calibri" w:hAnsi="Calibri"/>
            <w:color w:val="1155CC"/>
            <w:sz w:val="22"/>
            <w:szCs w:val="22"/>
            <w:u w:val="single"/>
          </w:rPr>
          <w:t xml:space="preserve">Commission — Discours État de l'Union 2026 (presscorner)</w:t>
        </w:r>
      </w:hyperlink>
      <w:r>
        <w:rPr>
          <w:rFonts w:ascii="Calibri" w:cs="Calibri" w:eastAsia="Calibri" w:hAnsi="Calibri"/>
          <w:i/>
          <w:iCs/>
          <w:color w:val="6B7280"/>
          <w:sz w:val="20"/>
          <w:szCs w:val="20"/>
        </w:rPr>
        <w:t xml:space="preserve"> — [Corrigé le 20/09/2026 : le 18/09, « non lu directement » ; lu le 20/09/2026 via l'API du presscorner, lien dans la section Actualité officielle UE ; statut du 18/09 conservé pour le décompte.]</w:t>
      </w:r>
    </w:p>
    <w:p>
      <w:pPr>
        <w:spacing w:after="160"/>
      </w:pPr>
      <w:r>
        <w:rPr>
          <w:rFonts w:ascii="Calibri" w:cs="Calibri" w:eastAsia="Calibri" w:hAnsi="Calibri"/>
          <w:color w:val="1F2937"/>
          <w:sz w:val="22"/>
          <w:szCs w:val="22"/>
        </w:rPr>
        <w:t xml:space="preserve"/>
      </w:r>
    </w:p>
    <w:p>
      <w:pPr>
        <w:spacing w:after="100"/>
      </w:pPr>
      <w:r>
        <w:rPr>
          <w:rFonts w:ascii="Calibri" w:cs="Calibri" w:eastAsia="Calibri" w:hAnsi="Calibri"/>
          <w:b/>
          <w:bCs/>
          <w:color w:val="1F2937"/>
          <w:sz w:val="22"/>
          <w:szCs w:val="22"/>
        </w:rPr>
        <w:t xml:space="preserve">Consultées sans élément nouveau dans la fenêtre 11-18/09/2026 :</w:t>
      </w:r>
    </w:p>
    <w:p>
      <w:pPr>
        <w:spacing w:after="100"/>
      </w:pPr>
      <w:r>
        <w:rPr>
          <w:rFonts w:ascii="Calibri" w:cs="Calibri" w:eastAsia="Calibri" w:hAnsi="Calibri"/>
          <w:color w:val="1F2937"/>
          <w:sz w:val="22"/>
          <w:szCs w:val="22"/>
        </w:rPr>
        <w:t xml:space="preserve">   </w:t>
      </w:r>
      <w:hyperlink w:history="1" r:id="rIdxjsecfl-6jx4gg6xamk4_">
        <w:r>
          <w:rPr>
            <w:rFonts w:ascii="Calibri" w:cs="Calibri" w:eastAsia="Calibri" w:hAnsi="Calibri"/>
            <w:color w:val="1155CC"/>
            <w:sz w:val="22"/>
            <w:szCs w:val="22"/>
            <w:u w:val="single"/>
          </w:rPr>
          <w:t xml:space="preserve">Commission — AI Act (digital-strategy.ec.europa.eu, HTTP 200)</w:t>
        </w:r>
      </w:hyperlink>
    </w:p>
    <w:p>
      <w:pPr>
        <w:spacing w:after="100"/>
      </w:pPr>
      <w:r>
        <w:rPr>
          <w:rFonts w:ascii="Calibri" w:cs="Calibri" w:eastAsia="Calibri" w:hAnsi="Calibri"/>
          <w:color w:val="1F2937"/>
          <w:sz w:val="22"/>
          <w:szCs w:val="22"/>
        </w:rPr>
        <w:t xml:space="preserve">   </w:t>
      </w:r>
      <w:hyperlink w:history="1" r:id="rId_ikzoznrrsjvl3qdydvds">
        <w:r>
          <w:rPr>
            <w:rFonts w:ascii="Calibri" w:cs="Calibri" w:eastAsia="Calibri" w:hAnsi="Calibri"/>
            <w:color w:val="1155CC"/>
            <w:sz w:val="22"/>
            <w:szCs w:val="22"/>
            <w:u w:val="single"/>
          </w:rPr>
          <w:t xml:space="preserve">CNIL — Intelligence artificielle (HTTP 200, dernière publication : 26/08/2026)</w:t>
        </w:r>
      </w:hyperlink>
    </w:p>
    <w:p>
      <w:pPr>
        <w:spacing w:after="160"/>
      </w:pPr>
      <w:r>
        <w:rPr>
          <w:rFonts w:ascii="Calibri" w:cs="Calibri" w:eastAsia="Calibri" w:hAnsi="Calibri"/>
          <w:color w:val="1F2937"/>
          <w:sz w:val="22"/>
          <w:szCs w:val="22"/>
        </w:rPr>
        <w:t xml:space="preserve"/>
      </w:r>
    </w:p>
    <w:p>
      <w:pPr>
        <w:spacing w:after="100"/>
      </w:pPr>
      <w:r>
        <w:rPr>
          <w:rFonts w:ascii="Calibri" w:cs="Calibri" w:eastAsia="Calibri" w:hAnsi="Calibri"/>
          <w:b/>
          <w:bCs/>
          <w:color w:val="1F2937"/>
          <w:sz w:val="22"/>
          <w:szCs w:val="22"/>
        </w:rPr>
        <w:t xml:space="preserve">Non extractibles ou bloquées :</w:t>
      </w:r>
    </w:p>
    <w:p>
      <w:pPr>
        <w:spacing w:after="100"/>
      </w:pPr>
      <w:r>
        <w:rPr>
          <w:rFonts w:ascii="Calibri" w:cs="Calibri" w:eastAsia="Calibri" w:hAnsi="Calibri"/>
          <w:color w:val="1F2937"/>
          <w:sz w:val="22"/>
          <w:szCs w:val="22"/>
        </w:rPr>
        <w:t xml:space="preserve">⚠️ </w:t>
      </w:r>
      <w:hyperlink w:history="1" r:id="rIdskneu7ermreuhq2ydl4yp">
        <w:r>
          <w:rPr>
            <w:rFonts w:ascii="Calibri" w:cs="Calibri" w:eastAsia="Calibri" w:hAnsi="Calibri"/>
            <w:color w:val="1155CC"/>
            <w:sz w:val="22"/>
            <w:szCs w:val="22"/>
            <w:u w:val="single"/>
          </w:rPr>
          <w:t xml:space="preserve">Conseil de l'UE — Communiqués de presse (HTTP 403, blocage anti-robot)</w:t>
        </w:r>
      </w:hyperlink>
    </w:p>
    <w:p>
      <w:pPr>
        <w:spacing w:after="100"/>
      </w:pPr>
      <w:r>
        <w:rPr>
          <w:rFonts w:ascii="Calibri" w:cs="Calibri" w:eastAsia="Calibri" w:hAnsi="Calibri"/>
          <w:color w:val="1F2937"/>
          <w:sz w:val="22"/>
          <w:szCs w:val="22"/>
        </w:rPr>
        <w:t xml:space="preserve">⚠️ </w:t>
      </w:r>
      <w:hyperlink w:history="1" r:id="rIdbw3eqgciikb7wuxf0y32k">
        <w:r>
          <w:rPr>
            <w:rFonts w:ascii="Calibri" w:cs="Calibri" w:eastAsia="Calibri" w:hAnsi="Calibri"/>
            <w:color w:val="1155CC"/>
            <w:sz w:val="22"/>
            <w:szCs w:val="22"/>
            <w:u w:val="single"/>
          </w:rPr>
          <w:t xml:space="preserve">EUR-Lex — Règlement (UE) 2026/1744 (HTTP 202, contenu non lu directement — référence héritée de l'édition du 29/08/2026)</w:t>
        </w:r>
      </w:hyperlink>
    </w:p>
    <w:p>
      <w:pPr>
        <w:spacing w:after="100"/>
      </w:pPr>
      <w:r>
        <w:rPr>
          <w:rFonts w:ascii="Calibri" w:cs="Calibri" w:eastAsia="Calibri" w:hAnsi="Calibri"/>
          <w:color w:val="1F2937"/>
          <w:sz w:val="22"/>
          <w:szCs w:val="22"/>
        </w:rPr>
        <w:t xml:space="preserve">⚠️ </w:t>
      </w:r>
      <w:hyperlink w:history="1" r:id="rIdmf7wjt0dv8fusiunamntg">
        <w:r>
          <w:rPr>
            <w:rFonts w:ascii="Calibri" w:cs="Calibri" w:eastAsia="Calibri" w:hAnsi="Calibri"/>
            <w:color w:val="1155CC"/>
            <w:sz w:val="22"/>
            <w:szCs w:val="22"/>
            <w:u w:val="single"/>
          </w:rPr>
          <w:t xml:space="preserve">artificialintelligenceact.eu — le 18/09, reçue sans être lue ; lue le 20/09/2026 avec un agent de navigateur (16 210 caractères), sans élément dans la fenêtre</w:t>
        </w:r>
      </w:hyperlink>
      <w:r>
        <w:rPr>
          <w:rFonts w:ascii="Calibri" w:cs="Calibri" w:eastAsia="Calibri" w:hAnsi="Calibri"/>
          <w:i/>
          <w:iCs/>
          <w:color w:val="6B7280"/>
          <w:sz w:val="20"/>
          <w:szCs w:val="20"/>
        </w:rPr>
        <w:t xml:space="preserve"> [Corrigé le 20/09/2026 : la ligne disait « accessible HTTP mais contenu non extractible via WebFetch » ; statut du 18/09 conservé pour le décompte.]</w:t>
      </w:r>
    </w:p>
    <w:p>
      <w:pPr>
        <w:spacing w:after="160"/>
      </w:pPr>
      <w:r>
        <w:rPr>
          <w:rFonts w:ascii="Calibri" w:cs="Calibri" w:eastAsia="Calibri" w:hAnsi="Calibri"/>
          <w:color w:val="1F2937"/>
          <w:sz w:val="22"/>
          <w:szCs w:val="22"/>
        </w:rPr>
        <w:t xml:space="preserve"/>
      </w:r>
    </w:p>
    <w:p>
      <w:pPr>
        <w:spacing w:after="180" w:before="360"/>
      </w:pPr>
      <w:r>
        <w:rPr>
          <w:rFonts w:ascii="Calibri" w:cs="Calibri" w:eastAsia="Calibri" w:hAnsi="Calibri"/>
          <w:b/>
          <w:bCs/>
          <w:color w:val="1B3A6B"/>
          <w:sz w:val="28"/>
          <w:szCs w:val="28"/>
        </w:rPr>
        <w:t xml:space="preserve">🔜 À surveiller</w:t>
      </w:r>
    </w:p>
    <w:p>
      <w:pPr>
        <w:pStyle w:val="ListParagraph"/>
        <w:numPr>
          <w:ilvl w:val="0"/>
          <w:numId w:val="1"/>
        </w:numPr>
        <w:spacing w:after="80"/>
      </w:pPr>
      <w:r>
        <w:rPr>
          <w:rFonts w:ascii="Calibri" w:cs="Calibri" w:eastAsia="Calibri" w:hAnsi="Calibri"/>
          <w:color w:val="1F2937"/>
          <w:sz w:val="22"/>
          <w:szCs w:val="22"/>
        </w:rPr>
        <w:t xml:space="preserve">2 décembre 2026 (J-75) — Inventaire des outils IA générative en usage dans l'ESSMS + vérification conformité art. 50 §2.</w:t>
      </w:r>
    </w:p>
    <w:p>
      <w:pPr>
        <w:pStyle w:val="ListParagraph"/>
        <w:numPr>
          <w:ilvl w:val="0"/>
          <w:numId w:val="1"/>
        </w:numPr>
        <w:spacing w:after="80"/>
      </w:pPr>
      <w:r>
        <w:rPr>
          <w:rFonts w:ascii="Calibri" w:cs="Calibri" w:eastAsia="Calibri" w:hAnsi="Calibri"/>
          <w:color w:val="1F2937"/>
          <w:sz w:val="22"/>
          <w:szCs w:val="22"/>
        </w:rPr>
        <w:t xml:space="preserve">Novembre 2026 — Plan de déploiement IA sectoriel de la Commission (5 secteurs) : surveiller les propositions concernant le secteur santé/médico-social.</w:t>
      </w:r>
    </w:p>
    <w:p>
      <w:pPr>
        <w:pStyle w:val="ListParagraph"/>
        <w:numPr>
          <w:ilvl w:val="0"/>
          <w:numId w:val="1"/>
        </w:numPr>
        <w:spacing w:after="80"/>
      </w:pPr>
      <w:r>
        <w:rPr>
          <w:rFonts w:ascii="Calibri" w:cs="Calibri" w:eastAsia="Calibri" w:hAnsi="Calibri"/>
          <w:color w:val="1F2937"/>
          <w:sz w:val="22"/>
          <w:szCs w:val="22"/>
        </w:rPr>
        <w:t xml:space="preserve">EU Kids Act — Calendrier d'adoption à venir (procédure législative ordinaire). Pertinent pour ESSMS accueillant des mineurs.</w:t>
      </w:r>
    </w:p>
    <w:p>
      <w:pPr>
        <w:pStyle w:val="ListParagraph"/>
        <w:numPr>
          <w:ilvl w:val="0"/>
          <w:numId w:val="1"/>
        </w:numPr>
        <w:spacing w:after="80"/>
      </w:pPr>
      <w:r>
        <w:rPr>
          <w:rFonts w:ascii="Calibri" w:cs="Calibri" w:eastAsia="Calibri" w:hAnsi="Calibri"/>
          <w:color w:val="1F2937"/>
          <w:sz w:val="22"/>
          <w:szCs w:val="22"/>
        </w:rPr>
        <w:t xml:space="preserve">Frontier AI / modèles auto-récursifs — Dialogue Commission / labs frontier : surveiller d'éventuels actes délégués ou lignes directrices GPAI.</w:t>
      </w:r>
    </w:p>
    <w:p>
      <w:pPr>
        <w:pStyle w:val="ListParagraph"/>
        <w:numPr>
          <w:ilvl w:val="0"/>
          <w:numId w:val="1"/>
        </w:numPr>
        <w:spacing w:after="80"/>
      </w:pPr>
      <w:r>
        <w:rPr>
          <w:rFonts w:ascii="Calibri" w:cs="Calibri" w:eastAsia="Calibri" w:hAnsi="Calibri"/>
          <w:color w:val="1F2937"/>
          <w:sz w:val="22"/>
          <w:szCs w:val="22"/>
        </w:rPr>
        <w:t xml:space="preserve">Articles MEMBER IAPP (IA agentique / multilingue, 16/09/2026) — à lire dès accès disponible.</w:t>
      </w:r>
    </w:p>
    <w:p>
      <w:pPr>
        <w:pStyle w:val="ListParagraph"/>
        <w:numPr>
          <w:ilvl w:val="0"/>
          <w:numId w:val="1"/>
        </w:numPr>
        <w:spacing w:after="80"/>
      </w:pPr>
      <w:r>
        <w:rPr>
          <w:rFonts w:ascii="Calibri" w:cs="Calibri" w:eastAsia="Calibri" w:hAnsi="Calibri"/>
          <w:color w:val="1F2937"/>
          <w:sz w:val="22"/>
          <w:szCs w:val="22"/>
        </w:rPr>
        <w:t xml:space="preserve">Désignation des autorités françaises compétentes pour l'AI Act — volet numérique du DDADUE en navette d'après le cadrage du job (30/08/2026), non vérifié à une source au 18/09/2026.</w:t>
      </w:r>
      <w:r>
        <w:rPr>
          <w:rFonts w:ascii="Calibri" w:cs="Calibri" w:eastAsia="Calibri" w:hAnsi="Calibri"/>
          <w:i/>
          <w:iCs/>
          <w:color w:val="6B7280"/>
          <w:sz w:val="20"/>
          <w:szCs w:val="20"/>
        </w:rPr>
        <w:t xml:space="preserve"> [Corrigé le 20/09/2026 : « toujours en navette au 18/09/2026 » n'avait pas de source.]</w:t>
      </w:r>
    </w:p>
    <w:p>
      <w:pPr>
        <w:pStyle w:val="ListParagraph"/>
        <w:numPr>
          <w:ilvl w:val="0"/>
          <w:numId w:val="1"/>
        </w:numPr>
        <w:spacing w:after="80"/>
      </w:pPr>
      <w:r>
        <w:rPr>
          <w:rFonts w:ascii="Calibri" w:cs="Calibri" w:eastAsia="Calibri" w:hAnsi="Calibri"/>
          <w:color w:val="1F2937"/>
          <w:sz w:val="22"/>
          <w:szCs w:val="22"/>
        </w:rPr>
        <w:t xml:space="preserve">artificialintelligenceact.eu — lisible avec un agent de navigateur (16 210 caractères le 20/09/2026) : à lire, balises retirées, pas à retenter. </w:t>
      </w:r>
      <w:r>
        <w:rPr>
          <w:rFonts w:ascii="Calibri" w:cs="Calibri" w:eastAsia="Calibri" w:hAnsi="Calibri"/>
          <w:i/>
          <w:iCs/>
          <w:color w:val="6B7280"/>
          <w:sz w:val="20"/>
          <w:szCs w:val="20"/>
        </w:rPr>
        <w:t xml:space="preserve">[Corrigé le 20/09/2026 : la note demandait de retenter ce qui avait déjà réussi.]</w:t>
      </w:r>
    </w:p>
    <w:p>
      <w:pPr>
        <w:pStyle w:val="Heading2"/>
        <w:spacing w:after="100" w:before="280"/>
      </w:pPr>
      <w:r>
        <w:rPr>
          <w:rFonts w:ascii="Calibri" w:cs="Calibri" w:eastAsia="Calibri" w:hAnsi="Calibri"/>
          <w:b/>
          <w:bCs/>
          <w:color w:val="1B3A6B"/>
          <w:sz w:val="28"/>
          <w:szCs w:val="28"/>
        </w:rPr>
        <w:t xml:space="preserve">📝 Journal des corrections (20/09/2026)</w:t>
      </w:r>
    </w:p>
    <w:p>
      <w:pPr>
        <w:spacing w:after="100"/>
      </w:pPr>
      <w:r>
        <w:rPr>
          <w:rFonts w:ascii="Calibri" w:cs="Calibri" w:eastAsia="Calibri" w:hAnsi="Calibri"/>
          <w:i/>
          <w:iCs/>
          <w:color w:val="6B7280"/>
          <w:sz w:val="20"/>
          <w:szCs w:val="20"/>
        </w:rPr>
        <w:t xml:space="preserve">Relecture du 20/09/2026, pages ouvertes avec un agent de navigateur et discours lu via l'API du presscorner. Les corrections sont intégrées au texte, marquées [Corrigé le 20/09/2026 : …]. Formulations d'origine :</w:t>
      </w:r>
    </w:p>
    <w:p>
      <w:pPr>
        <w:pStyle w:val="ListParagraph"/>
        <w:numPr>
          <w:ilvl w:val="0"/>
          <w:numId w:val="1"/>
        </w:numPr>
        <w:spacing w:after="80"/>
      </w:pPr>
      <w:r>
        <w:rPr>
          <w:rFonts w:ascii="Calibri" w:cs="Calibri" w:eastAsia="Calibri" w:hAnsi="Calibri"/>
          <w:i/>
          <w:iCs/>
          <w:color w:val="6B7280"/>
          <w:sz w:val="20"/>
          <w:szCs w:val="20"/>
        </w:rPr>
        <w:t xml:space="preserve">En bref : « Von der Leyen appelle à “pacing the frontier” des modèles IA auto-récursifs … Source secondaire : IAPP (Alex LaCasse, 16/09/2026) — discours primaire identifié (presscorner HTTP 200) mais non lu directement » — l'expression n'est ni dans l'article (« "pace" innovation ») ni dans le discours (« To pace the frontier ») ; la coopération Canada / Royaume-Uni n'est pas dans l'article de LaCasse.</w:t>
      </w:r>
    </w:p>
    <w:p>
      <w:pPr>
        <w:pStyle w:val="ListParagraph"/>
        <w:numPr>
          <w:ilvl w:val="0"/>
          <w:numId w:val="1"/>
        </w:numPr>
        <w:spacing w:after="80"/>
      </w:pPr>
      <w:r>
        <w:rPr>
          <w:rFonts w:ascii="Calibri" w:cs="Calibri" w:eastAsia="Calibri" w:hAnsi="Calibri"/>
          <w:i/>
          <w:iCs/>
          <w:color w:val="6B7280"/>
          <w:sz w:val="20"/>
          <w:szCs w:val="20"/>
        </w:rPr>
        <w:t xml:space="preserve">En bref : « l'UE maintient son cap réglementaire “human-centric” sur l'IA … Trois chantiers législatifs en cours : Digital Omnibus IA (partiellement adopté via le règlement 2026/1744), Cloud and AI Development Act, révision du Cybersecurity Act » — rien de cela n'est dans l'article de Roccia.</w:t>
      </w:r>
    </w:p>
    <w:p>
      <w:pPr>
        <w:pStyle w:val="ListParagraph"/>
        <w:numPr>
          <w:ilvl w:val="0"/>
          <w:numId w:val="1"/>
        </w:numPr>
        <w:spacing w:after="80"/>
      </w:pPr>
      <w:r>
        <w:rPr>
          <w:rFonts w:ascii="Calibri" w:cs="Calibri" w:eastAsia="Calibri" w:hAnsi="Calibri"/>
          <w:i/>
          <w:iCs/>
          <w:color w:val="6B7280"/>
          <w:sz w:val="20"/>
          <w:szCs w:val="20"/>
        </w:rPr>
        <w:t xml:space="preserve">Échéances : « une version amendée du RIA a été adoptée le 24 juillet 2026 » — la Q/R CNIL écrit « adopté ».</w:t>
      </w:r>
    </w:p>
    <w:p>
      <w:pPr>
        <w:pStyle w:val="ListParagraph"/>
        <w:numPr>
          <w:ilvl w:val="0"/>
          <w:numId w:val="1"/>
        </w:numPr>
        <w:spacing w:after="80"/>
      </w:pPr>
      <w:r>
        <w:rPr>
          <w:rFonts w:ascii="Calibri" w:cs="Calibri" w:eastAsia="Calibri" w:hAnsi="Calibri"/>
          <w:i/>
          <w:iCs/>
          <w:color w:val="6B7280"/>
          <w:sz w:val="20"/>
          <w:szCs w:val="20"/>
        </w:rPr>
        <w:t xml:space="preserve">Note institutionnelle et À surveiller : « volet numérique du DDADUE toujours en navette au 18/09/2026 » — sans source dans les trois éditions qui la portent.</w:t>
      </w:r>
    </w:p>
    <w:p>
      <w:pPr>
        <w:pStyle w:val="ListParagraph"/>
        <w:numPr>
          <w:ilvl w:val="0"/>
          <w:numId w:val="1"/>
        </w:numPr>
        <w:spacing w:after="80"/>
      </w:pPr>
      <w:r>
        <w:rPr>
          <w:rFonts w:ascii="Calibri" w:cs="Calibri" w:eastAsia="Calibri" w:hAnsi="Calibri"/>
          <w:i/>
          <w:iCs/>
          <w:color w:val="6B7280"/>
          <w:sz w:val="20"/>
          <w:szCs w:val="20"/>
        </w:rPr>
        <w:t xml:space="preserve">Actualité UE : « Source primaire (testé HTTP 200, non lu directement ; informations reprises depuis IAPP, source secondaire) » — l'API du presscorner rendait le discours entier.</w:t>
      </w:r>
    </w:p>
    <w:p>
      <w:pPr>
        <w:pStyle w:val="ListParagraph"/>
        <w:numPr>
          <w:ilvl w:val="0"/>
          <w:numId w:val="1"/>
        </w:numPr>
        <w:spacing w:after="80"/>
      </w:pPr>
      <w:r>
        <w:rPr>
          <w:rFonts w:ascii="Calibri" w:cs="Calibri" w:eastAsia="Calibri" w:hAnsi="Calibri"/>
          <w:i/>
          <w:iCs/>
          <w:color w:val="6B7280"/>
          <w:sz w:val="20"/>
          <w:szCs w:val="20"/>
        </w:rPr>
        <w:t xml:space="preserve">Actualité UE : « Appel à “pacing the frontier” : Von der Leyen rapportée comme indiquant que des PDGs de grandes labs font part de la nécessité de ralentir le développement des modèles auto-récursifs. L'UE doit “pacing with them”. » — deux expressions entre guillemets qu'aucune page ne porte.</w:t>
      </w:r>
    </w:p>
    <w:p>
      <w:pPr>
        <w:pStyle w:val="ListParagraph"/>
        <w:numPr>
          <w:ilvl w:val="0"/>
          <w:numId w:val="1"/>
        </w:numPr>
        <w:spacing w:after="80"/>
      </w:pPr>
      <w:r>
        <w:rPr>
          <w:rFonts w:ascii="Calibri" w:cs="Calibri" w:eastAsia="Calibri" w:hAnsi="Calibri"/>
          <w:i/>
          <w:iCs/>
          <w:color w:val="6B7280"/>
          <w:sz w:val="20"/>
          <w:szCs w:val="20"/>
        </w:rPr>
        <w:t xml:space="preserve">Article 1 : « articulation avec le cadre de l'AI Act pour les modèles à risque systémique (GPAI). L'article situe l'initiative frontier dans la continuité des obligations GPAI déjà en vigueur depuis août 2026 » — l'article ne dit ni GPAI ni août 2026.</w:t>
      </w:r>
    </w:p>
    <w:p>
      <w:pPr>
        <w:pStyle w:val="ListParagraph"/>
        <w:numPr>
          <w:ilvl w:val="0"/>
          <w:numId w:val="1"/>
        </w:numPr>
        <w:spacing w:after="80"/>
      </w:pPr>
      <w:r>
        <w:rPr>
          <w:rFonts w:ascii="Calibri" w:cs="Calibri" w:eastAsia="Calibri" w:hAnsi="Calibri"/>
          <w:i/>
          <w:iCs/>
          <w:color w:val="6B7280"/>
          <w:sz w:val="20"/>
          <w:szCs w:val="20"/>
        </w:rPr>
        <w:t xml:space="preserve">Article 2 : « L'UE maintient sa trajectoire réglementaire “human-centric” … Trois chantiers législatifs en cours signalés : Digital Omnibus IA (…), Cloud and AI Development Act, révision du Cybersecurity Act » — absents de l'article.</w:t>
      </w:r>
    </w:p>
    <w:p>
      <w:pPr>
        <w:pStyle w:val="ListParagraph"/>
        <w:numPr>
          <w:ilvl w:val="0"/>
          <w:numId w:val="1"/>
        </w:numPr>
        <w:spacing w:after="80"/>
      </w:pPr>
      <w:r>
        <w:rPr>
          <w:rFonts w:ascii="Calibri" w:cs="Calibri" w:eastAsia="Calibri" w:hAnsi="Calibri"/>
          <w:i/>
          <w:iCs/>
          <w:color w:val="6B7280"/>
          <w:sz w:val="20"/>
          <w:szCs w:val="20"/>
        </w:rPr>
        <w:t xml:space="preserve">Analyses : « Site accessible en HTTP (~314 000 caractères retournés avec agent de navigateur), mais contenu non extractible via l'outil WebFetch … Aucune information de la fenêtre 11-18/09/2026 n'a pu être extraite. À retenter avec un agent de navigateur » — la page reçue portait 16 210 caractères lisibles, sans élément dans la fenêtre.</w:t>
      </w:r>
    </w:p>
    <w:p>
      <w:pPr>
        <w:pStyle w:val="ListParagraph"/>
        <w:numPr>
          <w:ilvl w:val="0"/>
          <w:numId w:val="1"/>
        </w:numPr>
        <w:spacing w:after="80"/>
      </w:pPr>
      <w:r>
        <w:rPr>
          <w:rFonts w:ascii="Calibri" w:cs="Calibri" w:eastAsia="Calibri" w:hAnsi="Calibri"/>
          <w:i/>
          <w:iCs/>
          <w:color w:val="6B7280"/>
          <w:sz w:val="20"/>
          <w:szCs w:val="20"/>
        </w:rPr>
        <w:t xml:space="preserve">Impacts : « constituent une “mesure de soutien à la littératie” au sens du règlement » — reformulation entre guillemets.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wnkpdifcy635jjk5ckj6" Type="http://schemas.openxmlformats.org/officeDocument/2006/relationships/hyperlink" Target="https://eur-lex.europa.eu/eli/reg/2026/1744/oj/eng" TargetMode="External"/><Relationship Id="rIdgjrd2ad5fd4cx8b2uebtr" Type="http://schemas.openxmlformats.org/officeDocument/2006/relationships/hyperlink" Target="https://ec.europa.eu/commission/presscorner/detail/ov/SPEECH_26_1868" TargetMode="External"/><Relationship Id="rIdgnw6eoarubqt36jo6j-ob" Type="http://schemas.openxmlformats.org/officeDocument/2006/relationships/hyperlink" Target="https://digital-strategy.ec.europa.eu/en/policies/regulatory-framework-ai" TargetMode="External"/><Relationship Id="rIdseziyyf2bp1icaha5e_kx" Type="http://schemas.openxmlformats.org/officeDocument/2006/relationships/hyperlink" Target="https://ai-act-service-desk.ec.europa.eu/en/ai-act/timeline/timeline-implementation-eu-ai-act" TargetMode="External"/><Relationship Id="rIdbqsu_gj8tylemtyqfuzzq" Type="http://schemas.openxmlformats.org/officeDocument/2006/relationships/hyperlink" Target="https://iapp.org/news/a/frontier-ai-curbs-childrens-social-media-restrictions-among-priorities-in-eu-state-of-the-union-address" TargetMode="External"/><Relationship Id="rId5mzdknamwrb9ywhtanh2f" Type="http://schemas.openxmlformats.org/officeDocument/2006/relationships/hyperlink" Target="https://iapp.org/news/a/a-view-from-brussels-was-it-worth-watching-the-movie-if-you-saw-the-trailer" TargetMode="External"/><Relationship Id="rIdeenu0qtdkqhsihhvpjh4i" Type="http://schemas.openxmlformats.org/officeDocument/2006/relationships/hyperlink" Target="https://iapp.org/news/a/european-commission-unveils-eu-kids-act" TargetMode="External"/><Relationship Id="rIdhrimzwzli6t_pgvukovbp" Type="http://schemas.openxmlformats.org/officeDocument/2006/relationships/hyperlink" Target="https://www.cnil.fr/fr/intelligence-artificielle" TargetMode="External"/><Relationship Id="rIdbvue-eptxlf1x5cuqm4tk" Type="http://schemas.openxmlformats.org/officeDocument/2006/relationships/hyperlink" Target="https://www.cnil.fr/fr/entree-en-vigueur-du-reglement-europeen-sur-lia-les-premieres-questions-reponses-de-la-cnil" TargetMode="External"/><Relationship Id="rIdaehfownzxungtrubpgklk" Type="http://schemas.openxmlformats.org/officeDocument/2006/relationships/hyperlink" Target="https://www.cnil.fr/fr/ia-agentique-cnil-cianum-note" TargetMode="External"/><Relationship Id="rIdcx8i3sx4aqhkcn4d9bb-n" Type="http://schemas.openxmlformats.org/officeDocument/2006/relationships/hyperlink" Target="https://ai-act-service-desk.ec.europa.eu/en/ai-act/timeline/timeline-implementation-eu-ai-act" TargetMode="External"/><Relationship Id="rIdwoeomvj6he-cmjlplvbvw" Type="http://schemas.openxmlformats.org/officeDocument/2006/relationships/hyperlink" Target="https://iapp.org/news/" TargetMode="External"/><Relationship Id="rIdt91gke2cntyghlgjp_uyp" Type="http://schemas.openxmlformats.org/officeDocument/2006/relationships/hyperlink" Target="https://www.cnil.fr/fr/entree-en-vigueur-du-reglement-europeen-sur-lia-les-premieres-questions-reponses-de-la-cnil" TargetMode="External"/><Relationship Id="rIdim2qqpoqbeth-509jah-e" Type="http://schemas.openxmlformats.org/officeDocument/2006/relationships/hyperlink" Target="https://ec.europa.eu/commission/presscorner/detail/ov/SPEECH_26_1868" TargetMode="External"/><Relationship Id="rIdxjsecfl-6jx4gg6xamk4_" Type="http://schemas.openxmlformats.org/officeDocument/2006/relationships/hyperlink" Target="https://digital-strategy.ec.europa.eu/en/policies/regulatory-framework-ai" TargetMode="External"/><Relationship Id="rId_ikzoznrrsjvl3qdydvds" Type="http://schemas.openxmlformats.org/officeDocument/2006/relationships/hyperlink" Target="https://www.cnil.fr/fr/intelligence-artificielle" TargetMode="External"/><Relationship Id="rIdskneu7ermreuhq2ydl4yp" Type="http://schemas.openxmlformats.org/officeDocument/2006/relationships/hyperlink" Target="https://www.consilium.europa.eu/en/press/press-releases/" TargetMode="External"/><Relationship Id="rIdbw3eqgciikb7wuxf0y32k" Type="http://schemas.openxmlformats.org/officeDocument/2006/relationships/hyperlink" Target="https://eur-lex.europa.eu/eli/reg/2026/1744/oj/eng" TargetMode="External"/><Relationship Id="rIdmf7wjt0dv8fusiunamntg" Type="http://schemas.openxmlformats.org/officeDocument/2006/relationships/hyperlink" Target="https://artificialintelligenceact.eu" TargetMode="External"/><Relationship Id="rId26" Type="http://schemas.openxmlformats.org/officeDocument/2006/relationships/fontTable" Target="fontTable.xml"/><Relationship Id="rIdApiSpeech261868" Type="http://schemas.openxmlformats.org/officeDocument/2006/relationships/hyperlink" Target="https://ec.europa.eu/commission/presscorner/api/documents?reference=SPEECH/26/1868&amp;language=en"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2026-09-18T07:13:49.767Z</dcterms:created>
  <dcterms:modified xsi:type="dcterms:W3CDTF">2026-09-18T07:13:49.774Z</dcterms:modified>
</cp:coreProperties>
</file>

<file path=docProps/custom.xml><?xml version="1.0" encoding="utf-8"?>
<Properties xmlns="http://schemas.openxmlformats.org/officeDocument/2006/custom-properties" xmlns:vt="http://schemas.openxmlformats.org/officeDocument/2006/docPropsVTypes"/>
</file>