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74151"/>
          <w:sz w:val="32"/>
          <w:szCs w:val="32"/>
        </w:rPr>
        <w:t xml:space="preserve">2 octobre 2026</w:t>
      </w:r>
    </w:p>
    <w:p>
      <w:pPr>
        <w:pBdr>
          <w:top w:color="22C55E" w:sz="6"/>
          <w:bottom w:color="22C55E" w:sz="6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6A34A"/>
          <w:sz w:val="26"/>
          <w:szCs w:val="26"/>
        </w:rPr>
        <w:t xml:space="preserve">🟢 NIVEAU D'ALERTE : SEMAINE CREUSE — AUCUNE NOUVEAUTÉ AI ACT DANS LA FENÊTRE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Fenêtre couverte : 25 septembre 2026 → 2 octobre 2026 (J-7 à J)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8 sources documentaires tentées — 2 exploitées (✅), 3 consultées sans élément nouveau, 2 bloquées (⛔), 1 partielle (⚠️)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Faits marquants identifiés dans la fenêtre : 0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Aucune nouveauté significative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Aucune nouveauté significative depuis le CR du 25 septembre 2026.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Les 8 sources consultées le 2 octobre 2026 n'ont produit aucun article ou annonce officielle datable dans la fenêtre 25/09–02/10/2026 sur le périmètre AI Act. La page digital-strategy.ec.europa.eu a publié 3 actualités dans la fenêtre (01/10, 30/09, 29/09) mais elles portent respectivement sur : le lancement de l'EDIC pour l'agri-food, l'Eurobaromètre sur les cybermenaces au travail, et une consultation de la Commission sur l'impact des technologies sur le droit d'auteur — hors périmètre direct de l'AI Act. Note complémentaire : Stephenson Harwood (Neural Network, 24/09/2026, hors fenêtre) couvre les obligations de transparence LLM et une décision de l'autorité italienne sur les deepfakes — non inclus dans la liste des sources, article antérieur à la fenêtre.</w:t>
      </w:r>
      <w:r>
        <w:rPr>
          <w:i/>
          <w:iCs/>
          <w:color w:val="6B7280"/>
          <w:sz w:val="20"/>
        </w:rPr>
        <w:t xml:space="preserve"> [Corrigé le 02/10/2026 : la note annonçait « Les 9 sources consultées le 2 octobre 2026 » dans le corps, alors que son en-tête annonce « 8 sources documentaires tentées » et que la rubrique Sources du jour en liste exactement 8 — 2 exploitées, 3 consultées sans élément nouveau, 2 bloquées, 1 partielle, soit 2+3+2+1. L'en-tête et la liste concordent et sont justes ; c'est le 9 du corps qui était seul]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Référence : règlement (UE) 2024/1689 tel que modifié par le règlement (UE) 2026/1744 du 8 juillet 2026 (« Omnibus IA »), publié au JOUE le 24 juillet 2026, en vigueur le 27 juillet 2026. EUR-Lex inaccessible lors de cette exécution (HTTP 202) — référence héritée de l'édition du 29/08/2026 ; </w:t>
      </w:r>
    </w:p>
    <w:p>
      <w:pPr>
        <w:spacing w:after="80"/>
      </w:pPr>
      <w:hyperlink w:history="1" r:id="rIdmcjxjflgtqe0y-b7o6lr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EUR-Lex — recherche reg 2026/1744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(⚠️ HTTP 202 lors du test du 02/10/2026).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Source : AI Act Service Desk — calendrier d'implémentation — vérifié le 02/10/2026, aucune modification constatée.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2 août 2026 (PASSÉ) — Entrée en application principale : obligations de transparence (art. 50), littératie IA (art. 4, allégée par l'Omnibus), sanctions actives. Régime (art. 99 du règlement (UE) 2024/1689 — ⚠️ NON relevé sur la page du calendrier citée ci-dessus, qui ne porte aucun de ces quatre chiffres : « 35 », « 15 », « 7 % » et « 3 % » y comptent zéro occurrence au relevé du 02/10/2026 ; valeurs reprises du cadrage du job, non vérifiées à une source primaire pendant cette exécution, EUR-Lex répondant 202) : jusqu'à 35 M€ ou 7 % du CA mondial pour pratiques interdites ; jusqu'à 15 M€ ou 3 % pour transparence et GPAI.</w:t>
      </w:r>
      <w:r>
        <w:rPr>
          <w:i/>
          <w:iCs/>
          <w:color w:val="6B7280"/>
          <w:sz w:val="20"/>
        </w:rPr>
        <w:t xml:space="preserve"> [Corrigé le 02/10/2026 : les quatre chiffres du régime de sanctions étaient donnés sous la ligne « Source : AI Act Service Desk — calendrier d'implémentation — vérifié le 02/10/2026 ». Cette page a été rouverte le 02/10/2026 : elle rend 2 760 caractères utiles et ne porte AUCUN des quatre chiffres (« 35 » : 0 · « 15 » : 0 · « 7 % » : 0 · « 3 % » : 0 · « sanction » : 0). Les quatre valeurs sont justes au fond — ce sont celles de l'article 99 du règlement — mais elles étaient prêtées à une page qui ne les contient pas. Leur provenance réelle est désormais écrite, et leur statut de valeur non vérifiée à la source primaire déclaré, EUR-Lex étant inaccessible]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décembre 2026 — J-61 : (1) Fin de la période transitoire art. 50 §2 pour les systèmes génératifs mis sur le marché avant le 2 août 2026 ; (2) Entrée en vigueur de l'interdiction des hypertrucages sexuels non consentis et du CSAM (ajouts de l'Omnibus 2026/1744).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août 2027 — Obligation pour les États membres d'avoir mis en place des bacs à sable réglementaires opérationnels.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décembre 2027 — Application des exigences pour les systèmes à haut risque de l'annexe III (dont systèmes d'aide à la décision en contexte de services essentiels — pertinent pour les ESSMS).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août 2028 — Application des règles pour les produits réglementés embarquant de l'IA (annexe I).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Note institutionnelle — Désignation des autorités françaises (DDADUE) : les URLs testées sur assemblee-nationale.fr et senat.fr n'ont pas retourné de contenu exploitable lors de cette exécution (pages vides ou 404). Non vérifié à une source primaire directe pendant cette exécution — repris du cadrage du job (30/08/2026) et de la note CNIL Q/R (17/08/2026) : les autorités françaises compétentes pour l'AI Act n'étaient pas encore officiellement désignées à cette date. Cette absence ne suspend aucune obligation ; l'interlocuteur de fait d'un ESSMS reste la CNIL via son DPO.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hnicvmnz615mepphyx2q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Service Desk — calendrier d'implémentation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calendrier vérifié le 02/10/2026, aucune modification constatée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vs6jyznnytnz899nkbs6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Q/R sur le règlement européen IA (mise à jour 17/08/2026)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lue le 02/10/2026, tableau d'articulation RIA/RGPD et note sur désignation autorités françaises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xr4_7qvv6lfhpsneg0zy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digital-strategy.ec.europa.eu — Cadre réglementaire IA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3 articles dans la fenêtre mais hors périmètre AI Act (01/10, 30/09, 29/09)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gzl0njwuxjl2akzjiygr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 (Future of Life Institute)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lue via agent (255 638 caractères de texte utile), dernier article = 7 août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vzjcne9kh5e3brtpvscs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cnil.fr — intelligence artificielle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dernier article = 26 août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</w:t>
      </w:r>
      <w:hyperlink w:history="1" r:id="rIdn-a2qkkx3s9jumgzkxwl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consilium.europa.eu — communiqués de presse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HTTP 403 (blocage anti-robot), inaccessible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</w:t>
      </w:r>
      <w:hyperlink w:history="1" r:id="rIdhuuopwhhzszftti0sr7i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iapp.org/news/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SPA JavaScript côté client, contenu éditorial non extractible en headless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</w:t>
      </w:r>
      <w:hyperlink w:history="1" r:id="rIdalyqlyxw2qt_dkmajwwc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EUR-Lex — règlement (UE) 2026/1744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HTTP 202, contenu non lu ; référence héritée de l'édition du 29/08/2026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2026 (J-61) — Fin de la période transitoire art. 50 §2 pour les systèmes génératifs mis sur le marché avant le 2 août 2026 ; entrée en vigueur de l'interdiction des hypertrucages sexuels non consentis et du CSAM.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Suite du DDADUE à l'Assemblée nationale — adoption du volet numérique nécessaire pour officialiser la désignation des autorités françaises compétentes pour l'IA. Non vérifié à une source primaire directe lors de cette exécution.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Guidelines art. 4 (littératie IA) — les nouvelles références extérieures introduites par l'Omnibus 2026/1744 restent à préciser par les autorités compétentes ; critiques pour les ESSMS.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Mise en œuvre nationale dans les États membres — publications des premières lignes directrices nationales et modalités de contrôle dans les pays avancés (Italie, Espagne).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Risque IA agentique — suites de l'incident australien (cas Medicare Statistics Reporting Service, 18/06/2026, rapporté le 24/09/2026) : enquête en cours, discussions ONU.</w:t>
      </w:r>
    </w:p>
    <w:p>
      <w:pPr>
        <w:spacing w:after="80"/>
      </w:pPr>
      <w:r>
        <w:t xml:space="preserve"/>
      </w:r>
    </w:p>
    <w:p>
      <w:pPr>
        <w:spacing w:before="240" w:after="60"/>
      </w:pPr>
      <w:r>
        <w:rPr>
          <w:b/>
          <w:bCs/>
          <w:sz w:val="26"/>
        </w:rPr>
        <w:t xml:space="preserve">📝 Journal des corrections — 2 octobre 2026</w:t>
      </w:r>
    </w:p>
    <w:p>
      <w:pPr>
        <w:spacing w:before="60" w:after="60"/>
      </w:pPr>
      <w:r>
        <w:rPr>
          <w:sz w:val="20"/>
        </w:rPr>
        <w:t xml:space="preserve">Note produite par l'exécution du 02/10/2026 à 09h03, qui s'est arrêtée sur le plafond de coût (3,1205 $ pour 3,00 $, exit 1) APRÈS avoir écrit ce document mais AVANT de le contrôler et de le publier. Relue et corrigée à la main le même jour, puis publiée : c'est la règle issue de l'incident hypnose du 29/09/2026 — un livrable qu'aucun contrôle n'a vu ne se publie pas sans relecture. Deux corrections. Ce qui tient est vérifié aux sources, rouvertes le 02/10/2026 : EUR-Lex répond bien 202 et consilium.europa.eu bien 403, exactement comme la note le déclare ; iapp.org rend 200 pour 4 232 caractères de coquille, ce qui confirme le diagnostic de SPA ; les QUATRE échéances sont littérales sur la page du calendrier (« 02 Dec 2026 New prohibitions + Article 50(2) transition apply », « 02 Aug 2027 Member States should have at least one AI regulatory sandbox per country operational », « 02 Dec 2027 Rules for high-risk AI systems in Annex III apply », « 02 Aug 2028 Rules for high-risk AI embedded in regulated products covered by Annex I apply ») ; digital-strategy.ec.europa.eu porte bien trois actualités dans la fenêtre, aux dates et sur les sujets annoncés ; cnil.fr/intelligence-artificielle a bien pour dernière date le 26 août 2026 ; et artificialintelligenceact.eu a bien pour dernier article « AI Therapy under the EU AI Act, Aug 7, 2026 » — une première relecture au curl avait cru y voir une date plus récente, qui s'est révélée être la date de MISE À JOUR d'un billet de 2024. La formulation d'origine est conservée ci-dessous.</w:t>
      </w:r>
    </w:p>
    <w:p>
      <w:pPr>
        <w:spacing w:before="60" w:after="60"/>
      </w:pPr>
      <w:r>
        <w:rPr>
          <w:sz w:val="20"/>
        </w:rPr>
        <w:t xml:space="preserve">1. (¶9) « Les 9 sources consultées le 2 octobre 2026 n'ont produit aucun article ou annonce officielle datable… »</w:t>
      </w:r>
    </w:p>
    <w:p>
      <w:pPr>
        <w:spacing w:before="60" w:after="60"/>
      </w:pPr>
      <w:r>
        <w:rPr>
          <w:sz w:val="20"/>
        </w:rPr>
        <w:t xml:space="preserve">2. (¶16) « sanctions actives. Régime : jusqu'à 35 M€ ou 7 % du CA mondial pour pratiques interdites ; jusqu'à 15 M€ ou 3 % pour transparence et GPAI. » — sous une ligne « Source : AI Act Service Desk 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jxjflgtqe0y-b7o6lrc" Type="http://schemas.openxmlformats.org/officeDocument/2006/relationships/hyperlink" Target="https://eur-lex.europa.eu/search.html?text=2026%2F1744&amp;scope=EURLEX&amp;type=quick&amp;lang=fr" TargetMode="External"/><Relationship Id="rIdhnicvmnz615mepphyx2q_" Type="http://schemas.openxmlformats.org/officeDocument/2006/relationships/hyperlink" Target="https://ai-act-service-desk.ec.europa.eu/en/ai-act/timeline/timeline-implementation-eu-ai-act" TargetMode="External"/><Relationship Id="rIdvs6jyznnytnz899nkbs6g" Type="http://schemas.openxmlformats.org/officeDocument/2006/relationships/hyperlink" Target="https://www.cnil.fr/fr/entree-en-vigueur-du-reglement-europeen-sur-lia-les-premieres-questions-reponses-de-la-cnil" TargetMode="External"/><Relationship Id="rIdxr4_7qvv6lfhpsneg0zyn" Type="http://schemas.openxmlformats.org/officeDocument/2006/relationships/hyperlink" Target="https://digital-strategy.ec.europa.eu/en/policies/regulatory-framework-ai" TargetMode="External"/><Relationship Id="rIdgzl0njwuxjl2akzjiygrr" Type="http://schemas.openxmlformats.org/officeDocument/2006/relationships/hyperlink" Target="https://artificialintelligenceact.eu" TargetMode="External"/><Relationship Id="rIdvzjcne9kh5e3brtpvscso" Type="http://schemas.openxmlformats.org/officeDocument/2006/relationships/hyperlink" Target="https://www.cnil.fr/fr/intelligence-artificielle" TargetMode="External"/><Relationship Id="rIdn-a2qkkx3s9jumgzkxwlr" Type="http://schemas.openxmlformats.org/officeDocument/2006/relationships/hyperlink" Target="https://www.consilium.europa.eu/en/press/press-releases/" TargetMode="External"/><Relationship Id="rIdhuuopwhhzszftti0sr7ii" Type="http://schemas.openxmlformats.org/officeDocument/2006/relationships/hyperlink" Target="https://iapp.org/news/" TargetMode="External"/><Relationship Id="rIdalyqlyxw2qt_dkmajwwcf" Type="http://schemas.openxmlformats.org/officeDocument/2006/relationships/hyperlink" Target="https://eur-lex.europa.eu/search.html?text=2026%2F1744&amp;scope=EURLEX&amp;type=quick&amp;lang=fr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2026-10-02T07:12:48.867Z</dcterms:created>
  <dcterms:modified xsi:type="dcterms:W3CDTF">2026-10-02T07:12:48.917Z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