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1B3A6B"/>
          <w:sz w:val="52"/>
          <w:szCs w:val="52"/>
        </w:rPr>
        <w:t xml:space="preserve">Veille SERAFIN-PH</w:t>
      </w:r>
    </w:p>
    <w:p>
      <w:pPr>
        <w:spacing w:after="60" w:before="0"/>
      </w:pPr>
      <w:r>
        <w:rPr>
          <w:rFonts w:ascii="Calibri" w:cs="Calibri" w:eastAsia="Calibri" w:hAnsi="Calibri"/>
          <w:color w:val="1F2937"/>
          <w:sz w:val="28"/>
          <w:szCs w:val="28"/>
        </w:rPr>
        <w:t xml:space="preserve">Synthèse hebdomadaire</w:t>
      </w:r>
    </w:p>
    <w:p>
      <w:pPr>
        <w:spacing w:after="40" w:before="0"/>
      </w:pPr>
      <w:r>
        <w:rPr>
          <w:rFonts w:ascii="Calibri" w:cs="Calibri" w:eastAsia="Calibri" w:hAnsi="Calibri"/>
          <w:b/>
          <w:bCs/>
          <w:color w:val="1F2937"/>
          <w:sz w:val="22"/>
          <w:szCs w:val="22"/>
        </w:rPr>
        <w:t xml:space="preserve">Date de production : 26 août 2026</w:t>
      </w:r>
    </w:p>
    <w:p>
      <w:pPr>
        <w:spacing w:after="200" w:before="0"/>
      </w:pPr>
      <w:r>
        <w:rPr>
          <w:rFonts w:ascii="Calibri" w:cs="Calibri" w:eastAsia="Calibri" w:hAnsi="Calibri"/>
          <w:color w:val="1F2937"/>
          <w:sz w:val="22"/>
          <w:szCs w:val="22"/>
        </w:rPr>
        <w:t xml:space="preserve">Fenêtre de veille : 19 août 2026 → 26 août 2026 (J-7 à J)</w:t>
      </w:r>
    </w:p>
    <w:p>
      <w:pPr>
        <w:pBdr>
          <w:bottom w:val="single" w:color="1B3A6B" w:sz="10"/>
        </w:pBdr>
        <w:spacing w:after="120" w:before="320"/>
      </w:pPr>
      <w:r>
        <w:rPr>
          <w:rFonts w:ascii="Calibri" w:cs="Calibri" w:eastAsia="Calibri" w:hAnsi="Calibri"/>
          <w:b/>
          <w:bCs/>
          <w:color w:val="1B3A6B"/>
          <w:sz w:val="28"/>
          <w:szCs w:val="28"/>
        </w:rPr>
        <w:t xml:space="preserve">Sources — Statut de consultation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St.</w:t>
            </w:r>
          </w:p>
        </w:tc>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Source</w:t>
            </w:r>
          </w:p>
        </w:tc>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Remarque</w:t>
            </w:r>
          </w:p>
        </w:tc>
      </w:tr>
      <w:tr>
        <w:tc>
          <w:tcPr>
            <w:tcMar>
              <w:top w:type="dxa" w:w="40"/>
              <w:left w:type="dxa" w:w="80"/>
              <w:bottom w:type="dxa" w:w="40"/>
              <w:right w:type="dxa" w:w="80"/>
            </w:tcMar>
          </w:tcPr>
          <w:p>
            <w:pPr>
              <w:spacing w:after="40" w:before="40"/>
            </w:pPr>
            <w:r>
              <w:rPr>
                <w:rFonts w:ascii="Calibri" w:cs="Calibri" w:eastAsia="Calibri" w:hAnsi="Calibri"/>
                <w:b/>
                <w:bCs/>
                <w:color w:val="15803D"/>
                <w:sz w:val="20"/>
                <w:szCs w:val="20"/>
              </w:rPr>
              <w:t xml:space="preserve">✅</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Ministère de la Santé, des Familles et de l'Autonomie — handicap.gouv.fr</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Consultée — données hors fenêtre reprises en section Rappel/Contexte</w:t>
            </w:r>
          </w:p>
        </w:tc>
      </w:tr>
      <w:tr>
        <w:tc>
          <w:tcPr>
            <w:shd w:fill="EEF2F7" w:val="solid"/>
            <w:tcMar>
              <w:top w:type="dxa" w:w="40"/>
              <w:left w:type="dxa" w:w="80"/>
              <w:bottom w:type="dxa" w:w="40"/>
              <w:right w:type="dxa" w:w="80"/>
            </w:tcMar>
          </w:tcPr>
          <w:p>
            <w:pPr>
              <w:spacing w:after="40" w:before="40"/>
            </w:pPr>
            <w:r>
              <w:rPr>
                <w:rFonts w:ascii="Calibri" w:cs="Calibri" w:eastAsia="Calibri" w:hAnsi="Calibri"/>
                <w:b/>
                <w:bCs/>
                <w:color w:val="15803D"/>
                <w:sz w:val="20"/>
                <w:szCs w:val="20"/>
              </w:rPr>
              <w:t xml:space="preserve">✅</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CNSA — Préparation recueil PH 2026 + page réforme tarifaire</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Consultée — données hors fenêtre reprises en section Rappel/Contexte</w:t>
            </w:r>
          </w:p>
        </w:tc>
      </w:tr>
      <w:tr>
        <w:tc>
          <w:tcPr>
            <w:tcMar>
              <w:top w:type="dxa" w:w="40"/>
              <w:left w:type="dxa" w:w="80"/>
              <w:bottom w:type="dxa" w:w="40"/>
              <w:right w:type="dxa" w:w="80"/>
            </w:tcMar>
          </w:tcPr>
          <w:p>
            <w:pPr>
              <w:spacing w:after="40" w:before="40"/>
            </w:pPr>
            <w:r>
              <w:rPr>
                <w:rFonts w:ascii="Calibri" w:cs="Calibri" w:eastAsia="Calibri" w:hAnsi="Calibri"/>
                <w:b/>
                <w:bCs/>
                <w:color w:val="15803D"/>
                <w:sz w:val="20"/>
                <w:szCs w:val="20"/>
              </w:rPr>
              <w:t xml:space="preserve">✅</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Bulletins officiels — Instruction DGCS n°2026/80 du 16 juin 2026</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Consultée — informations campagne budgétaire 2026 reprises en section Rappel</w:t>
            </w:r>
          </w:p>
        </w:tc>
      </w:tr>
      <w:tr>
        <w:tc>
          <w:tcPr>
            <w:shd w:fill="EEF2F7" w:val="solid"/>
            <w:tcMar>
              <w:top w:type="dxa" w:w="40"/>
              <w:left w:type="dxa" w:w="80"/>
              <w:bottom w:type="dxa" w:w="40"/>
              <w:right w:type="dxa" w:w="80"/>
            </w:tcMar>
          </w:tcPr>
          <w:p>
            <w:pPr>
              <w:spacing w:after="40" w:before="40"/>
            </w:pPr>
            <w:r>
              <w:rPr>
                <w:rFonts w:ascii="Calibri" w:cs="Calibri" w:eastAsia="Calibri" w:hAnsi="Calibri"/>
                <w:b/>
                <w:bCs/>
                <w:color w:val="15803D"/>
                <w:sz w:val="20"/>
                <w:szCs w:val="20"/>
              </w:rPr>
              <w:t xml:space="preserve">✅</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FHF — SERAFIN-PH recueil 2026 : calendrier et accompagnement (18 fév. 2026)</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Consultée — aucun élément dans la fenêtre du 19-26 août 2026</w:t>
            </w:r>
          </w:p>
        </w:tc>
      </w:tr>
      <w:tr>
        <w:tc>
          <w:tcPr>
            <w:tcMar>
              <w:top w:type="dxa" w:w="40"/>
              <w:left w:type="dxa" w:w="80"/>
              <w:bottom w:type="dxa" w:w="40"/>
              <w:right w:type="dxa" w:w="80"/>
            </w:tcMar>
          </w:tcPr>
          <w:p>
            <w:pPr>
              <w:spacing w:after="40" w:before="40"/>
            </w:pPr>
            <w:r>
              <w:rPr>
                <w:rFonts w:ascii="Calibri" w:cs="Calibri" w:eastAsia="Calibri" w:hAnsi="Calibri"/>
                <w:b/>
                <w:bCs/>
                <w:color w:val="B91C1C"/>
                <w:sz w:val="20"/>
                <w:szCs w:val="20"/>
              </w:rPr>
              <w:t xml:space="preserve">⛔</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ATIH — atih.sante.fr (personnes handicapées, recueil national PH)</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Accès bloqué (HTTP 403) — non consultable en mode headless</w:t>
            </w:r>
          </w:p>
        </w:tc>
      </w:tr>
    </w:tbl>
    <w:p>
      <w:pPr>
        <w:spacing w:after="160" w:before="80"/>
      </w:pPr>
      <w:r>
        <w:rPr>
          <w:rFonts w:ascii="Calibri" w:cs="Calibri" w:eastAsia="Calibri" w:hAnsi="Calibri"/>
          <w:i/>
          <w:iCs/>
          <w:color w:val="6B7280"/>
          <w:sz w:val="18"/>
          <w:szCs w:val="18"/>
        </w:rPr>
        <w:t xml:space="preserve">Note : 3 sources ✅ effectivement consultées et dont au moins une donnée est reprise ci-dessous | 1 source ⛔ inaccessible (ATIH, HTTP 403) | Les outils WebSearch et WebFetch ne sont pas des sources documentaires et n'apparaissent pas dans ce décompte.</w:t>
      </w:r>
    </w:p>
    <w:p>
      <w:pPr>
        <w:pBdr>
          <w:bottom w:val="single" w:color="1B3A6B" w:sz="10"/>
        </w:pBdr>
        <w:spacing w:after="120" w:before="320"/>
      </w:pPr>
      <w:r>
        <w:rPr>
          <w:rFonts w:ascii="Calibri" w:cs="Calibri" w:eastAsia="Calibri" w:hAnsi="Calibri"/>
          <w:b/>
          <w:bCs/>
          <w:color w:val="1B3A6B"/>
          <w:sz w:val="28"/>
          <w:szCs w:val="28"/>
        </w:rPr>
        <w:t xml:space="preserve">🔵 En bref — Semaine du 19 au 26 août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2F2" w:val="solid"/>
            <w:tcMar>
              <w:top w:type="dxa" w:w="80"/>
              <w:left w:type="dxa" w:w="120"/>
              <w:bottom w:type="dxa" w:w="80"/>
              <w:right w:type="dxa" w:w="120"/>
            </w:tcMar>
          </w:tcPr>
          <w:p>
            <w:pPr>
              <w:spacing w:after="60" w:before="80"/>
            </w:pPr>
            <w:r>
              <w:rPr>
                <w:rFonts w:ascii="Calibri" w:cs="Calibri" w:eastAsia="Calibri" w:hAnsi="Calibri"/>
                <w:b/>
                <w:bCs/>
                <w:color w:val="B91C1C"/>
                <w:sz w:val="22"/>
                <w:szCs w:val="22"/>
              </w:rPr>
              <w:t xml:space="preserve">⚠️ Semaine creuse — Aucune publication dans la fenêtre</w:t>
            </w:r>
          </w:p>
          <w:p>
            <w:pPr>
              <w:spacing w:after="80" w:before="0"/>
            </w:pPr>
            <w:r>
              <w:rPr>
                <w:rFonts w:ascii="Calibri" w:cs="Calibri" w:eastAsia="Calibri" w:hAnsi="Calibri"/>
                <w:color w:val="1F2937"/>
                <w:sz w:val="20"/>
                <w:szCs w:val="20"/>
              </w:rPr>
              <w:t xml:space="preserve">Aucune actualité SERAFIN-PH publiée entre le 19 et le 26 août 2026 n'a été identifiée sur les sources consultées (handicap.gouv.fr, cnsa.fr, bulletins officiels, FHF). La veille est honnêtement vide pour cette période plutôt que meublée avec des éléments antérieurs. Les éléments de contexte récents mais hors fenêtre figurent dans la section « Rappel / Contexte » ci-dessous avec leur date affichée.</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Thème</w:t>
            </w:r>
          </w:p>
        </w:tc>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Statut</w:t>
            </w:r>
          </w:p>
        </w:tc>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Prochaine échéance</w:t>
            </w:r>
          </w:p>
        </w:tc>
      </w:tr>
      <w:tr>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Recueil PH 2026 — données ESMS enfants</w:t>
            </w:r>
          </w:p>
        </w:tc>
        <w:tc>
          <w:tcPr>
            <w:tcMar>
              <w:top w:type="dxa" w:w="40"/>
              <w:left w:type="dxa" w:w="80"/>
              <w:bottom w:type="dxa" w:w="40"/>
              <w:right w:type="dxa" w:w="80"/>
            </w:tcMar>
          </w:tcPr>
          <w:p>
            <w:pPr>
              <w:spacing w:after="40" w:before="40"/>
            </w:pPr>
            <w:r>
              <w:rPr>
                <w:rFonts w:ascii="Calibri" w:cs="Calibri" w:eastAsia="Calibri" w:hAnsi="Calibri"/>
                <w:b w:val="false"/>
                <w:bCs w:val="false"/>
                <w:color w:val="D97706"/>
                <w:sz w:val="20"/>
                <w:szCs w:val="20"/>
              </w:rPr>
              <w:t xml:space="preserve">Phase qualification ARS (depuis juillet 2026)</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Automne 2026</w:t>
            </w:r>
          </w:p>
        </w:tc>
      </w:tr>
      <w:tr>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Simulations de dotations individualisées</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D97706"/>
                <w:sz w:val="20"/>
                <w:szCs w:val="20"/>
              </w:rPr>
              <w:t xml:space="preserve">En cours (CNSA + DGCS + ATIH)</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Fin 2026 / transmission ARS</w:t>
            </w:r>
          </w:p>
        </w:tc>
      </w:tr>
      <w:tr>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Déploiement modèle SERAFIN-PH</w:t>
            </w:r>
          </w:p>
        </w:tc>
        <w:tc>
          <w:tcPr>
            <w:tcMar>
              <w:top w:type="dxa" w:w="40"/>
              <w:left w:type="dxa" w:w="80"/>
              <w:bottom w:type="dxa" w:w="40"/>
              <w:right w:type="dxa" w:w="80"/>
            </w:tcMar>
          </w:tcPr>
          <w:p>
            <w:pPr>
              <w:spacing w:after="40" w:before="40"/>
            </w:pPr>
            <w:r>
              <w:rPr>
                <w:rFonts w:ascii="Calibri" w:cs="Calibri" w:eastAsia="Calibri" w:hAnsi="Calibri"/>
                <w:b w:val="false"/>
                <w:bCs w:val="false"/>
                <w:color w:val="15803D"/>
                <w:sz w:val="20"/>
                <w:szCs w:val="20"/>
              </w:rPr>
              <w:t xml:space="preserve">Prévu 1er janvier 2027 — secteur enfants</w:t>
            </w:r>
          </w:p>
        </w:tc>
        <w:tc>
          <w:tcPr>
            <w:tcMar>
              <w:top w:type="dxa" w:w="40"/>
              <w:left w:type="dxa" w:w="80"/>
              <w:bottom w:type="dxa" w:w="40"/>
              <w:right w:type="dxa" w:w="80"/>
            </w:tcMar>
          </w:tcPr>
          <w:p>
            <w:pPr>
              <w:spacing w:after="40" w:before="40"/>
            </w:pPr>
            <w:r>
              <w:rPr>
                <w:rFonts w:ascii="Calibri" w:cs="Calibri" w:eastAsia="Calibri" w:hAnsi="Calibri"/>
                <w:b w:val="false"/>
                <w:bCs w:val="false"/>
                <w:color w:val="15803D"/>
                <w:sz w:val="20"/>
                <w:szCs w:val="20"/>
              </w:rPr>
              <w:t xml:space="preserve">01/01/2027</w:t>
            </w:r>
          </w:p>
        </w:tc>
      </w:tr>
      <w:tr>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Convergence budgétaire progressive</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Durée 8 ans (2027–2034)</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Échelonné 2027–2034</w:t>
            </w:r>
          </w:p>
        </w:tc>
      </w:tr>
    </w:tbl>
    <w:p>
      <w:pPr>
        <w:spacing w:after="60" w:before="60"/>
      </w:pPr>
      <w:r>
        <w:t xml:space="preserve"/>
      </w:r>
    </w:p>
    <w:p>
      <w:pPr>
        <w:pBdr>
          <w:bottom w:val="single" w:color="1B3A6B" w:sz="10"/>
        </w:pBdr>
        <w:spacing w:after="120" w:before="320"/>
      </w:pPr>
      <w:r>
        <w:rPr>
          <w:rFonts w:ascii="Calibri" w:cs="Calibri" w:eastAsia="Calibri" w:hAnsi="Calibri"/>
          <w:b/>
          <w:bCs/>
          <w:color w:val="1B3A6B"/>
          <w:sz w:val="28"/>
          <w:szCs w:val="28"/>
        </w:rPr>
        <w:t xml:space="preserve">📋 Rappel / Contexte — Éléments récents hors fenêtre</w:t>
      </w:r>
    </w:p>
    <w:p>
      <w:pPr>
        <w:spacing w:after="60" w:before="60"/>
      </w:pPr>
      <w:r>
        <w:rPr>
          <w:rFonts w:ascii="Calibri" w:cs="Calibri" w:eastAsia="Calibri" w:hAnsi="Calibri"/>
          <w:i/>
          <w:iCs/>
          <w:color w:val="1F2937"/>
          <w:sz w:val="22"/>
          <w:szCs w:val="22"/>
        </w:rPr>
        <w:t xml:space="preserve">Les informations ci-dessous sont antérieures au 19 août 2026. Elles sont mentionnées ici pour donner le cadre de compréhension de la situation SERAFIN-PH à l'automne 2026. Date d'événement et date de publication sont distinguées.</w:t>
      </w:r>
    </w:p>
    <w:p>
      <w:pPr>
        <w:spacing w:after="60" w:before="60"/>
      </w:pPr>
      <w:r>
        <w:t xml:space="preserve"/>
      </w:r>
    </w:p>
    <w:p>
      <w:pPr>
        <w:spacing w:after="80" w:before="240"/>
      </w:pPr>
      <w:r>
        <w:rPr>
          <w:rFonts w:ascii="Calibri" w:cs="Calibri" w:eastAsia="Calibri" w:hAnsi="Calibri"/>
          <w:b/>
          <w:bCs/>
          <w:color w:val="1B3A6B"/>
          <w:sz w:val="24"/>
          <w:szCs w:val="24"/>
        </w:rPr>
        <w:t xml:space="preserve">14e réunion du Comité stratégique — 23 mars 2026</w:t>
      </w:r>
    </w:p>
    <w:p>
      <w:pPr>
        <w:spacing w:after="60" w:before="60"/>
      </w:pPr>
      <w:r>
        <w:rPr>
          <w:rFonts w:ascii="Calibri" w:cs="Calibri" w:eastAsia="Calibri" w:hAnsi="Calibri"/>
          <w:color w:val="1F2937"/>
          <w:sz w:val="22"/>
          <w:szCs w:val="22"/>
        </w:rPr>
        <w:t xml:space="preserve">Événement : réunion du 23 mars 2026 — présidée par Camille Galliard-Minier, Ministre déléguée à l'Autonomie.</w:t>
      </w:r>
    </w:p>
    <w:p>
      <w:pPr>
        <w:spacing w:after="60" w:before="60"/>
      </w:pPr>
      <w:r>
        <w:rPr>
          <w:rFonts w:ascii="Calibri" w:cs="Calibri" w:eastAsia="Calibri" w:hAnsi="Calibri"/>
          <w:color w:val="1F2937"/>
          <w:sz w:val="22"/>
          <w:szCs w:val="22"/>
        </w:rPr>
        <w:t xml:space="preserve">Date de publication sur handicap.gouv.fr : page accessible au 26 août 2026 (date exacte de mise en ligne non précisée par le site).</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Confirmation du déploiement au 1er janvier 2027 pour les ESMS du secteur enfants.</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Lancement du recueil de données à partir du 30 mars 2026.</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Mesures d'accompagnement : webinaires, réunions régionales, formations.</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Calendrier automne 2026 : vérification de la fiabilité des données, puis simulations de dotations.</w:t>
      </w:r>
    </w:p>
    <w:p>
      <w:pPr>
        <w:spacing w:after="100" w:before="60"/>
      </w:pPr>
      <w:r>
        <w:rPr>
          <w:rFonts w:ascii="Calibri" w:cs="Calibri" w:eastAsia="Calibri" w:hAnsi="Calibri"/>
          <w:b/>
          <w:bCs/>
          <w:color w:val="1F2937"/>
          <w:sz w:val="20"/>
          <w:szCs w:val="20"/>
        </w:rPr>
        <w:t xml:space="preserve">Source primaire : </w:t>
      </w:r>
      <w:r>
        <w:rPr>
          <w:rFonts w:ascii="Calibri" w:cs="Calibri" w:eastAsia="Calibri" w:hAnsi="Calibri"/>
          <w:color w:val="1B3A6B"/>
          <w:sz w:val="20"/>
          <w:szCs w:val="20"/>
          <w:u w:val="single"/>
        </w:rPr>
        <w:t xml:space="preserve">handicap.gouv.fr — 14e réunion du comité stratégique</w:t>
      </w:r>
    </w:p>
    <w:p>
      <w:pPr>
        <w:spacing w:after="80" w:before="240"/>
      </w:pPr>
      <w:r>
        <w:rPr>
          <w:rFonts w:ascii="Calibri" w:cs="Calibri" w:eastAsia="Calibri" w:hAnsi="Calibri"/>
          <w:b/>
          <w:bCs/>
          <w:color w:val="1B3A6B"/>
          <w:sz w:val="24"/>
          <w:szCs w:val="24"/>
        </w:rPr>
        <w:t xml:space="preserve">Instruction budgétaire DGCS n°2026/80 — 16 juin 2026</w:t>
      </w:r>
    </w:p>
    <w:p>
      <w:pPr>
        <w:spacing w:after="60" w:before="60"/>
      </w:pPr>
      <w:r>
        <w:rPr>
          <w:rFonts w:ascii="Calibri" w:cs="Calibri" w:eastAsia="Calibri" w:hAnsi="Calibri"/>
          <w:color w:val="1F2937"/>
          <w:sz w:val="22"/>
          <w:szCs w:val="22"/>
        </w:rPr>
        <w:t xml:space="preserve">Publication : 16 juin 2026 sur le bulletin officiel du ministère des Solidarités.</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Dotation globale ESSMS personnes handicapées 2026 : 16 milliards d'euros (taux de croissance 2,5 %).</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Section 6.2 : les ESMS concernés devront adopter le cadre EPRD de la tarification globale au 1er janvier 2027 ou à la signature de leur CPOM, la date la plus proche étant retenue.</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174,8 M€ pour la mise en œuvre de solutions handicap (Plan 50 000 Solutions).</w:t>
      </w:r>
    </w:p>
    <w:p>
      <w:pPr>
        <w:spacing w:after="100" w:before="60"/>
      </w:pPr>
      <w:r>
        <w:rPr>
          <w:rFonts w:ascii="Calibri" w:cs="Calibri" w:eastAsia="Calibri" w:hAnsi="Calibri"/>
          <w:b/>
          <w:bCs/>
          <w:color w:val="1F2937"/>
          <w:sz w:val="20"/>
          <w:szCs w:val="20"/>
        </w:rPr>
        <w:t xml:space="preserve">Source primaire : </w:t>
      </w:r>
      <w:r>
        <w:rPr>
          <w:rFonts w:ascii="Calibri" w:cs="Calibri" w:eastAsia="Calibri" w:hAnsi="Calibri"/>
          <w:color w:val="1B3A6B"/>
          <w:sz w:val="20"/>
          <w:szCs w:val="20"/>
          <w:u w:val="single"/>
        </w:rPr>
        <w:t xml:space="preserve">Bulletins officiels — Instruction n°2026/80 du 16 juin 2026</w:t>
      </w:r>
    </w:p>
    <w:p>
      <w:pPr>
        <w:spacing w:after="80" w:before="240"/>
      </w:pPr>
      <w:r>
        <w:rPr>
          <w:rFonts w:ascii="Calibri" w:cs="Calibri" w:eastAsia="Calibri" w:hAnsi="Calibri"/>
          <w:b/>
          <w:bCs/>
          <w:color w:val="1B3A6B"/>
          <w:sz w:val="24"/>
          <w:szCs w:val="24"/>
        </w:rPr>
        <w:t xml:space="preserve">CNSA — Recueil PH 2026 : contexte et calendrier</w:t>
      </w:r>
    </w:p>
    <w:p>
      <w:pPr>
        <w:spacing w:after="60" w:before="60"/>
      </w:pPr>
      <w:r>
        <w:rPr>
          <w:rFonts w:ascii="Calibri" w:cs="Calibri" w:eastAsia="Calibri" w:hAnsi="Calibri"/>
          <w:color w:val="1F2937"/>
          <w:sz w:val="22"/>
          <w:szCs w:val="22"/>
        </w:rPr>
        <w:t xml:space="preserve">Publication CNSA : 17 décembre 2025 — Article : « SERAFIN-PH : Préparation du recueil d'informations PH 2026 ».</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Organisation en deux phases : mars 2026 (capacitaire) et mai 2026 (modulation activité/objectifs).</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Environ 40 variables collectées via l'application SIDOBA SERAFIN de la CNSA.</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Année blanche : aucun impact financier en 2026, le modèle n'entre en vigueur qu'en 2027.</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À l'automne 2026 : les ESMS doivent recevoir des simulations individualisées de leur future dotation.</w:t>
      </w:r>
    </w:p>
    <w:p>
      <w:pPr>
        <w:spacing w:after="160" w:before="60"/>
      </w:pPr>
      <w:r>
        <w:rPr>
          <w:rFonts w:ascii="Calibri" w:cs="Calibri" w:eastAsia="Calibri" w:hAnsi="Calibri"/>
          <w:b/>
          <w:bCs/>
          <w:color w:val="1F2937"/>
          <w:sz w:val="20"/>
          <w:szCs w:val="20"/>
        </w:rPr>
        <w:t xml:space="preserve">Source primaire : </w:t>
      </w:r>
      <w:r>
        <w:rPr>
          <w:rFonts w:ascii="Calibri" w:cs="Calibri" w:eastAsia="Calibri" w:hAnsi="Calibri"/>
          <w:color w:val="1B3A6B"/>
          <w:sz w:val="20"/>
          <w:szCs w:val="20"/>
          <w:u w:val="single"/>
        </w:rPr>
        <w:t xml:space="preserve">cnsa.fr — Préparation du recueil PH 2026 (17 déc. 2025)</w:t>
      </w:r>
    </w:p>
    <w:p>
      <w:pPr>
        <w:pBdr>
          <w:bottom w:val="single" w:color="1B3A6B" w:sz="10"/>
        </w:pBdr>
        <w:spacing w:after="120" w:before="320"/>
      </w:pPr>
      <w:r>
        <w:rPr>
          <w:rFonts w:ascii="Calibri" w:cs="Calibri" w:eastAsia="Calibri" w:hAnsi="Calibri"/>
          <w:b/>
          <w:bCs/>
          <w:color w:val="1B3A6B"/>
          <w:sz w:val="28"/>
          <w:szCs w:val="28"/>
        </w:rPr>
        <w:t xml:space="preserve">⚠️ Points de vigilance pour les directions d'ESSMS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 Point</w:t>
            </w:r>
          </w:p>
        </w:tc>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Détail pratique</w:t>
            </w:r>
          </w:p>
        </w:tc>
      </w:tr>
      <w:tr>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1. Périmètre de la 1re vague : secteur enfants uniquement</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La réforme tarifaire entre en vigueur le 01/01/2027 pour les ESMS accompagnant des enfants et jeunes adultes handicapés. Les ESMS adultes (FAM, MAS, foyers de vie, SAVS, SAMSAH) ne sont pas encore dans la 1re vague — surveiller l'extension programmée.</w:t>
            </w:r>
          </w:p>
        </w:tc>
      </w:tr>
      <w:tr>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2. Simulations de dotations attendues à l'automne 2026</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Les ESMS enfants concernés devraient recevoir via leur ARS une simulation de leur future dotation globale. Cette simulation est un outil de pilotage stratégique : anticiper sa réception et organiser une lecture avec la direction financière.</w:t>
            </w:r>
          </w:p>
        </w:tc>
      </w:tr>
      <w:tr>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3. Articulation CPOM / SERAFIN-PH</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L'instruction budgétaire 2026 précise que l'adoption du cadre EPRD lié à la tarification globale intervient au 01/01/2027 ou à la signature du CPOM. Les structures dont le CPOM arrive à échéance doivent anticiper ce calendrier de renégociation.</w:t>
            </w:r>
          </w:p>
        </w:tc>
      </w:tr>
      <w:tr>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4. Convergence 8 ans : lire les simulations avec prudence</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La période de convergence est de 8 ans (2027–2034). Une simulation défavorable ne se traduit pas par une perte immédiate de dotation — les structures à convergence négative ne voient pas leur financement baisser en dessous du socle actuel. Lire les simulations à la lumière de ce calendrier.</w:t>
            </w:r>
          </w:p>
        </w:tc>
      </w:tr>
      <w:tr>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5. Fiabilité des données transmises lors du recueil 2026</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La dotation simulée dépend directement des données renseignées lors du recueil PH 2026. En cas d'erreur dans les données transmises (capacitaire, activité, indicateurs de modulation), la dotation simulée sera erronée. Vérifier les données avec l'ARS si des anomalies sont signalées.</w:t>
            </w:r>
          </w:p>
        </w:tc>
      </w:tr>
    </w:tbl>
    <w:p>
      <w:pPr>
        <w:spacing w:after="60" w:before="60"/>
      </w:pPr>
      <w:r>
        <w:t xml:space="preserve"/>
      </w:r>
    </w:p>
    <w:p>
      <w:pPr>
        <w:pBdr>
          <w:bottom w:val="single" w:color="1B3A6B" w:sz="10"/>
        </w:pBdr>
        <w:spacing w:after="120" w:before="320"/>
      </w:pPr>
      <w:r>
        <w:rPr>
          <w:rFonts w:ascii="Calibri" w:cs="Calibri" w:eastAsia="Calibri" w:hAnsi="Calibri"/>
          <w:b/>
          <w:bCs/>
          <w:color w:val="1B3A6B"/>
          <w:sz w:val="28"/>
          <w:szCs w:val="28"/>
        </w:rPr>
        <w:t xml:space="preserve">📅 Agenda — Prochains rendez-vous</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 Automne 2026 — Réception des simulations de dotations individualisées (via ARS) pour les ESMS enfants</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 Fin 2026 — Finalisation des paramètres du modèle par CNSA + DGCS + ATIH</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 01/01/2027 — Entrée en vigueur de la tarification globale SERAFIN-PH (secteur enfants)</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 2027–2034 — Convergence progressive vers la dotation cible (8 ans)</w:t>
      </w:r>
    </w:p>
    <w:p>
      <w:pPr>
        <w:pStyle w:val="ListParagraph"/>
        <w:numPr>
          <w:ilvl w:val="0"/>
          <w:numId w:val="1"/>
        </w:numPr>
        <w:spacing w:after="40" w:before="40"/>
      </w:pPr>
      <w:r>
        <w:rPr>
          <w:rFonts w:ascii="Calibri" w:cs="Calibri" w:eastAsia="Calibri" w:hAnsi="Calibri"/>
          <w:b w:val="false"/>
          <w:bCs w:val="false"/>
          <w:color w:val="1F2937"/>
          <w:sz w:val="22"/>
          <w:szCs w:val="22"/>
        </w:rPr>
        <w:t xml:space="preserve">[ ] À surveiller — Extension de SERAFIN-PH au secteur adultes : aucune date officielle publiée à ce jour</w:t>
      </w:r>
    </w:p>
    <w:p>
      <w:pPr>
        <w:spacing w:after="60" w:before="60"/>
      </w:pPr>
      <w:r>
        <w:t xml:space="preserve"/>
      </w:r>
    </w:p>
    <w:p>
      <w:pPr>
        <w:pBdr>
          <w:bottom w:val="single" w:color="1B3A6B" w:sz="10"/>
        </w:pBdr>
        <w:spacing w:after="120" w:before="320"/>
      </w:pPr>
      <w:r>
        <w:rPr>
          <w:rFonts w:ascii="Calibri" w:cs="Calibri" w:eastAsia="Calibri" w:hAnsi="Calibri"/>
          <w:b/>
          <w:bCs/>
          <w:color w:val="1B3A6B"/>
          <w:sz w:val="28"/>
          <w:szCs w:val="28"/>
        </w:rPr>
        <w:t xml:space="preserve">🏛️ Rappel SERAFIN-PH — Rôle de chaque acteur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Acteur</w:t>
            </w:r>
          </w:p>
        </w:tc>
        <w:tc>
          <w:tcPr>
            <w:shd w:fill="1B3A6B" w:val="solid"/>
            <w:tcMar>
              <w:top w:type="dxa" w:w="60"/>
              <w:left w:type="dxa" w:w="80"/>
              <w:bottom w:type="dxa" w:w="60"/>
              <w:right w:type="dxa" w:w="80"/>
            </w:tcMar>
          </w:tcPr>
          <w:p>
            <w:pPr>
              <w:spacing w:after="60" w:before="60"/>
              <w:jc w:val="center"/>
            </w:pPr>
            <w:r>
              <w:rPr>
                <w:rFonts w:ascii="Calibri" w:cs="Calibri" w:eastAsia="Calibri" w:hAnsi="Calibri"/>
                <w:b/>
                <w:bCs/>
                <w:color w:val="FFFFFF"/>
                <w:sz w:val="20"/>
                <w:szCs w:val="20"/>
              </w:rPr>
              <w:t xml:space="preserve">Rôle dans SERAFIN-PH</w:t>
            </w:r>
          </w:p>
        </w:tc>
      </w:tr>
      <w:tr>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DGCS (Direction générale de la cohésion sociale)</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Pilotage de la réforme, co-rédaction des textes réglementaires, instruction budgétaire annuelle</w:t>
            </w:r>
          </w:p>
        </w:tc>
      </w:tr>
      <w:tr>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CNSA (Caisse nationale de solidarité pour l'autonomie)</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Gestion de l'application SIDOBA, traitement et export des données recueillies, production des simulations de dotations, coordination avec les ARS</w:t>
            </w:r>
          </w:p>
        </w:tc>
      </w:tr>
      <w:tr>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ATIH (Agence technique de l'information sur l'hospitalisation)</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Développement de l'outil de recueil (RAMSECE-PH), production du guide méthodologique, traitement national des données</w:t>
            </w:r>
          </w:p>
        </w:tc>
      </w:tr>
      <w:tr>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ARS (Agences régionales de santé)</w:t>
            </w:r>
          </w:p>
        </w:tc>
        <w:tc>
          <w:tcPr>
            <w:shd w:fill="EEF2F7" w:val="solid"/>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Phase de qualification des données transmises par les ESMS, transmission des simulations de dotations aux structures, dialogue de gestion local</w:t>
            </w:r>
          </w:p>
        </w:tc>
      </w:tr>
      <w:tr>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ESMS (Établissements et services médico-sociaux)</w:t>
            </w:r>
          </w:p>
        </w:tc>
        <w:tc>
          <w:tcPr>
            <w:tcMar>
              <w:top w:type="dxa" w:w="40"/>
              <w:left w:type="dxa" w:w="80"/>
              <w:bottom w:type="dxa" w:w="40"/>
              <w:right w:type="dxa" w:w="80"/>
            </w:tcMar>
          </w:tcPr>
          <w:p>
            <w:pPr>
              <w:spacing w:after="40" w:before="40"/>
            </w:pPr>
            <w:r>
              <w:rPr>
                <w:rFonts w:ascii="Calibri" w:cs="Calibri" w:eastAsia="Calibri" w:hAnsi="Calibri"/>
                <w:b w:val="false"/>
                <w:bCs w:val="false"/>
                <w:color w:val="1F2937"/>
                <w:sz w:val="20"/>
                <w:szCs w:val="20"/>
              </w:rPr>
              <w:t xml:space="preserve">Transmission des données lors du recueil, réception et analyse de la simulation de dotation, adaptation du projet d'établissement et du CPOM en conséquence</w:t>
            </w:r>
          </w:p>
        </w:tc>
      </w:tr>
    </w:tbl>
    <w:p>
      <w:pPr>
        <w:spacing w:after="60" w:before="60"/>
      </w:pPr>
      <w:r>
        <w:t xml:space="preserve"/>
      </w:r>
    </w:p>
    <w:p>
      <w:pPr>
        <w:spacing w:after="40" w:before="200"/>
      </w:pPr>
      <w:r>
        <w:rPr>
          <w:rFonts w:ascii="Calibri" w:cs="Calibri" w:eastAsia="Calibri" w:hAnsi="Calibri"/>
          <w:color w:val="1B3A6B"/>
          <w:sz w:val="14"/>
          <w:szCs w:val="14"/>
        </w:rPr>
        <w:t xml:space="preserve">────────────────────────────────────────────────────────────────────────────────</w:t>
      </w:r>
    </w:p>
    <w:p>
      <w:pPr>
        <w:spacing w:after="40" w:before="0"/>
      </w:pPr>
      <w:r>
        <w:rPr>
          <w:rFonts w:ascii="Calibri" w:cs="Calibri" w:eastAsia="Calibri" w:hAnsi="Calibri"/>
          <w:b/>
          <w:bCs/>
          <w:color w:val="1F2937"/>
          <w:sz w:val="18"/>
          <w:szCs w:val="18"/>
        </w:rPr>
        <w:t xml:space="preserve">Produit le : </w:t>
      </w:r>
      <w:r>
        <w:rPr>
          <w:rFonts w:ascii="Calibri" w:cs="Calibri" w:eastAsia="Calibri" w:hAnsi="Calibri"/>
          <w:color w:val="1F2937"/>
          <w:sz w:val="18"/>
          <w:szCs w:val="18"/>
        </w:rPr>
        <w:t xml:space="preserve">26 août 2026</w:t>
      </w:r>
    </w:p>
    <w:p>
      <w:pPr>
        <w:spacing w:after="40" w:before="0"/>
      </w:pPr>
      <w:r>
        <w:rPr>
          <w:rFonts w:ascii="Calibri" w:cs="Calibri" w:eastAsia="Calibri" w:hAnsi="Calibri"/>
          <w:b/>
          <w:bCs/>
          <w:color w:val="1F2937"/>
          <w:sz w:val="18"/>
          <w:szCs w:val="18"/>
        </w:rPr>
        <w:t xml:space="preserve">Fenêtre couverte : </w:t>
      </w:r>
      <w:r>
        <w:rPr>
          <w:rFonts w:ascii="Calibri" w:cs="Calibri" w:eastAsia="Calibri" w:hAnsi="Calibri"/>
          <w:color w:val="1F2937"/>
          <w:sz w:val="18"/>
          <w:szCs w:val="18"/>
        </w:rPr>
        <w:t xml:space="preserve">19 août 2026 → 26 août 2026</w:t>
      </w:r>
    </w:p>
    <w:p>
      <w:pPr>
        <w:spacing w:after="40" w:before="0"/>
      </w:pPr>
      <w:r>
        <w:rPr>
          <w:rFonts w:ascii="Calibri" w:cs="Calibri" w:eastAsia="Calibri" w:hAnsi="Calibri"/>
          <w:b/>
          <w:bCs/>
          <w:color w:val="1F2937"/>
          <w:sz w:val="18"/>
          <w:szCs w:val="18"/>
        </w:rPr>
        <w:t xml:space="preserve">Sources documentaires : </w:t>
      </w:r>
      <w:r>
        <w:rPr>
          <w:rFonts w:ascii="Calibri" w:cs="Calibri" w:eastAsia="Calibri" w:hAnsi="Calibri"/>
          <w:color w:val="1F2937"/>
          <w:sz w:val="18"/>
          <w:szCs w:val="18"/>
        </w:rPr>
        <w:t xml:space="preserve">4 tentées | 3 ✅ consultées et contributrices | 1 ⛔ inaccessible (ATIH — HTTP 403)</w:t>
      </w:r>
    </w:p>
    <w:p>
      <w:pPr>
        <w:spacing w:after="40" w:before="0"/>
      </w:pPr>
      <w:r>
        <w:rPr>
          <w:rFonts w:ascii="Calibri" w:cs="Calibri" w:eastAsia="Calibri" w:hAnsi="Calibri"/>
          <w:b/>
          <w:bCs/>
          <w:color w:val="1F2937"/>
          <w:sz w:val="18"/>
          <w:szCs w:val="18"/>
        </w:rPr>
        <w:t xml:space="preserve">Résultat de la veille : </w:t>
      </w:r>
      <w:r>
        <w:rPr>
          <w:rFonts w:ascii="Calibri" w:cs="Calibri" w:eastAsia="Calibri" w:hAnsi="Calibri"/>
          <w:color w:val="D97706"/>
          <w:sz w:val="18"/>
          <w:szCs w:val="18"/>
        </w:rPr>
        <w:t xml:space="preserve">Semaine creuse — aucune publication dans la fenêtre du 19-26 août 2026. Note allégée conforme au garde-fou n°7.</w:t>
      </w:r>
    </w:p>
    <w:p>
      <w:pPr>
        <w:spacing w:after="40" w:before="0"/>
      </w:pPr>
      <w:r>
        <w:rPr>
          <w:rFonts w:ascii="Calibri" w:cs="Calibri" w:eastAsia="Calibri" w:hAnsi="Calibri"/>
          <w:b/>
          <w:bCs/>
          <w:color w:val="1F2937"/>
          <w:sz w:val="18"/>
          <w:szCs w:val="18"/>
        </w:rPr>
        <w:t xml:space="preserve">Affirmations non sourcées dans la fenêtre : </w:t>
      </w:r>
      <w:r>
        <w:rPr>
          <w:rFonts w:ascii="Calibri" w:cs="Calibri" w:eastAsia="Calibri" w:hAnsi="Calibri"/>
          <w:color w:val="15803D"/>
          <w:sz w:val="18"/>
          <w:szCs w:val="18"/>
        </w:rPr>
        <w:t xml:space="preserve">Aucune — tous les éléments factuels proviennent des sources consultées lors de cette exécution. Les données hors fenêtre sont explicitement datées et placées en section « Rappel/Contexte ».</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6B" w:sz="6"/>
      </w:pBdr>
    </w:pPr>
    <w:r>
      <w:rPr>
        <w:rFonts w:ascii="Calibri" w:cs="Calibri" w:eastAsia="Calibri" w:hAnsi="Calibri"/>
        <w:color w:val="9CA3AF"/>
        <w:sz w:val="16"/>
        <w:szCs w:val="16"/>
      </w:rPr>
      <w:t xml:space="preserve">Document généré automatiquement le 26 août 2026 — </w:t>
    </w:r>
    <w:r>
      <w:rPr>
        <w:rFonts w:ascii="Calibri" w:cs="Calibri" w:eastAsia="Calibri" w:hAnsi="Calibri"/>
        <w:color w:val="9CA3AF"/>
        <w:sz w:val="16"/>
        <w:szCs w:val="16"/>
      </w:rPr>
      <w:t xml:space="preserve">Sources : 3/4 consultées ✅ | 1 ⛔ (ATIH 403)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6"/>
      </w:pBdr>
    </w:pPr>
    <w:r>
      <w:rPr>
        <w:rFonts w:ascii="Calibri" w:cs="Calibri" w:eastAsia="Calibri" w:hAnsi="Calibri"/>
        <w:b/>
        <w:bCs/>
        <w:color w:val="1B3A6B"/>
        <w:sz w:val="20"/>
        <w:szCs w:val="20"/>
      </w:rPr>
      <w:t xml:space="preserve">Veille SERAFIN-PH — Synthèse hebdomadaire</w:t>
    </w:r>
    <w:r>
      <w:rPr>
        <w:rFonts w:ascii="Calibri" w:cs="Calibri" w:eastAsia="Calibri" w:hAnsi="Calibri"/>
        <w:color w:val="6B7280"/>
        <w:sz w:val="18"/>
        <w:szCs w:val="18"/>
      </w:rPr>
      <w:t xml:space="preserve">   |   26 août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Veille SERAFIN-PH — 26 août 2026</dc:title>
  <dc:creator>Claude Code — Job serafin-ph-veille</dc:creator>
  <dc:description>Synthèse hebdomadaire SERAFIN-PH produite automatiquement</dc:description>
  <cp:lastModifiedBy>Un-named</cp:lastModifiedBy>
  <cp:revision>1</cp:revision>
  <dcterms:created xsi:type="dcterms:W3CDTF">2026-08-26T06:07:53.841Z</dcterms:created>
  <dcterms:modified xsi:type="dcterms:W3CDTF">2026-08-26T06:07:53.843Z</dcterms:modified>
</cp:coreProperties>
</file>

<file path=docProps/custom.xml><?xml version="1.0" encoding="utf-8"?>
<Properties xmlns="http://schemas.openxmlformats.org/officeDocument/2006/custom-properties" xmlns:vt="http://schemas.openxmlformats.org/officeDocument/2006/docPropsVTypes"/>
</file>