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B3A6B"/>
          <w:sz w:val="36"/>
          <w:szCs w:val="36"/>
        </w:rPr>
        <w:t xml:space="preserve">Veille SERAFIN-PH — Synthèse hebdomadaire</w:t>
      </w:r>
    </w:p>
    <w:p>
      <w:pPr>
        <w:spacing w:after="60" w:before="0"/>
      </w:pPr>
      <w:r>
        <w:rPr>
          <w:rFonts w:ascii="Calibri" w:cs="Calibri" w:eastAsia="Calibri" w:hAnsi="Calibri"/>
          <w:b/>
          <w:bCs/>
          <w:i w:val="false"/>
          <w:iCs w:val="false"/>
          <w:color w:val="1F2937"/>
          <w:sz w:val="22"/>
          <w:szCs w:val="22"/>
        </w:rPr>
        <w:t xml:space="preserve">Date de production : </w:t>
      </w:r>
      <w:r>
        <w:rPr>
          <w:rFonts w:ascii="Calibri" w:cs="Calibri" w:eastAsia="Calibri" w:hAnsi="Calibri"/>
          <w:b w:val="false"/>
          <w:bCs w:val="false"/>
          <w:i w:val="false"/>
          <w:iCs w:val="false"/>
          <w:color w:val="1F2937"/>
          <w:sz w:val="22"/>
          <w:szCs w:val="22"/>
        </w:rPr>
        <w:t xml:space="preserve">07/10/2026</w:t>
      </w:r>
      <w:r>
        <w:rPr>
          <w:rFonts w:ascii="Calibri" w:cs="Calibri" w:eastAsia="Calibri" w:hAnsi="Calibri"/>
          <w:b/>
          <w:bCs/>
          <w:i w:val="false"/>
          <w:iCs w:val="false"/>
          <w:color w:val="1F2937"/>
          <w:sz w:val="22"/>
          <w:szCs w:val="22"/>
        </w:rPr>
        <w:t xml:space="preserve">   |   Fenêtre de veille : </w:t>
      </w:r>
      <w:r>
        <w:rPr>
          <w:rFonts w:ascii="Calibri" w:cs="Calibri" w:eastAsia="Calibri" w:hAnsi="Calibri"/>
          <w:b w:val="false"/>
          <w:bCs w:val="false"/>
          <w:i w:val="false"/>
          <w:iCs w:val="false"/>
          <w:color w:val="1F2937"/>
          <w:sz w:val="22"/>
          <w:szCs w:val="22"/>
        </w:rPr>
        <w:t xml:space="preserve">30 septembre 2026 → 07 octobre 2026</w:t>
      </w:r>
    </w:p>
    <w:p>
      <w:pPr>
        <w:spacing w:after="80" w:before="80"/>
      </w:pPr>
    </w:p>
    <w:p>
      <w:pPr>
        <w:pStyle w:val="Heading1"/>
        <w:spacing w:after="100" w:before="20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Source</w:t>
            </w:r>
          </w:p>
        </w:tc>
        <w:tc>
          <w:tcPr>
            <w:gridSpan w:val="1"/>
            <w:shd w:fill="1B3A6B" w:color="1B3A6B" w:val="solid"/>
          </w:tcPr>
          <w:p>
            <w:pPr>
              <w:jc w:val="center"/>
            </w:pPr>
            <w:r>
              <w:rPr>
                <w:rFonts w:ascii="Calibri" w:cs="Calibri" w:eastAsia="Calibri" w:hAnsi="Calibri"/>
                <w:b/>
                <w:bCs/>
                <w:color w:val="FFFFFF"/>
                <w:sz w:val="22"/>
                <w:szCs w:val="22"/>
              </w:rPr>
              <w:t xml:space="preserve">Statut</w:t>
            </w:r>
          </w:p>
        </w:tc>
        <w:tc>
          <w:tcPr>
            <w:gridSpan w:val="1"/>
            <w:shd w:fill="1B3A6B" w:color="1B3A6B" w:val="solid"/>
          </w:tcPr>
          <w:p>
            <w:pPr>
              <w:jc w:val="center"/>
            </w:pPr>
            <w:r>
              <w:rPr>
                <w:rFonts w:ascii="Calibri" w:cs="Calibri" w:eastAsia="Calibri" w:hAnsi="Calibri"/>
                <w:b/>
                <w:bCs/>
                <w:color w:val="FFFFFF"/>
                <w:sz w:val="22"/>
                <w:szCs w:val="22"/>
              </w:rPr>
              <w:t xml:space="preserve">URL</w:t>
            </w:r>
          </w:p>
        </w:tc>
        <w:tc>
          <w:tcPr>
            <w:gridSpan w:val="1"/>
            <w:shd w:fill="1B3A6B" w:color="1B3A6B" w:val="solid"/>
          </w:tcPr>
          <w:p>
            <w:pPr>
              <w:jc w:val="center"/>
            </w:pPr>
            <w:r>
              <w:rPr>
                <w:rFonts w:ascii="Calibri" w:cs="Calibri" w:eastAsia="Calibri" w:hAnsi="Calibri"/>
                <w:b/>
                <w:bCs/>
                <w:color w:val="FFFFFF"/>
                <w:sz w:val="22"/>
                <w:szCs w:val="22"/>
              </w:rPr>
              <w:t xml:space="preserve">Date publication</w:t>
            </w:r>
          </w:p>
        </w:tc>
      </w:tr>
      <w:tr>
        <w:tc>
          <w:p>
            <w:pPr>
              <w:jc w:val="left"/>
            </w:pPr>
            <w:r>
              <w:rPr>
                <w:rFonts w:ascii="Calibri" w:cs="Calibri" w:eastAsia="Calibri" w:hAnsi="Calibri"/>
                <w:color w:val="1F2937"/>
                <w:sz w:val="22"/>
                <w:szCs w:val="22"/>
              </w:rPr>
              <w:t xml:space="preserve">handicap.gouv.fr — 14e réunion comité stratégique</w:t>
            </w:r>
          </w:p>
        </w:tc>
        <w:tc>
          <w:p>
            <w:pPr>
              <w:jc w:val="center"/>
            </w:pPr>
            <w:r>
              <w:rPr>
                <w:rFonts w:ascii="Calibri" w:cs="Calibri" w:eastAsia="Calibri" w:hAnsi="Calibri"/>
                <w:color w:val="1F2937"/>
                <w:sz w:val="22"/>
                <w:szCs w:val="22"/>
              </w:rPr>
              <w:t xml:space="preserve">✅ Consultée, reprise</w:t>
            </w:r>
          </w:p>
        </w:tc>
        <w:tc>
          <w:p>
            <w:hyperlink w:history="1" r:id="rIdo0iz1er4rmifnzunpxyye">
              <w:r>
                <w:rPr>
                  <w:rFonts w:ascii="Calibri" w:cs="Calibri" w:eastAsia="Calibri" w:hAnsi="Calibri"/>
                  <w:color w:val="1155CC"/>
                  <w:sz w:val="22"/>
                  <w:szCs w:val="22"/>
                  <w:u w:val="single"/>
                </w:rPr>
                <w:t xml:space="preserve">Voir la page</w:t>
              </w:r>
            </w:hyperlink>
          </w:p>
        </w:tc>
        <w:tc>
          <w:p>
            <w:pPr>
              <w:jc w:val="center"/>
            </w:pPr>
            <w:r>
              <w:rPr>
                <w:rFonts w:ascii="Calibri" w:cs="Calibri" w:eastAsia="Calibri" w:hAnsi="Calibri"/>
                <w:color w:val="1F2937"/>
                <w:sz w:val="22"/>
                <w:szCs w:val="22"/>
              </w:rPr>
              <w:t xml:space="preserve">27/03/2026</w:t>
            </w:r>
          </w:p>
        </w:tc>
      </w:tr>
      <w:tr>
        <w:tc>
          <w:tcPr>
            <w:shd w:fill="EEF2F7" w:color="EEF2F7" w:val="solid"/>
          </w:tcPr>
          <w:p>
            <w:pPr>
              <w:jc w:val="left"/>
            </w:pPr>
            <w:r>
              <w:rPr>
                <w:rFonts w:ascii="Calibri" w:cs="Calibri" w:eastAsia="Calibri" w:hAnsi="Calibri"/>
                <w:color w:val="1F2937"/>
                <w:sz w:val="22"/>
                <w:szCs w:val="22"/>
              </w:rPr>
              <w:t xml:space="preserve">cnsa.fr — Recueil d'informations PH 2026</w:t>
            </w:r>
          </w:p>
        </w:tc>
        <w:tc>
          <w:tcPr>
            <w:shd w:fill="EEF2F7" w:color="EEF2F7" w:val="solid"/>
          </w:tcPr>
          <w:p>
            <w:pPr>
              <w:jc w:val="center"/>
            </w:pPr>
            <w:r>
              <w:rPr>
                <w:rFonts w:ascii="Calibri" w:cs="Calibri" w:eastAsia="Calibri" w:hAnsi="Calibri"/>
                <w:color w:val="1F2937"/>
                <w:sz w:val="22"/>
                <w:szCs w:val="22"/>
              </w:rPr>
              <w:t xml:space="preserve">✅ Consultée, reprise</w:t>
            </w:r>
          </w:p>
        </w:tc>
        <w:tc>
          <w:tcPr>
            <w:shd w:fill="EEF2F7" w:color="EEF2F7" w:val="solid"/>
          </w:tcPr>
          <w:p>
            <w:hyperlink w:history="1" r:id="rIdg9ygtrto1ydm0ra5elwcb">
              <w:r>
                <w:rPr>
                  <w:rFonts w:ascii="Calibri" w:cs="Calibri" w:eastAsia="Calibri" w:hAnsi="Calibri"/>
                  <w:color w:val="1155CC"/>
                  <w:sz w:val="22"/>
                  <w:szCs w:val="22"/>
                  <w:u w:val="single"/>
                </w:rPr>
                <w:t xml:space="preserve">Voir la page</w:t>
              </w:r>
            </w:hyperlink>
          </w:p>
        </w:tc>
        <w:tc>
          <w:tcPr>
            <w:shd w:fill="EEF2F7" w:color="EEF2F7" w:val="solid"/>
          </w:tcPr>
          <w:p>
            <w:pPr>
              <w:jc w:val="center"/>
            </w:pPr>
            <w:r>
              <w:rPr>
                <w:rFonts w:ascii="Calibri" w:cs="Calibri" w:eastAsia="Calibri" w:hAnsi="Calibri"/>
                <w:color w:val="1F2937"/>
                <w:sz w:val="22"/>
                <w:szCs w:val="22"/>
              </w:rPr>
              <w:t xml:space="preserve">17/12/2025</w:t>
            </w:r>
          </w:p>
        </w:tc>
      </w:tr>
      <w:tr>
        <w:tc>
          <w:p>
            <w:pPr>
              <w:jc w:val="left"/>
            </w:pPr>
            <w:r>
              <w:rPr>
                <w:rFonts w:ascii="Calibri" w:cs="Calibri" w:eastAsia="Calibri" w:hAnsi="Calibri"/>
                <w:color w:val="1F2937"/>
                <w:sz w:val="22"/>
                <w:szCs w:val="22"/>
              </w:rPr>
              <w:t xml:space="preserve">cnsa.fr — Page institutionnelle SERAFIN-PH</w:t>
            </w:r>
          </w:p>
        </w:tc>
        <w:tc>
          <w:p>
            <w:pPr>
              <w:jc w:val="center"/>
            </w:pPr>
            <w:r>
              <w:rPr>
                <w:rFonts w:ascii="Calibri" w:cs="Calibri" w:eastAsia="Calibri" w:hAnsi="Calibri"/>
                <w:color w:val="1F2937"/>
                <w:sz w:val="22"/>
                <w:szCs w:val="22"/>
              </w:rPr>
              <w:t xml:space="preserve">✅ Consultée, reprise</w:t>
            </w:r>
          </w:p>
        </w:tc>
        <w:tc>
          <w:p>
            <w:hyperlink w:history="1" r:id="rId5cjwbkuft32hvkhmtct0c">
              <w:r>
                <w:rPr>
                  <w:rFonts w:ascii="Calibri" w:cs="Calibri" w:eastAsia="Calibri" w:hAnsi="Calibri"/>
                  <w:color w:val="1155CC"/>
                  <w:sz w:val="22"/>
                  <w:szCs w:val="22"/>
                  <w:u w:val="single"/>
                </w:rPr>
                <w:t xml:space="preserve">Voir la page</w:t>
              </w:r>
            </w:hyperlink>
          </w:p>
        </w:tc>
        <w:tc>
          <w:p>
            <w:pPr>
              <w:jc w:val="center"/>
            </w:pPr>
            <w:r>
              <w:rPr>
                <w:rFonts w:ascii="Calibri" w:cs="Calibri" w:eastAsia="Calibri" w:hAnsi="Calibri"/>
                <w:color w:val="1F2937"/>
                <w:sz w:val="22"/>
                <w:szCs w:val="22"/>
              </w:rPr>
              <w:t xml:space="preserve">Page institutionnelle</w:t>
            </w:r>
          </w:p>
        </w:tc>
      </w:tr>
      <w:tr>
        <w:tc>
          <w:tcPr>
            <w:shd w:fill="EEF2F7" w:color="EEF2F7" w:val="solid"/>
          </w:tcPr>
          <w:p>
            <w:pPr>
              <w:jc w:val="left"/>
            </w:pPr>
            <w:r>
              <w:rPr>
                <w:rFonts w:ascii="Calibri" w:cs="Calibri" w:eastAsia="Calibri" w:hAnsi="Calibri"/>
                <w:color w:val="1F2937"/>
                <w:sz w:val="22"/>
                <w:szCs w:val="22"/>
              </w:rPr>
              <w:t xml:space="preserve">atih.sante.fr — Recueil national PH 2025/2026</w:t>
            </w:r>
          </w:p>
        </w:tc>
        <w:tc>
          <w:tcPr>
            <w:shd w:fill="EEF2F7" w:color="EEF2F7" w:val="solid"/>
          </w:tcPr>
          <w:p>
            <w:pPr>
              <w:jc w:val="center"/>
            </w:pPr>
            <w:r>
              <w:rPr>
                <w:rFonts w:ascii="Calibri" w:cs="Calibri" w:eastAsia="Calibri" w:hAnsi="Calibri"/>
                <w:color w:val="1F2937"/>
                <w:sz w:val="22"/>
                <w:szCs w:val="22"/>
              </w:rPr>
              <w:t xml:space="preserve">⛔ Inaccessible (404)</w:t>
            </w:r>
          </w:p>
        </w:tc>
        <w:tc>
          <w:tcPr>
            <w:shd w:fill="EEF2F7" w:color="EEF2F7" w:val="solid"/>
          </w:tcPr>
          <w:p>
            <w:pPr>
              <w:jc w:val="left"/>
            </w:pPr>
            <w:r>
              <w:rPr>
                <w:rFonts w:ascii="Calibri" w:cs="Calibri" w:eastAsia="Calibri" w:hAnsi="Calibri"/>
                <w:color w:val="1F2937"/>
                <w:sz w:val="22"/>
                <w:szCs w:val="22"/>
              </w:rPr>
              <w:t xml:space="preserve">atih.sante.fr — URL 404</w:t>
            </w:r>
          </w:p>
        </w:tc>
        <w:tc>
          <w:tcPr>
            <w:shd w:fill="EEF2F7" w:color="EEF2F7" w:val="solid"/>
          </w:tcPr>
          <w:p>
            <w:pPr>
              <w:jc w:val="center"/>
            </w:pPr>
            <w:r>
              <w:rPr>
                <w:rFonts w:ascii="Calibri" w:cs="Calibri" w:eastAsia="Calibri" w:hAnsi="Calibri"/>
                <w:color w:val="1F2937"/>
                <w:sz w:val="22"/>
                <w:szCs w:val="22"/>
              </w:rPr>
              <w:t xml:space="preserve">—</w:t>
            </w:r>
          </w:p>
        </w:tc>
      </w:tr>
    </w:tbl>
    <w:p>
      <w:pPr>
        <w:spacing w:after="80" w:before="80"/>
      </w:pPr>
    </w:p>
    <w:p>
      <w:pPr>
        <w:pStyle w:val="Heading1"/>
        <w:spacing w:after="100" w:before="200"/>
      </w:pPr>
      <w:r>
        <w:rPr>
          <w:rFonts w:ascii="Calibri" w:cs="Calibri" w:eastAsia="Calibri" w:hAnsi="Calibri"/>
          <w:b/>
          <w:bCs/>
          <w:color w:val="1B3A6B"/>
          <w:sz w:val="28"/>
          <w:szCs w:val="28"/>
        </w:rPr>
        <w:t xml:space="preserve">🔵 En bref — Tableau de bord</w:t>
      </w:r>
    </w:p>
    <w:p>
      <w:pPr>
        <w:spacing w:after="80" w:before="60"/>
      </w:pPr>
      <w:r>
        <w:rPr>
          <w:rFonts w:ascii="Calibri" w:cs="Calibri" w:eastAsia="Calibri" w:hAnsi="Calibri"/>
          <w:b/>
          <w:bCs/>
          <w:color w:val="7B3F00"/>
          <w:sz w:val="22"/>
          <w:szCs w:val="22"/>
        </w:rPr>
        <w:t xml:space="preserve">⚠️ Semaine creuse (30/09 – 07/10/2026) : aucune publication nouvelle identifiée sur les sources institutionnelles (handicap.gouv.fr, cnsa.fr, atih.sante.fr). La note présente le contexte de référence le plus récent.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Thème</w:t>
            </w:r>
          </w:p>
        </w:tc>
        <w:tc>
          <w:tcPr>
            <w:gridSpan w:val="1"/>
            <w:shd w:fill="1B3A6B" w:color="1B3A6B" w:val="solid"/>
          </w:tcPr>
          <w:p>
            <w:pPr>
              <w:jc w:val="center"/>
            </w:pPr>
            <w:r>
              <w:rPr>
                <w:rFonts w:ascii="Calibri" w:cs="Calibri" w:eastAsia="Calibri" w:hAnsi="Calibri"/>
                <w:b/>
                <w:bCs/>
                <w:color w:val="FFFFFF"/>
                <w:sz w:val="22"/>
                <w:szCs w:val="22"/>
              </w:rPr>
              <w:t xml:space="preserve">Statut</w:t>
            </w:r>
          </w:p>
        </w:tc>
        <w:tc>
          <w:tcPr>
            <w:gridSpan w:val="1"/>
            <w:shd w:fill="1B3A6B" w:color="1B3A6B" w:val="solid"/>
          </w:tcPr>
          <w:p>
            <w:pPr>
              <w:jc w:val="center"/>
            </w:pPr>
            <w:r>
              <w:rPr>
                <w:rFonts w:ascii="Calibri" w:cs="Calibri" w:eastAsia="Calibri" w:hAnsi="Calibri"/>
                <w:b/>
                <w:bCs/>
                <w:color w:val="FFFFFF"/>
                <w:sz w:val="22"/>
                <w:szCs w:val="22"/>
              </w:rPr>
              <w:t xml:space="preserve">Échéance</w:t>
            </w:r>
          </w:p>
        </w:tc>
      </w:tr>
      <w:tr>
        <w:tc>
          <w:p>
            <w:pPr>
              <w:jc w:val="left"/>
            </w:pPr>
            <w:r>
              <w:rPr>
                <w:rFonts w:ascii="Calibri" w:cs="Calibri" w:eastAsia="Calibri" w:hAnsi="Calibri"/>
                <w:color w:val="1F2937"/>
                <w:sz w:val="22"/>
                <w:szCs w:val="22"/>
              </w:rPr>
              <w:t xml:space="preserve">Déploiement opérationnel SERAFIN-PH (secteur enfants)</w:t>
            </w:r>
          </w:p>
        </w:tc>
        <w:tc>
          <w:p>
            <w:pPr>
              <w:jc w:val="left"/>
            </w:pPr>
            <w:r>
              <w:rPr>
                <w:rFonts w:ascii="Calibri" w:cs="Calibri" w:eastAsia="Calibri" w:hAnsi="Calibri"/>
                <w:color w:val="1F2937"/>
                <w:sz w:val="22"/>
                <w:szCs w:val="22"/>
              </w:rPr>
              <w:t xml:space="preserve">✅ Confirmé au 1er janvier 2027</w:t>
            </w:r>
          </w:p>
        </w:tc>
        <w:tc>
          <w:p>
            <w:pPr>
              <w:jc w:val="left"/>
            </w:pPr>
            <w:r>
              <w:rPr>
                <w:rFonts w:ascii="Calibri" w:cs="Calibri" w:eastAsia="Calibri" w:hAnsi="Calibri"/>
                <w:color w:val="1F2937"/>
                <w:sz w:val="22"/>
                <w:szCs w:val="22"/>
              </w:rPr>
              <w:t xml:space="preserve">1er janvier 2027</w:t>
            </w:r>
          </w:p>
        </w:tc>
      </w:tr>
      <w:tr>
        <w:tc>
          <w:tcPr>
            <w:shd w:fill="EEF2F7" w:color="EEF2F7" w:val="solid"/>
          </w:tcPr>
          <w:p>
            <w:pPr>
              <w:jc w:val="left"/>
            </w:pPr>
            <w:r>
              <w:rPr>
                <w:rFonts w:ascii="Calibri" w:cs="Calibri" w:eastAsia="Calibri" w:hAnsi="Calibri"/>
                <w:color w:val="1F2937"/>
                <w:sz w:val="22"/>
                <w:szCs w:val="22"/>
              </w:rPr>
              <w:t xml:space="preserve">Recueil de données PH 2026 — Phase 1 (caractéristiques des places)</w:t>
            </w:r>
          </w:p>
        </w:tc>
        <w:tc>
          <w:tcPr>
            <w:shd w:fill="EEF2F7" w:color="EEF2F7" w:val="solid"/>
          </w:tcPr>
          <w:p>
            <w:pPr>
              <w:jc w:val="left"/>
            </w:pPr>
            <w:r>
              <w:rPr>
                <w:rFonts w:ascii="Calibri" w:cs="Calibri" w:eastAsia="Calibri" w:hAnsi="Calibri"/>
                <w:color w:val="1F2937"/>
                <w:sz w:val="22"/>
                <w:szCs w:val="22"/>
              </w:rPr>
              <w:t xml:space="preserve">✅ Terminée (mars 2026)</w:t>
            </w:r>
          </w:p>
        </w:tc>
        <w:tc>
          <w:tcPr>
            <w:shd w:fill="EEF2F7" w:color="EEF2F7" w:val="solid"/>
          </w:tcPr>
          <w:p>
            <w:pPr>
              <w:jc w:val="left"/>
            </w:pPr>
            <w:r>
              <w:rPr>
                <w:rFonts w:ascii="Calibri" w:cs="Calibri" w:eastAsia="Calibri" w:hAnsi="Calibri"/>
                <w:color w:val="1F2937"/>
                <w:sz w:val="22"/>
                <w:szCs w:val="22"/>
              </w:rPr>
              <w:t xml:space="preserve">Terminée</w:t>
            </w:r>
          </w:p>
        </w:tc>
      </w:tr>
      <w:tr>
        <w:tc>
          <w:p>
            <w:pPr>
              <w:jc w:val="left"/>
            </w:pPr>
            <w:r>
              <w:rPr>
                <w:rFonts w:ascii="Calibri" w:cs="Calibri" w:eastAsia="Calibri" w:hAnsi="Calibri"/>
                <w:color w:val="1F2937"/>
                <w:sz w:val="22"/>
                <w:szCs w:val="22"/>
              </w:rPr>
              <w:t xml:space="preserve">Recueil de données PH 2026 — Phase 2 (dotation complémentaire)</w:t>
            </w:r>
          </w:p>
        </w:tc>
        <w:tc>
          <w:p>
            <w:pPr>
              <w:jc w:val="left"/>
            </w:pPr>
            <w:r>
              <w:rPr>
                <w:rFonts w:ascii="Calibri" w:cs="Calibri" w:eastAsia="Calibri" w:hAnsi="Calibri"/>
                <w:color w:val="1F2937"/>
                <w:sz w:val="22"/>
                <w:szCs w:val="22"/>
              </w:rPr>
              <w:t xml:space="preserve">✅ Terminée (mai 2026)</w:t>
            </w:r>
          </w:p>
        </w:tc>
        <w:tc>
          <w:p>
            <w:pPr>
              <w:jc w:val="left"/>
            </w:pPr>
            <w:r>
              <w:rPr>
                <w:rFonts w:ascii="Calibri" w:cs="Calibri" w:eastAsia="Calibri" w:hAnsi="Calibri"/>
                <w:color w:val="1F2937"/>
                <w:sz w:val="22"/>
                <w:szCs w:val="22"/>
              </w:rPr>
              <w:t xml:space="preserve">Terminée</w:t>
            </w:r>
          </w:p>
        </w:tc>
      </w:tr>
      <w:tr>
        <w:tc>
          <w:tcPr>
            <w:shd w:fill="EEF2F7" w:color="EEF2F7" w:val="solid"/>
          </w:tcPr>
          <w:p>
            <w:pPr>
              <w:jc w:val="left"/>
            </w:pPr>
            <w:r>
              <w:rPr>
                <w:rFonts w:ascii="Calibri" w:cs="Calibri" w:eastAsia="Calibri" w:hAnsi="Calibri"/>
                <w:color w:val="1F2937"/>
                <w:sz w:val="22"/>
                <w:szCs w:val="22"/>
              </w:rPr>
              <w:t xml:space="preserve">Validation et traitement des données collectées</w:t>
            </w:r>
          </w:p>
        </w:tc>
        <w:tc>
          <w:tcPr>
            <w:shd w:fill="EEF2F7" w:color="EEF2F7" w:val="solid"/>
          </w:tcPr>
          <w:p>
            <w:pPr>
              <w:jc w:val="left"/>
            </w:pPr>
            <w:r>
              <w:rPr>
                <w:rFonts w:ascii="Calibri" w:cs="Calibri" w:eastAsia="Calibri" w:hAnsi="Calibri"/>
                <w:color w:val="1F2937"/>
                <w:sz w:val="22"/>
                <w:szCs w:val="22"/>
              </w:rPr>
              <w:t xml:space="preserve">🔄 En cours (automne 2026)</w:t>
            </w:r>
          </w:p>
        </w:tc>
        <w:tc>
          <w:tcPr>
            <w:shd w:fill="EEF2F7" w:color="EEF2F7" w:val="solid"/>
          </w:tcPr>
          <w:p>
            <w:pPr>
              <w:jc w:val="left"/>
            </w:pPr>
            <w:r>
              <w:rPr>
                <w:rFonts w:ascii="Calibri" w:cs="Calibri" w:eastAsia="Calibri" w:hAnsi="Calibri"/>
                <w:color w:val="1F2937"/>
                <w:sz w:val="22"/>
                <w:szCs w:val="22"/>
              </w:rPr>
              <w:t xml:space="preserve">Automne 2026</w:t>
            </w:r>
          </w:p>
        </w:tc>
      </w:tr>
      <w:tr>
        <w:tc>
          <w:p>
            <w:pPr>
              <w:jc w:val="left"/>
            </w:pPr>
            <w:r>
              <w:rPr>
                <w:rFonts w:ascii="Calibri" w:cs="Calibri" w:eastAsia="Calibri" w:hAnsi="Calibri"/>
                <w:color w:val="1F2937"/>
                <w:sz w:val="22"/>
                <w:szCs w:val="22"/>
              </w:rPr>
              <w:t xml:space="preserve">Transmission des simulations financières aux ESMS</w:t>
            </w:r>
          </w:p>
        </w:tc>
        <w:tc>
          <w:p>
            <w:pPr>
              <w:jc w:val="left"/>
            </w:pPr>
            <w:r>
              <w:rPr>
                <w:rFonts w:ascii="Calibri" w:cs="Calibri" w:eastAsia="Calibri" w:hAnsi="Calibri"/>
                <w:color w:val="1F2937"/>
                <w:sz w:val="22"/>
                <w:szCs w:val="22"/>
              </w:rPr>
              <w:t xml:space="preserve">🔄 En cours (automne 2026)</w:t>
            </w:r>
          </w:p>
        </w:tc>
        <w:tc>
          <w:p>
            <w:pPr>
              <w:jc w:val="left"/>
            </w:pPr>
            <w:r>
              <w:rPr>
                <w:rFonts w:ascii="Calibri" w:cs="Calibri" w:eastAsia="Calibri" w:hAnsi="Calibri"/>
                <w:color w:val="1F2937"/>
                <w:sz w:val="22"/>
                <w:szCs w:val="22"/>
              </w:rPr>
              <w:t xml:space="preserve">Automne 2026</w:t>
            </w:r>
          </w:p>
        </w:tc>
      </w:tr>
      <w:tr>
        <w:tc>
          <w:tcPr>
            <w:shd w:fill="EEF2F7" w:color="EEF2F7" w:val="solid"/>
          </w:tcPr>
          <w:p>
            <w:pPr>
              <w:jc w:val="left"/>
            </w:pPr>
            <w:r>
              <w:rPr>
                <w:rFonts w:ascii="Calibri" w:cs="Calibri" w:eastAsia="Calibri" w:hAnsi="Calibri"/>
                <w:color w:val="1F2937"/>
                <w:sz w:val="22"/>
                <w:szCs w:val="22"/>
              </w:rPr>
              <w:t xml:space="preserve">SIDOBA — Outil de saisie des données SERAFIN-PH</w:t>
            </w:r>
          </w:p>
        </w:tc>
        <w:tc>
          <w:tcPr>
            <w:shd w:fill="EEF2F7" w:color="EEF2F7" w:val="solid"/>
          </w:tcPr>
          <w:p>
            <w:pPr>
              <w:jc w:val="left"/>
            </w:pPr>
            <w:r>
              <w:rPr>
                <w:rFonts w:ascii="Calibri" w:cs="Calibri" w:eastAsia="Calibri" w:hAnsi="Calibri"/>
                <w:color w:val="1F2937"/>
                <w:sz w:val="22"/>
                <w:szCs w:val="22"/>
              </w:rPr>
              <w:t xml:space="preserve">✅ Ouvert aux ESMS et ARS depuis le 30/03/2026</w:t>
            </w:r>
          </w:p>
        </w:tc>
        <w:tc>
          <w:tcPr>
            <w:shd w:fill="EEF2F7" w:color="EEF2F7" w:val="solid"/>
          </w:tcPr>
          <w:p>
            <w:pPr>
              <w:jc w:val="left"/>
            </w:pPr>
            <w:r>
              <w:rPr>
                <w:rFonts w:ascii="Calibri" w:cs="Calibri" w:eastAsia="Calibri" w:hAnsi="Calibri"/>
                <w:color w:val="1F2937"/>
                <w:sz w:val="22"/>
                <w:szCs w:val="22"/>
              </w:rPr>
              <w:t xml:space="preserve">Opérationnel</w:t>
            </w:r>
          </w:p>
        </w:tc>
      </w:tr>
    </w:tbl>
    <w:p>
      <w:pPr>
        <w:spacing w:after="80" w:before="80"/>
      </w:pPr>
    </w:p>
    <w:p>
      <w:pPr>
        <w:pStyle w:val="Heading1"/>
        <w:spacing w:after="100" w:before="200"/>
      </w:pPr>
      <w:r>
        <w:rPr>
          <w:rFonts w:ascii="Calibri" w:cs="Calibri" w:eastAsia="Calibri" w:hAnsi="Calibri"/>
          <w:b/>
          <w:bCs/>
          <w:color w:val="1B3A6B"/>
          <w:sz w:val="28"/>
          <w:szCs w:val="28"/>
        </w:rPr>
        <w:t xml:space="preserve">📋 Source 1 — handicap.gouv.fr : 14e réunion du comité stratégique</w:t>
      </w:r>
    </w:p>
    <w:p>
      <w:pPr>
        <w:pStyle w:val="Heading2"/>
        <w:spacing w:after="80" w:before="160"/>
      </w:pPr>
      <w:r>
        <w:rPr>
          <w:rFonts w:ascii="Calibri" w:cs="Calibri" w:eastAsia="Calibri" w:hAnsi="Calibri"/>
          <w:b/>
          <w:bCs/>
          <w:color w:val="1B3A6B"/>
          <w:sz w:val="26"/>
          <w:szCs w:val="26"/>
        </w:rPr>
        <w:t xml:space="preserve">Réunion du 23 mars 2026 — article publié le 27 mars 2026</w:t>
      </w:r>
    </w:p>
    <w:p>
      <w:pPr>
        <w:spacing w:after="60" w:before="60"/>
        <w:jc w:val="left"/>
      </w:pPr>
      <w:r>
        <w:rPr>
          <w:rFonts w:ascii="Calibri" w:cs="Calibri" w:eastAsia="Calibri" w:hAnsi="Calibri"/>
          <w:b/>
          <w:bCs/>
          <w:i w:val="false"/>
          <w:iCs w:val="false"/>
          <w:color w:val="1F2937"/>
          <w:sz w:val="22"/>
          <w:szCs w:val="22"/>
        </w:rPr>
        <w:t xml:space="preserve">Présidence : </w:t>
      </w:r>
      <w:r>
        <w:rPr>
          <w:rFonts w:ascii="Calibri" w:cs="Calibri" w:eastAsia="Calibri" w:hAnsi="Calibri"/>
          <w:b w:val="false"/>
          <w:bCs w:val="false"/>
          <w:i w:val="false"/>
          <w:iCs w:val="false"/>
          <w:color w:val="1F2937"/>
          <w:sz w:val="22"/>
          <w:szCs w:val="22"/>
        </w:rPr>
        <w:t xml:space="preserve">Camille Galliard-Minier, ministre déléguée chargée de l'Autonomie et des Personnes handicapées.</w:t>
      </w:r>
    </w:p>
    <w:p>
      <w:pPr>
        <w:spacing w:after="60" w:before="60"/>
        <w:jc w:val="left"/>
      </w:pPr>
      <w:r>
        <w:rPr>
          <w:rFonts w:ascii="Calibri" w:cs="Calibri" w:eastAsia="Calibri" w:hAnsi="Calibri"/>
          <w:b/>
          <w:bCs/>
          <w:i w:val="false"/>
          <w:iCs w:val="false"/>
          <w:color w:val="1F2937"/>
          <w:sz w:val="22"/>
          <w:szCs w:val="22"/>
        </w:rPr>
        <w:t xml:space="preserve">Décision principale : </w:t>
      </w:r>
      <w:r>
        <w:rPr>
          <w:rFonts w:ascii="Calibri" w:cs="Calibri" w:eastAsia="Calibri" w:hAnsi="Calibri"/>
          <w:b w:val="false"/>
          <w:bCs w:val="false"/>
          <w:i w:val="false"/>
          <w:iCs w:val="false"/>
          <w:color w:val="1F2937"/>
          <w:sz w:val="22"/>
          <w:szCs w:val="22"/>
        </w:rPr>
        <w:t xml:space="preserve">Confirmation de la mise en œuvre opérationnelle de la réforme tarifaire au </w:t>
      </w:r>
      <w:r>
        <w:rPr>
          <w:rFonts w:ascii="Calibri" w:cs="Calibri" w:eastAsia="Calibri" w:hAnsi="Calibri"/>
          <w:b/>
          <w:bCs/>
          <w:i w:val="false"/>
          <w:iCs w:val="false"/>
          <w:color w:val="1F2937"/>
          <w:sz w:val="22"/>
          <w:szCs w:val="22"/>
        </w:rPr>
        <w:t xml:space="preserve">1er janvier 2027</w:t>
      </w:r>
      <w:r>
        <w:rPr>
          <w:rFonts w:ascii="Calibri" w:cs="Calibri" w:eastAsia="Calibri" w:hAnsi="Calibri"/>
          <w:b w:val="false"/>
          <w:bCs w:val="false"/>
          <w:i w:val="false"/>
          <w:iCs w:val="false"/>
          <w:color w:val="1F2937"/>
          <w:sz w:val="22"/>
          <w:szCs w:val="22"/>
        </w:rPr>
        <w:t xml:space="preserve"> pour les ESMS du secteur enfants et adolescents en situation de handicap.</w:t>
      </w:r>
    </w:p>
    <w:p>
      <w:pPr>
        <w:spacing w:after="60" w:before="60"/>
        <w:jc w:val="left"/>
      </w:pPr>
      <w:r>
        <w:rPr>
          <w:rFonts w:ascii="Calibri" w:cs="Calibri" w:eastAsia="Calibri" w:hAnsi="Calibri"/>
          <w:b/>
          <w:bCs/>
          <w:i w:val="false"/>
          <w:iCs w:val="false"/>
          <w:color w:val="1F2937"/>
          <w:sz w:val="22"/>
          <w:szCs w:val="22"/>
        </w:rPr>
        <w:t xml:space="preserve">Étapes annoncées lors du comité :</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Lancement du recueil de données le 30 mars 2026 (SIDOBA ouverte aux établissements et aux ARS).</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Mobilisation des ARS et des établissements jusqu'à l'automne 2026 pour la saisie et la validation des données.</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Transmission des simulations financières aux ESMS à l'issue de la validation des données (automne 2026).</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Déploiement de l'accompagnement : webinaires, réunions régionales, ressources pédagogiques.</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Structuration d'un programme de formation en cours.</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wluawa06yqo6z0un6eqo">
        <w:r>
          <w:rPr>
            <w:rFonts w:ascii="Calibri" w:cs="Calibri" w:eastAsia="Calibri" w:hAnsi="Calibri"/>
            <w:color w:val="1155CC"/>
            <w:sz w:val="22"/>
            <w:szCs w:val="22"/>
            <w:u w:val="single"/>
          </w:rPr>
          <w:t xml:space="preserve">handicap.gouv.fr — 14e réunion du comité stratégique (27/03/2026)</w:t>
        </w:r>
      </w:hyperlink>
    </w:p>
    <w:p>
      <w:pPr>
        <w:spacing w:after="80" w:before="80"/>
      </w:pPr>
    </w:p>
    <w:p>
      <w:pPr>
        <w:pStyle w:val="Heading1"/>
        <w:spacing w:after="100" w:before="200"/>
      </w:pPr>
      <w:r>
        <w:rPr>
          <w:rFonts w:ascii="Calibri" w:cs="Calibri" w:eastAsia="Calibri" w:hAnsi="Calibri"/>
          <w:b/>
          <w:bCs/>
          <w:color w:val="1B3A6B"/>
          <w:sz w:val="28"/>
          <w:szCs w:val="28"/>
        </w:rPr>
        <w:t xml:space="preserve">📋 Source 2 — cnsa.fr : Recueil d'informations PH 2026</w:t>
      </w:r>
    </w:p>
    <w:p>
      <w:pPr>
        <w:pStyle w:val="Heading2"/>
        <w:spacing w:after="80" w:before="160"/>
      </w:pPr>
      <w:r>
        <w:rPr>
          <w:rFonts w:ascii="Calibri" w:cs="Calibri" w:eastAsia="Calibri" w:hAnsi="Calibri"/>
          <w:b/>
          <w:bCs/>
          <w:color w:val="1B3A6B"/>
          <w:sz w:val="26"/>
          <w:szCs w:val="26"/>
        </w:rPr>
        <w:t xml:space="preserve">Publication du 17 décembre 2025</w:t>
      </w:r>
    </w:p>
    <w:p>
      <w:pPr>
        <w:spacing w:after="60" w:before="60"/>
        <w:jc w:val="left"/>
      </w:pPr>
      <w:r>
        <w:rPr>
          <w:rFonts w:ascii="Calibri" w:cs="Calibri" w:eastAsia="Calibri" w:hAnsi="Calibri"/>
          <w:b/>
          <w:bCs/>
          <w:i w:val="false"/>
          <w:iCs w:val="false"/>
          <w:color w:val="1F2937"/>
          <w:sz w:val="22"/>
          <w:szCs w:val="22"/>
        </w:rPr>
        <w:t xml:space="preserve">Objectif : </w:t>
      </w:r>
      <w:r>
        <w:rPr>
          <w:rFonts w:ascii="Calibri" w:cs="Calibri" w:eastAsia="Calibri" w:hAnsi="Calibri"/>
          <w:b w:val="false"/>
          <w:bCs w:val="false"/>
          <w:i w:val="false"/>
          <w:iCs w:val="false"/>
          <w:color w:val="1F2937"/>
          <w:sz w:val="22"/>
          <w:szCs w:val="22"/>
        </w:rPr>
        <w:t xml:space="preserve">Recueillir environ 40 variables nécessaires à l'initialisation du modèle de financement SERAFIN-PH. Ce recueil s'inscrit dans une logique d'année blanche (sans incidence sur le financement des structures en 2026), le déploiement effectif intervenant en 2027.</w:t>
      </w:r>
    </w:p>
    <w:p>
      <w:pPr>
        <w:spacing w:after="60" w:before="60"/>
        <w:jc w:val="left"/>
      </w:pPr>
      <w:r>
        <w:rPr>
          <w:rFonts w:ascii="Calibri" w:cs="Calibri" w:eastAsia="Calibri" w:hAnsi="Calibri"/>
          <w:b/>
          <w:bCs/>
          <w:i w:val="false"/>
          <w:iCs w:val="false"/>
          <w:color w:val="1F2937"/>
          <w:sz w:val="22"/>
          <w:szCs w:val="22"/>
        </w:rPr>
        <w:t xml:space="preserve">Deux phases au printemps 2026 :</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Phase 1 (mars 2026) : caractéristiques des places — TERMINÉE.</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Phase 2 (mai 2026) : indicateurs de modulation de l'activité (une dizaine de variables) et de la dotation complémentaire (six variables) — TERMINÉE.</w:t>
      </w:r>
    </w:p>
    <w:p>
      <w:pPr>
        <w:spacing w:after="60" w:before="60"/>
        <w:jc w:val="left"/>
      </w:pPr>
      <w:r>
        <w:rPr>
          <w:rFonts w:ascii="Calibri" w:cs="Calibri" w:eastAsia="Calibri" w:hAnsi="Calibri"/>
          <w:b/>
          <w:bCs/>
          <w:i w:val="false"/>
          <w:iCs w:val="false"/>
          <w:color w:val="1F2937"/>
          <w:sz w:val="22"/>
          <w:szCs w:val="22"/>
        </w:rPr>
        <w:t xml:space="preserve">Acteurs impliqués : </w:t>
      </w:r>
      <w:r>
        <w:rPr>
          <w:rFonts w:ascii="Calibri" w:cs="Calibri" w:eastAsia="Calibri" w:hAnsi="Calibri"/>
          <w:b w:val="false"/>
          <w:bCs w:val="false"/>
          <w:i w:val="false"/>
          <w:iCs w:val="false"/>
          <w:color w:val="1F2937"/>
          <w:sz w:val="22"/>
          <w:szCs w:val="22"/>
        </w:rPr>
        <w:t xml:space="preserve">CNSA, DGCS, ARS, établissements et services médico-sociaux.</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_30lf6myu7vyuc3bdpvbl">
        <w:r>
          <w:rPr>
            <w:rFonts w:ascii="Calibri" w:cs="Calibri" w:eastAsia="Calibri" w:hAnsi="Calibri"/>
            <w:color w:val="1155CC"/>
            <w:sz w:val="22"/>
            <w:szCs w:val="22"/>
            <w:u w:val="single"/>
          </w:rPr>
          <w:t xml:space="preserve">cnsa.fr — Préparation du recueil PH 2026 (17/12/2025)</w:t>
        </w:r>
      </w:hyperlink>
    </w:p>
    <w:p>
      <w:pPr>
        <w:spacing w:after="80" w:before="80"/>
      </w:pPr>
    </w:p>
    <w:p>
      <w:pPr>
        <w:pStyle w:val="Heading1"/>
        <w:spacing w:after="100" w:before="200"/>
      </w:pPr>
      <w:r>
        <w:rPr>
          <w:rFonts w:ascii="Calibri" w:cs="Calibri" w:eastAsia="Calibri" w:hAnsi="Calibri"/>
          <w:b/>
          <w:bCs/>
          <w:color w:val="1B3A6B"/>
          <w:sz w:val="28"/>
          <w:szCs w:val="28"/>
        </w:rPr>
        <w:t xml:space="preserve">📋 Source 3 — cnsa.fr : Page institutionnelle SERAFIN-PH</w:t>
      </w:r>
    </w:p>
    <w:p>
      <w:pPr>
        <w:spacing w:after="60" w:before="60"/>
        <w:jc w:val="left"/>
      </w:pPr>
      <w:r>
        <w:rPr>
          <w:rFonts w:ascii="Calibri" w:cs="Calibri" w:eastAsia="Calibri" w:hAnsi="Calibri"/>
          <w:b w:val="false"/>
          <w:bCs w:val="false"/>
          <w:i w:val="false"/>
          <w:iCs w:val="false"/>
          <w:color w:val="1F2937"/>
          <w:sz w:val="22"/>
          <w:szCs w:val="22"/>
        </w:rPr>
        <w:t xml:space="preserve">La page institutionnelle de la CNSA confirme que le recueil ciblé 2026 s'est conduit entre mars et début juillet 2026. Elle mentionne également un </w:t>
      </w:r>
      <w:r>
        <w:rPr>
          <w:rFonts w:ascii="Calibri" w:cs="Calibri" w:eastAsia="Calibri" w:hAnsi="Calibri"/>
          <w:b/>
          <w:bCs/>
          <w:i w:val="false"/>
          <w:iCs w:val="false"/>
          <w:color w:val="1F2937"/>
          <w:sz w:val="22"/>
          <w:szCs w:val="22"/>
        </w:rPr>
        <w:t xml:space="preserve">décret du 13 mai 2026</w:t>
      </w:r>
      <w:r>
        <w:rPr>
          <w:rFonts w:ascii="Calibri" w:cs="Calibri" w:eastAsia="Calibri" w:hAnsi="Calibri"/>
          <w:b w:val="false"/>
          <w:bCs w:val="false"/>
          <w:i w:val="false"/>
          <w:iCs w:val="false"/>
          <w:color w:val="1F2937"/>
          <w:sz w:val="22"/>
          <w:szCs w:val="22"/>
        </w:rPr>
        <w:t xml:space="preserve"> précisant les modalités de transmission des données </w:t>
      </w:r>
      <w:r>
        <w:rPr>
          <w:rFonts w:ascii="Calibri" w:cs="Calibri" w:eastAsia="Calibri" w:hAnsi="Calibri"/>
          <w:b w:val="false"/>
          <w:bCs w:val="false"/>
          <w:i/>
          <w:iCs/>
          <w:color w:val="1F2937"/>
          <w:sz w:val="22"/>
          <w:szCs w:val="22"/>
        </w:rPr>
        <w:t xml:space="preserve">(source secondaire — décret non consulté directement ; texte sur legifrance.fr non vérifié dans cette exécution).</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bqpcfcvcngwcz1ac0jr3w">
        <w:r>
          <w:rPr>
            <w:rFonts w:ascii="Calibri" w:cs="Calibri" w:eastAsia="Calibri" w:hAnsi="Calibri"/>
            <w:color w:val="1155CC"/>
            <w:sz w:val="22"/>
            <w:szCs w:val="22"/>
            <w:u w:val="single"/>
          </w:rPr>
          <w:t xml:space="preserve">cnsa.fr — SERAFIN-PH (page institutionnelle)</w:t>
        </w:r>
      </w:hyperlink>
    </w:p>
    <w:p>
      <w:pPr>
        <w:spacing w:after="80" w:before="80"/>
      </w:pPr>
    </w:p>
    <w:p>
      <w:pPr>
        <w:pStyle w:val="Heading1"/>
        <w:spacing w:after="100" w:before="20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 Point</w:t>
            </w:r>
          </w:p>
        </w:tc>
        <w:tc>
          <w:tcPr>
            <w:gridSpan w:val="1"/>
            <w:shd w:fill="1B3A6B" w:color="1B3A6B" w:val="solid"/>
          </w:tcPr>
          <w:p>
            <w:pPr>
              <w:jc w:val="center"/>
            </w:pPr>
            <w:r>
              <w:rPr>
                <w:rFonts w:ascii="Calibri" w:cs="Calibri" w:eastAsia="Calibri" w:hAnsi="Calibri"/>
                <w:b/>
                <w:bCs/>
                <w:color w:val="FFFFFF"/>
                <w:sz w:val="22"/>
                <w:szCs w:val="22"/>
              </w:rPr>
              <w:t xml:space="preserve">Détail pratique</w:t>
            </w:r>
          </w:p>
        </w:tc>
      </w:tr>
      <w:tr>
        <w:tc>
          <w:p>
            <w:pPr>
              <w:jc w:val="left"/>
            </w:pPr>
            <w:r>
              <w:rPr>
                <w:rFonts w:ascii="Calibri" w:cs="Calibri" w:eastAsia="Calibri" w:hAnsi="Calibri"/>
                <w:color w:val="1F2937"/>
                <w:sz w:val="22"/>
                <w:szCs w:val="22"/>
              </w:rPr>
              <w:t xml:space="preserve">Simulations financières imminentes</w:t>
            </w:r>
          </w:p>
        </w:tc>
        <w:tc>
          <w:p>
            <w:pPr>
              <w:jc w:val="left"/>
            </w:pPr>
            <w:r>
              <w:rPr>
                <w:rFonts w:ascii="Calibri" w:cs="Calibri" w:eastAsia="Calibri" w:hAnsi="Calibri"/>
                <w:color w:val="1F2937"/>
                <w:sz w:val="22"/>
                <w:szCs w:val="22"/>
              </w:rPr>
              <w:t xml:space="preserve">La transmission des simulations financières aux ESMS est attendue en automne 2026, à l'issue de la validation des données. Les directions doivent anticiper la réception et l'analyse de ces simulations dès cette période.</w:t>
            </w:r>
          </w:p>
        </w:tc>
      </w:tr>
      <w:tr>
        <w:tc>
          <w:tcPr>
            <w:shd w:fill="EEF2F7" w:color="EEF2F7" w:val="solid"/>
          </w:tcPr>
          <w:p>
            <w:pPr>
              <w:jc w:val="left"/>
            </w:pPr>
            <w:r>
              <w:rPr>
                <w:rFonts w:ascii="Calibri" w:cs="Calibri" w:eastAsia="Calibri" w:hAnsi="Calibri"/>
                <w:color w:val="1F2937"/>
                <w:sz w:val="22"/>
                <w:szCs w:val="22"/>
              </w:rPr>
              <w:t xml:space="preserve">SIDOBA opérationnelle</w:t>
            </w:r>
          </w:p>
        </w:tc>
        <w:tc>
          <w:tcPr>
            <w:shd w:fill="EEF2F7" w:color="EEF2F7" w:val="solid"/>
          </w:tcPr>
          <w:p>
            <w:pPr>
              <w:jc w:val="left"/>
            </w:pPr>
            <w:r>
              <w:rPr>
                <w:rFonts w:ascii="Calibri" w:cs="Calibri" w:eastAsia="Calibri" w:hAnsi="Calibri"/>
                <w:color w:val="1F2937"/>
                <w:sz w:val="22"/>
                <w:szCs w:val="22"/>
              </w:rPr>
              <w:t xml:space="preserve">L'outil de saisie SIDOBA SERAFIN est ouvert aux établissements et aux ARS depuis le 30 mars 2026. Vérifier que votre établissement a bien finalisé la saisie des deux phases du recueil PH 2026.</w:t>
            </w:r>
          </w:p>
        </w:tc>
      </w:tr>
      <w:tr>
        <w:tc>
          <w:p>
            <w:pPr>
              <w:jc w:val="left"/>
            </w:pPr>
            <w:r>
              <w:rPr>
                <w:rFonts w:ascii="Calibri" w:cs="Calibri" w:eastAsia="Calibri" w:hAnsi="Calibri"/>
                <w:color w:val="1F2937"/>
                <w:sz w:val="22"/>
                <w:szCs w:val="22"/>
              </w:rPr>
              <w:t xml:space="preserve">Déploiement limité au secteur enfants en 2027</w:t>
            </w:r>
          </w:p>
        </w:tc>
        <w:tc>
          <w:p>
            <w:pPr>
              <w:jc w:val="left"/>
            </w:pPr>
            <w:r>
              <w:rPr>
                <w:rFonts w:ascii="Calibri" w:cs="Calibri" w:eastAsia="Calibri" w:hAnsi="Calibri"/>
                <w:color w:val="1F2937"/>
                <w:sz w:val="22"/>
                <w:szCs w:val="22"/>
              </w:rPr>
              <w:t xml:space="preserve">La mise en œuvre opérationnelle au 1er janvier 2027 concerne les ESMS accompagnant des enfants et adolescents en situation de handicap. Le calendrier pour les autres secteurs (adultes) n'est pas encore confirmé dans les sources consultées.</w:t>
            </w:r>
          </w:p>
        </w:tc>
      </w:tr>
      <w:tr>
        <w:tc>
          <w:tcPr>
            <w:shd w:fill="EEF2F7" w:color="EEF2F7" w:val="solid"/>
          </w:tcPr>
          <w:p>
            <w:pPr>
              <w:jc w:val="left"/>
            </w:pPr>
            <w:r>
              <w:rPr>
                <w:rFonts w:ascii="Calibri" w:cs="Calibri" w:eastAsia="Calibri" w:hAnsi="Calibri"/>
                <w:color w:val="1F2937"/>
                <w:sz w:val="22"/>
                <w:szCs w:val="22"/>
              </w:rPr>
              <w:t xml:space="preserve">Modèle de financement : dotation globale + dotation complémentaire</w:t>
            </w:r>
          </w:p>
        </w:tc>
        <w:tc>
          <w:tcPr>
            <w:shd w:fill="EEF2F7" w:color="EEF2F7" w:val="solid"/>
          </w:tcPr>
          <w:p>
            <w:pPr>
              <w:jc w:val="left"/>
            </w:pPr>
            <w:r>
              <w:rPr>
                <w:rFonts w:ascii="Calibri" w:cs="Calibri" w:eastAsia="Calibri" w:hAnsi="Calibri"/>
                <w:color w:val="1F2937"/>
                <w:sz w:val="22"/>
                <w:szCs w:val="22"/>
              </w:rPr>
              <w:t xml:space="preserve">Le modèle retenu articule une DOTATION GLOBALE (socle) et une DOTATION COMPLÉMENTAIRE (six variables issues de la Phase 2 du recueil). Ne pas confondre avec une « allocation complémentaire » : c'est bien le terme DOTATION COMPLÉMENTAIRE qui fait norme.</w:t>
            </w:r>
          </w:p>
        </w:tc>
      </w:tr>
      <w:tr>
        <w:tc>
          <w:p>
            <w:pPr>
              <w:jc w:val="left"/>
            </w:pPr>
            <w:r>
              <w:rPr>
                <w:rFonts w:ascii="Calibri" w:cs="Calibri" w:eastAsia="Calibri" w:hAnsi="Calibri"/>
                <w:color w:val="1F2937"/>
                <w:sz w:val="22"/>
                <w:szCs w:val="22"/>
              </w:rPr>
              <w:t xml:space="preserve">ATIH — sources inaccessibles (404)</w:t>
            </w:r>
          </w:p>
        </w:tc>
        <w:tc>
          <w:p>
            <w:pPr>
              <w:jc w:val="left"/>
            </w:pPr>
            <w:r>
              <w:rPr>
                <w:rFonts w:ascii="Calibri" w:cs="Calibri" w:eastAsia="Calibri" w:hAnsi="Calibri"/>
                <w:color w:val="1F2937"/>
                <w:sz w:val="22"/>
                <w:szCs w:val="22"/>
              </w:rPr>
              <w:t xml:space="preserve">Les pages ATIH du recueil national PH 2025 et 2026 renvoient une erreur 404. L'ATIH semble avoir réorganisé ses rubriques. Consulter directement atih.sante.fr pour trouver la page en vigueur.</w:t>
            </w:r>
          </w:p>
        </w:tc>
      </w:tr>
    </w:tbl>
    <w:p>
      <w:pPr>
        <w:spacing w:after="80" w:before="80"/>
      </w:pPr>
    </w:p>
    <w:p>
      <w:pPr>
        <w:pStyle w:val="Heading1"/>
        <w:spacing w:after="100" w:before="200"/>
      </w:pPr>
      <w:r>
        <w:rPr>
          <w:rFonts w:ascii="Calibri" w:cs="Calibri" w:eastAsia="Calibri" w:hAnsi="Calibri"/>
          <w:b/>
          <w:bCs/>
          <w:color w:val="1B3A6B"/>
          <w:sz w:val="28"/>
          <w:szCs w:val="28"/>
        </w:rPr>
        <w:t xml:space="preserve">📅 Agenda — Prochains rendez-vous</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[x] FAIT — 30 mars 2026 : Ouverture de SIDOBA aux établissements et ARS (recueil PH 2026).</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[x] FAIT — Mars 2026 : Phase 1 du recueil PH 2026 (caractéristiques des places).</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[x] FAIT — Mai 2026 : Phase 2 du recueil PH 2026 (indicateurs dotation complémentaire).</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À venir — Automne 2026 : Validation des données et transmission des simulations financières aux ESMS (annoncé lors du 14e comité stratégique du 23/03/2026).</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À venir — 1er janvier 2027 : Mise en œuvre opérationnelle de la réforme tarifaire SERAFIN-PH pour les ESMS du secteur enfants et adolescents.</w:t>
      </w:r>
    </w:p>
    <w:p>
      <w:pPr>
        <w:spacing w:after="80" w:before="80"/>
      </w:pPr>
    </w:p>
    <w:p>
      <w:pPr>
        <w:pStyle w:val="Heading1"/>
        <w:spacing w:after="100" w:before="200"/>
      </w:pPr>
      <w:r>
        <w:rPr>
          <w:rFonts w:ascii="Calibri" w:cs="Calibri" w:eastAsia="Calibri" w:hAnsi="Calibri"/>
          <w:b/>
          <w:bCs/>
          <w:color w:val="1B3A6B"/>
          <w:sz w:val="28"/>
          <w:szCs w:val="28"/>
        </w:rPr>
        <w:t xml:space="preserve">📖 Rappel SERAFIN-PH — Rôle des acteurs institutionnels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Acteur</w:t>
            </w:r>
          </w:p>
        </w:tc>
        <w:tc>
          <w:tcPr>
            <w:gridSpan w:val="1"/>
            <w:shd w:fill="1B3A6B" w:color="1B3A6B" w:val="solid"/>
          </w:tcPr>
          <w:p>
            <w:pPr>
              <w:jc w:val="center"/>
            </w:pPr>
            <w:r>
              <w:rPr>
                <w:rFonts w:ascii="Calibri" w:cs="Calibri" w:eastAsia="Calibri" w:hAnsi="Calibri"/>
                <w:b/>
                <w:bCs/>
                <w:color w:val="FFFFFF"/>
                <w:sz w:val="22"/>
                <w:szCs w:val="22"/>
              </w:rPr>
              <w:t xml:space="preserve">Rôle dans SERAFIN-PH</w:t>
            </w:r>
          </w:p>
        </w:tc>
      </w:tr>
      <w:tr>
        <w:tc>
          <w:p>
            <w:pPr>
              <w:jc w:val="left"/>
            </w:pPr>
            <w:r>
              <w:rPr>
                <w:rFonts w:ascii="Calibri" w:cs="Calibri" w:eastAsia="Calibri" w:hAnsi="Calibri"/>
                <w:color w:val="1F2937"/>
                <w:sz w:val="22"/>
                <w:szCs w:val="22"/>
              </w:rPr>
              <w:t xml:space="preserve">Ministère chargé de l'Autonomie et des Personnes handicapées</w:t>
            </w:r>
          </w:p>
        </w:tc>
        <w:tc>
          <w:p>
            <w:pPr>
              <w:jc w:val="left"/>
            </w:pPr>
            <w:r>
              <w:rPr>
                <w:rFonts w:ascii="Calibri" w:cs="Calibri" w:eastAsia="Calibri" w:hAnsi="Calibri"/>
                <w:color w:val="1F2937"/>
                <w:sz w:val="22"/>
                <w:szCs w:val="22"/>
              </w:rPr>
              <w:t xml:space="preserve">Préside le comité stratégique SERAFIN-PH. Valide les orientations politiques de la réforme tarifaire. En 2026 : Camille Galliard-Minier (ministre déléguée chargée de l'Autonomie et des Personnes handicapées).</w:t>
            </w:r>
          </w:p>
        </w:tc>
      </w:tr>
      <w:tr>
        <w:tc>
          <w:tcPr>
            <w:shd w:fill="EEF2F7" w:color="EEF2F7" w:val="solid"/>
          </w:tcPr>
          <w:p>
            <w:pPr>
              <w:jc w:val="left"/>
            </w:pPr>
            <w:r>
              <w:rPr>
                <w:rFonts w:ascii="Calibri" w:cs="Calibri" w:eastAsia="Calibri" w:hAnsi="Calibri"/>
                <w:color w:val="1F2937"/>
                <w:sz w:val="22"/>
                <w:szCs w:val="22"/>
              </w:rPr>
              <w:t xml:space="preserve">DGCS (Direction générale de la cohésion sociale)</w:t>
            </w:r>
          </w:p>
        </w:tc>
        <w:tc>
          <w:tcPr>
            <w:shd w:fill="EEF2F7" w:color="EEF2F7" w:val="solid"/>
          </w:tcPr>
          <w:p>
            <w:pPr>
              <w:jc w:val="left"/>
            </w:pPr>
            <w:r>
              <w:rPr>
                <w:rFonts w:ascii="Calibri" w:cs="Calibri" w:eastAsia="Calibri" w:hAnsi="Calibri"/>
                <w:color w:val="1F2937"/>
                <w:sz w:val="22"/>
                <w:szCs w:val="22"/>
              </w:rPr>
              <w:t xml:space="preserve">Co-pilote la réforme avec la CNSA. Assure la production des textes réglementaires (décrets, arrêtés). Ne préside pas le comité stratégique.</w:t>
            </w:r>
          </w:p>
        </w:tc>
      </w:tr>
      <w:tr>
        <w:tc>
          <w:p>
            <w:pPr>
              <w:jc w:val="left"/>
            </w:pPr>
            <w:r>
              <w:rPr>
                <w:rFonts w:ascii="Calibri" w:cs="Calibri" w:eastAsia="Calibri" w:hAnsi="Calibri"/>
                <w:color w:val="1F2937"/>
                <w:sz w:val="22"/>
                <w:szCs w:val="22"/>
              </w:rPr>
              <w:t xml:space="preserve">CNSA (Caisse nationale de solidarité pour l'autonomie)</w:t>
            </w:r>
          </w:p>
        </w:tc>
        <w:tc>
          <w:p>
            <w:pPr>
              <w:jc w:val="left"/>
            </w:pPr>
            <w:r>
              <w:rPr>
                <w:rFonts w:ascii="Calibri" w:cs="Calibri" w:eastAsia="Calibri" w:hAnsi="Calibri"/>
                <w:color w:val="1F2937"/>
                <w:sz w:val="22"/>
                <w:szCs w:val="22"/>
              </w:rPr>
              <w:t xml:space="preserve">Co-pilote opérationnel. Organise le recueil de données (recueil PH, outil SIDOBA), développe le modèle de financement, publie les ressources d'accompagnement pour ARS et ESMS.</w:t>
            </w:r>
          </w:p>
        </w:tc>
      </w:tr>
      <w:tr>
        <w:tc>
          <w:tcPr>
            <w:shd w:fill="EEF2F7" w:color="EEF2F7" w:val="solid"/>
          </w:tcPr>
          <w:p>
            <w:pPr>
              <w:jc w:val="left"/>
            </w:pPr>
            <w:r>
              <w:rPr>
                <w:rFonts w:ascii="Calibri" w:cs="Calibri" w:eastAsia="Calibri" w:hAnsi="Calibri"/>
                <w:color w:val="1F2937"/>
                <w:sz w:val="22"/>
                <w:szCs w:val="22"/>
              </w:rPr>
              <w:t xml:space="preserve">ATIH (Agence technique de l'information sur l'hospitalisation)</w:t>
            </w:r>
          </w:p>
        </w:tc>
        <w:tc>
          <w:tcPr>
            <w:shd w:fill="EEF2F7" w:color="EEF2F7" w:val="solid"/>
          </w:tcPr>
          <w:p>
            <w:pPr>
              <w:jc w:val="left"/>
            </w:pPr>
            <w:r>
              <w:rPr>
                <w:rFonts w:ascii="Calibri" w:cs="Calibri" w:eastAsia="Calibri" w:hAnsi="Calibri"/>
                <w:color w:val="1F2937"/>
                <w:sz w:val="22"/>
                <w:szCs w:val="22"/>
              </w:rPr>
              <w:t xml:space="preserve">Maîtrise d'œuvre technique du recueil national PH. Développe et héberge les outils de collecte de données médico-économiques pour le secteur médico-social.</w:t>
            </w:r>
          </w:p>
        </w:tc>
      </w:tr>
      <w:tr>
        <w:tc>
          <w:p>
            <w:pPr>
              <w:jc w:val="left"/>
            </w:pPr>
            <w:r>
              <w:rPr>
                <w:rFonts w:ascii="Calibri" w:cs="Calibri" w:eastAsia="Calibri" w:hAnsi="Calibri"/>
                <w:color w:val="1F2937"/>
                <w:sz w:val="22"/>
                <w:szCs w:val="22"/>
              </w:rPr>
              <w:t xml:space="preserve">ARS (Agences régionales de santé)</w:t>
            </w:r>
          </w:p>
        </w:tc>
        <w:tc>
          <w:p>
            <w:pPr>
              <w:jc w:val="left"/>
            </w:pPr>
            <w:r>
              <w:rPr>
                <w:rFonts w:ascii="Calibri" w:cs="Calibri" w:eastAsia="Calibri" w:hAnsi="Calibri"/>
                <w:color w:val="1F2937"/>
                <w:sz w:val="22"/>
                <w:szCs w:val="22"/>
              </w:rPr>
              <w:t xml:space="preserve">Mobilisées pour accompagner les établissements dans la saisie des données, valider les données collectées et transmettre les simulations financières aux ESMS.</w:t>
            </w:r>
          </w:p>
        </w:tc>
      </w:tr>
    </w:tbl>
    <w:p>
      <w:pPr>
        <w:spacing w:after="80" w:before="80"/>
      </w:pPr>
    </w:p>
    <w:p>
      <w:pPr>
        <w:pStyle w:val="Heading1"/>
        <w:spacing w:after="100" w:before="200"/>
      </w:pPr>
      <w:r>
        <w:rPr>
          <w:rFonts w:ascii="Calibri" w:cs="Calibri" w:eastAsia="Calibri" w:hAnsi="Calibri"/>
          <w:b/>
          <w:bCs/>
          <w:color w:val="1B3A6B"/>
          <w:sz w:val="28"/>
          <w:szCs w:val="28"/>
        </w:rPr>
        <w:t xml:space="preserve">ℹ️ Informations de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Paramètre</w:t>
            </w:r>
          </w:p>
        </w:tc>
        <w:tc>
          <w:tcPr>
            <w:gridSpan w:val="1"/>
            <w:shd w:fill="1B3A6B" w:color="1B3A6B" w:val="solid"/>
          </w:tcPr>
          <w:p>
            <w:pPr>
              <w:jc w:val="center"/>
            </w:pPr>
            <w:r>
              <w:rPr>
                <w:rFonts w:ascii="Calibri" w:cs="Calibri" w:eastAsia="Calibri" w:hAnsi="Calibri"/>
                <w:b/>
                <w:bCs/>
                <w:color w:val="FFFFFF"/>
                <w:sz w:val="22"/>
                <w:szCs w:val="22"/>
              </w:rPr>
              <w:t xml:space="preserve">Valeur</w:t>
            </w:r>
          </w:p>
        </w:tc>
      </w:tr>
      <w:tr>
        <w:tc>
          <w:p>
            <w:pPr>
              <w:jc w:val="left"/>
            </w:pPr>
            <w:r>
              <w:rPr>
                <w:rFonts w:ascii="Calibri" w:cs="Calibri" w:eastAsia="Calibri" w:hAnsi="Calibri"/>
                <w:color w:val="1F2937"/>
                <w:sz w:val="22"/>
                <w:szCs w:val="22"/>
              </w:rPr>
              <w:t xml:space="preserve">Date de production</w:t>
            </w:r>
          </w:p>
        </w:tc>
        <w:tc>
          <w:p>
            <w:pPr>
              <w:jc w:val="left"/>
            </w:pPr>
            <w:r>
              <w:rPr>
                <w:rFonts w:ascii="Calibri" w:cs="Calibri" w:eastAsia="Calibri" w:hAnsi="Calibri"/>
                <w:color w:val="1F2937"/>
                <w:sz w:val="22"/>
                <w:szCs w:val="22"/>
              </w:rPr>
              <w:t xml:space="preserve">07/10/2026</w:t>
            </w:r>
          </w:p>
        </w:tc>
      </w:tr>
      <w:tr>
        <w:tc>
          <w:tcPr>
            <w:shd w:fill="EEF2F7" w:color="EEF2F7" w:val="solid"/>
          </w:tcPr>
          <w:p>
            <w:pPr>
              <w:jc w:val="left"/>
            </w:pPr>
            <w:r>
              <w:rPr>
                <w:rFonts w:ascii="Calibri" w:cs="Calibri" w:eastAsia="Calibri" w:hAnsi="Calibri"/>
                <w:color w:val="1F2937"/>
                <w:sz w:val="22"/>
                <w:szCs w:val="22"/>
              </w:rPr>
              <w:t xml:space="preserve">Fenêtre de veille</w:t>
            </w:r>
          </w:p>
        </w:tc>
        <w:tc>
          <w:tcPr>
            <w:shd w:fill="EEF2F7" w:color="EEF2F7" w:val="solid"/>
          </w:tcPr>
          <w:p>
            <w:pPr>
              <w:jc w:val="left"/>
            </w:pPr>
            <w:r>
              <w:rPr>
                <w:rFonts w:ascii="Calibri" w:cs="Calibri" w:eastAsia="Calibri" w:hAnsi="Calibri"/>
                <w:color w:val="1F2937"/>
                <w:sz w:val="22"/>
                <w:szCs w:val="22"/>
              </w:rPr>
              <w:t xml:space="preserve">30 septembre 2026 → 07 octobre 2026</w:t>
            </w:r>
          </w:p>
        </w:tc>
      </w:tr>
      <w:tr>
        <w:tc>
          <w:p>
            <w:pPr>
              <w:jc w:val="left"/>
            </w:pPr>
            <w:r>
              <w:rPr>
                <w:rFonts w:ascii="Calibri" w:cs="Calibri" w:eastAsia="Calibri" w:hAnsi="Calibri"/>
                <w:color w:val="1F2937"/>
                <w:sz w:val="22"/>
                <w:szCs w:val="22"/>
              </w:rPr>
              <w:t xml:space="preserve">Résultat de la semaine</w:t>
            </w:r>
          </w:p>
        </w:tc>
        <w:tc>
          <w:p>
            <w:pPr>
              <w:jc w:val="left"/>
            </w:pPr>
            <w:r>
              <w:rPr>
                <w:rFonts w:ascii="Calibri" w:cs="Calibri" w:eastAsia="Calibri" w:hAnsi="Calibri"/>
                <w:color w:val="1F2937"/>
                <w:sz w:val="22"/>
                <w:szCs w:val="22"/>
              </w:rPr>
              <w:t xml:space="preserve">Semaine creuse — aucune publication nouvelle dans la fenêtre</w:t>
            </w:r>
          </w:p>
        </w:tc>
      </w:tr>
      <w:tr>
        <w:tc>
          <w:tcPr>
            <w:shd w:fill="EEF2F7" w:color="EEF2F7" w:val="solid"/>
          </w:tcPr>
          <w:p>
            <w:pPr>
              <w:jc w:val="left"/>
            </w:pPr>
            <w:r>
              <w:rPr>
                <w:rFonts w:ascii="Calibri" w:cs="Calibri" w:eastAsia="Calibri" w:hAnsi="Calibri"/>
                <w:color w:val="1F2937"/>
                <w:sz w:val="22"/>
                <w:szCs w:val="22"/>
              </w:rPr>
              <w:t xml:space="preserve">Sources consultées (✅)</w:t>
            </w:r>
          </w:p>
        </w:tc>
        <w:tc>
          <w:tcPr>
            <w:shd w:fill="EEF2F7" w:color="EEF2F7" w:val="solid"/>
          </w:tcPr>
          <w:p>
            <w:pPr>
              <w:jc w:val="left"/>
            </w:pPr>
            <w:r>
              <w:rPr>
                <w:rFonts w:ascii="Calibri" w:cs="Calibri" w:eastAsia="Calibri" w:hAnsi="Calibri"/>
                <w:color w:val="1F2937"/>
                <w:sz w:val="22"/>
                <w:szCs w:val="22"/>
              </w:rPr>
              <w:t xml:space="preserve">3/4 (handicap.gouv.fr, cnsa.fr ×2)</w:t>
            </w:r>
          </w:p>
        </w:tc>
      </w:tr>
      <w:tr>
        <w:tc>
          <w:p>
            <w:pPr>
              <w:jc w:val="left"/>
            </w:pPr>
            <w:r>
              <w:rPr>
                <w:rFonts w:ascii="Calibri" w:cs="Calibri" w:eastAsia="Calibri" w:hAnsi="Calibri"/>
                <w:color w:val="1F2937"/>
                <w:sz w:val="22"/>
                <w:szCs w:val="22"/>
              </w:rPr>
              <w:t xml:space="preserve">Sources inaccessibles (⛔)</w:t>
            </w:r>
          </w:p>
        </w:tc>
        <w:tc>
          <w:p>
            <w:pPr>
              <w:jc w:val="left"/>
            </w:pPr>
            <w:r>
              <w:rPr>
                <w:rFonts w:ascii="Calibri" w:cs="Calibri" w:eastAsia="Calibri" w:hAnsi="Calibri"/>
                <w:color w:val="1F2937"/>
                <w:sz w:val="22"/>
                <w:szCs w:val="22"/>
              </w:rPr>
              <w:t xml:space="preserve">1/4 — ATIH (404)</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0iz1er4rmifnzunpxyye" Type="http://schemas.openxmlformats.org/officeDocument/2006/relationships/hyperlink" Target="https://handicap.gouv.fr/reforme-tarifaire-des-esms-serafin-ph-14e-reunion-du-comite-strategique" TargetMode="External"/><Relationship Id="rIdg9ygtrto1ydm0ra5elwcb" Type="http://schemas.openxmlformats.org/officeDocument/2006/relationships/hyperlink" Target="https://www.cnsa.fr/actualites/serafin-ph-preparation-du-recueil-dinformations-ph-2026-en-vue-du-deploiement-du-futur" TargetMode="External"/><Relationship Id="rId5cjwbkuft32hvkhmtct0c" Type="http://schemas.openxmlformats.org/officeDocument/2006/relationships/hyperlink" Target="https://www.cnsa.fr/budget-et-financement/serafin-PH" TargetMode="External"/><Relationship Id="rId-wluawa06yqo6z0un6eqo" Type="http://schemas.openxmlformats.org/officeDocument/2006/relationships/hyperlink" Target="https://handicap.gouv.fr/reforme-tarifaire-des-esms-serafin-ph-14e-reunion-du-comite-strategique" TargetMode="External"/><Relationship Id="rId_30lf6myu7vyuc3bdpvbl" Type="http://schemas.openxmlformats.org/officeDocument/2006/relationships/hyperlink" Target="https://www.cnsa.fr/actualites/serafin-ph-preparation-du-recueil-dinformations-ph-2026-en-vue-du-deploiement-du-futur" TargetMode="External"/><Relationship Id="rIdbqpcfcvcngwcz1ac0jr3w" Type="http://schemas.openxmlformats.org/officeDocument/2006/relationships/hyperlink" Target="https://www.cnsa.fr/budget-et-financement/serafin-PH"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2026-10-07T06:06:46.091Z</dcterms:created>
  <dcterms:modified xsi:type="dcterms:W3CDTF">2026-10-07T06:06:46.093Z</dcterms:modified>
</cp:coreProperties>
</file>

<file path=docProps/custom.xml><?xml version="1.0" encoding="utf-8"?>
<Properties xmlns="http://schemas.openxmlformats.org/officeDocument/2006/custom-properties" xmlns:vt="http://schemas.openxmlformats.org/officeDocument/2006/docPropsVTypes"/>
</file>