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center"/>
      </w:pPr>
      <w:r>
        <w:rPr>
          <w:rFonts w:ascii="Times New Roman" w:cs="Times New Roman" w:eastAsia="Times New Roman" w:hAnsi="Times New Roman"/>
          <w:b/>
          <w:bCs/>
          <w:color w:val="1B3A6B"/>
          <w:sz w:val="52"/>
          <w:szCs w:val="52"/>
        </w:rPr>
        <w:t xml:space="preserve">Leçon Dzogchen n°17</w:t>
      </w:r>
    </w:p>
    <w:p>
      <w:pPr>
        <w:spacing w:after="60" w:before="60"/>
        <w:jc w:val="center"/>
      </w:pPr>
      <w:r>
        <w:rPr>
          <w:rFonts w:ascii="Times New Roman" w:cs="Times New Roman" w:eastAsia="Times New Roman" w:hAnsi="Times New Roman"/>
          <w:b/>
          <w:bCs/>
          <w:color w:val="1B3A6B"/>
          <w:sz w:val="36"/>
          <w:szCs w:val="36"/>
        </w:rPr>
        <w:t xml:space="preserve">Dzogchen et mahamudra : convergences, différences, débats</w:t>
      </w:r>
    </w:p>
    <w:p>
      <w:pPr>
        <w:spacing w:after="200" w:before="60"/>
        <w:jc w:val="center"/>
      </w:pPr>
      <w:r>
        <w:rPr>
          <w:rFonts w:ascii="Times New Roman" w:cs="Times New Roman" w:eastAsia="Times New Roman" w:hAnsi="Times New Roman"/>
          <w:color w:val="1F2937"/>
          <w:sz w:val="22"/>
          <w:szCs w:val="22"/>
        </w:rPr>
        <w:t xml:space="preserve">22 septembre 2026  ·  Leçon 17 / 20</w:t>
      </w:r>
    </w:p>
    <w:p>
      <w:pPr>
        <w:pStyle w:val="Heading2"/>
        <w:spacing w:after="100" w:before="300"/>
      </w:pPr>
      <w:r>
        <w:rPr>
          <w:rFonts w:ascii="Times New Roman" w:cs="Times New Roman" w:eastAsia="Times New Roman" w:hAnsi="Times New Roman"/>
          <w:b/>
          <w:bCs/>
          <w:color w:val="1B3A6B"/>
          <w:sz w:val="30"/>
          <w:szCs w:val="30"/>
        </w:rPr>
        <w:t xml:space="preserve">🎯 Objectif &amp; continuité</w:t>
      </w:r>
    </w:p>
    <w:p>
      <w:pPr>
        <w:spacing w:after="80" w:before="80"/>
      </w:pPr>
      <w:r>
        <w:rPr>
          <w:rFonts w:ascii="Times New Roman" w:cs="Times New Roman" w:eastAsia="Times New Roman" w:hAnsi="Times New Roman"/>
          <w:color w:val="1F2937"/>
          <w:sz w:val="22"/>
          <w:szCs w:val="22"/>
        </w:rPr>
        <w:t xml:space="preserve">À la fin de cette leçon, tu sauras distinguer les deux grandes traditions de la réalisation directe dans le bouddhisme tibétain — Dzogchen et Mahamudra —, identifier leurs points de convergence essentiels, comprendre pourquoi certains maîtres affirment leur équivalence et pourquoi d'autres maintiennent leurs différences, et te situer dans ce débat à travers un exercice de position.</w:t>
      </w:r>
    </w:p>
    <w:p>
      <w:pPr>
        <w:spacing w:after="80" w:before="80"/>
      </w:pPr>
      <w:r>
        <w:rPr>
          <w:rFonts w:ascii="Times New Roman" w:cs="Times New Roman" w:eastAsia="Times New Roman" w:hAnsi="Times New Roman"/>
          <w:color w:val="1F2937"/>
          <w:sz w:val="22"/>
          <w:szCs w:val="22"/>
        </w:rPr>
        <w:t xml:space="preserve">Continuité : les leçons précédentes ont exploré les grandes figures de la lignée Nyingma — Longchenpa (leçon 15) et Jigme Lingpa (leçon 16). Nous quittons l'histoire d'une école pour regarder comment le Dzogchen se situe dans le paysage plus large des voies de réalisation directe tibétaines. La Mahamudra — portée principalement par l'école Kagyü — est la partenaire naturelle de ce dialogue.</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Théorie (20%)</w:t>
      </w:r>
    </w:p>
    <w:p>
      <w:pPr>
        <w:pStyle w:val="Heading3"/>
        <w:spacing w:after="80" w:before="200"/>
      </w:pPr>
      <w:r>
        <w:rPr>
          <w:rFonts w:ascii="Times New Roman" w:cs="Times New Roman" w:eastAsia="Times New Roman" w:hAnsi="Times New Roman"/>
          <w:b/>
          <w:bCs/>
          <w:color w:val="1F2937"/>
          <w:sz w:val="26"/>
          <w:szCs w:val="26"/>
        </w:rPr>
        <w:t xml:space="preserve">1. Deux traditions, une question commune</w:t>
      </w:r>
    </w:p>
    <w:p>
      <w:pPr>
        <w:spacing w:after="80" w:before="80"/>
      </w:pPr>
      <w:r>
        <w:rPr>
          <w:rFonts w:ascii="Times New Roman" w:cs="Times New Roman" w:eastAsia="Times New Roman" w:hAnsi="Times New Roman"/>
          <w:color w:val="1F2937"/>
          <w:sz w:val="22"/>
          <w:szCs w:val="22"/>
        </w:rPr>
        <w:t xml:space="preserve">Le Dzogchen (Grande Perfection) et la Mahamudra (Grand Sceau) partagent une même ambition fondamentale : faire reconnaître à l'être humain la nature véritable de son esprit, décrite comme vide, pure et lumineuse. Toutes deux insistent sur la transmission directe d'un maître qualifié — les « pointing-out instructions » —, toutes deux visent l'éveil dans la forme des trois kāyas. Ce socle commun explique pourquoi leurs praticiens se sont régulièrement rencontrés, et parfois rejoints.</w:t>
      </w:r>
    </w:p>
    <w:p>
      <w:pPr>
        <w:spacing w:after="80" w:before="80"/>
      </w:pPr>
      <w:r>
        <w:rPr>
          <w:rFonts w:ascii="Times New Roman" w:cs="Times New Roman" w:eastAsia="Times New Roman" w:hAnsi="Times New Roman"/>
          <w:color w:val="1F2937"/>
          <w:sz w:val="22"/>
          <w:szCs w:val="22"/>
        </w:rPr>
        <w:t xml:space="preserve">Leurs origines géographiques diffèrent cependant. Roger R. Jackson — professeur émérite d'études asiatiques au Carleton College, auteur d'un article de fond dans Lion's Roar — situe les sources du Dzogchen en Inde occidentale (Cachemire, Gilgit), tandis que la Mahamudra émerge des plaines de l'Inde orientale à l'époque des mahāsiddhas (Saraha, Tilopa, Nāropa, Maitripa). Les deux traditions atteignent le Tibet par des canaux distincts et s'y développent dans des écoles différentes.</w:t>
      </w:r>
    </w:p>
    <w:p>
      <w:pPr>
        <w:pStyle w:val="Heading3"/>
        <w:spacing w:after="80" w:before="200"/>
      </w:pPr>
      <w:r>
        <w:rPr>
          <w:rFonts w:ascii="Times New Roman" w:cs="Times New Roman" w:eastAsia="Times New Roman" w:hAnsi="Times New Roman"/>
          <w:b/>
          <w:bCs/>
          <w:color w:val="1F2937"/>
          <w:sz w:val="26"/>
          <w:szCs w:val="26"/>
        </w:rPr>
        <w:t xml:space="preserve">2. Le 3e Karmapa Rangjung Dorjé — un pont vivant</w:t>
      </w:r>
    </w:p>
    <w:p>
      <w:pPr>
        <w:spacing w:after="80" w:before="80"/>
      </w:pPr>
      <w:r>
        <w:rPr>
          <w:rFonts w:ascii="Times New Roman" w:cs="Times New Roman" w:eastAsia="Times New Roman" w:hAnsi="Times New Roman"/>
          <w:color w:val="1F2937"/>
          <w:sz w:val="22"/>
          <w:szCs w:val="22"/>
        </w:rPr>
        <w:t xml:space="preserve">La figure la plus emblématique de la rencontre entre Dzogchen et Mahamudra est le 3e Karmapa, Rangjung Dorjé. Né en 1284, il dirige l'école Karma Kagyü, la plus grande des sous-écoles Kagyü (Wikipedia). Sa date de mort fait l'objet d'une discordance entre sources : 1338 selon l'historien Tom Suchan (1998), 1339 selon plusieurs notices d'autorité citées par Wikipedia — les deux versions coexistent dans la même page.</w:t>
      </w:r>
    </w:p>
    <w:p>
      <w:pPr>
        <w:spacing w:after="80" w:before="80"/>
      </w:pPr>
      <w:r>
        <w:rPr>
          <w:rFonts w:ascii="Times New Roman" w:cs="Times New Roman" w:eastAsia="Times New Roman" w:hAnsi="Times New Roman"/>
          <w:color w:val="1F2937"/>
          <w:sz w:val="22"/>
          <w:szCs w:val="22"/>
        </w:rPr>
        <w:t xml:space="preserve">Rangjung Dorjé est né dans une famille Nyingma et reçoit les enseignements Dzogchen du maître Rigdzin Kumaradza. Il rencontre également Longchenpa. Sa transmission Dzogchen dans le cadre Karma Kagyü porte le nom de Karma Nyingthik (Essence du Cœur de l'école Karma). Son « Aspiration de la Mahamudra » reste l'une de ses compositions les plus célébrées. Il incarne ainsi la possibilité de tenir les deux lignées sans les confondre.</w:t>
      </w:r>
    </w:p>
    <w:p>
      <w:pPr>
        <w:pStyle w:val="Heading3"/>
        <w:spacing w:after="80" w:before="200"/>
      </w:pPr>
      <w:r>
        <w:rPr>
          <w:rFonts w:ascii="Times New Roman" w:cs="Times New Roman" w:eastAsia="Times New Roman" w:hAnsi="Times New Roman"/>
          <w:b/>
          <w:bCs/>
          <w:color w:val="1F2937"/>
          <w:sz w:val="26"/>
          <w:szCs w:val="26"/>
        </w:rPr>
        <w:t xml:space="preserve">3. Convergences : « même en sens, différents en expression »</w:t>
      </w:r>
    </w:p>
    <w:p>
      <w:pPr>
        <w:spacing w:after="80" w:before="80"/>
      </w:pPr>
      <w:r>
        <w:rPr>
          <w:rFonts w:ascii="Times New Roman" w:cs="Times New Roman" w:eastAsia="Times New Roman" w:hAnsi="Times New Roman"/>
          <w:color w:val="1F2937"/>
          <w:sz w:val="22"/>
          <w:szCs w:val="22"/>
        </w:rPr>
        <w:t xml:space="preserve">La formulation la plus directe de la thèse convergente est celle de Tsele Natsok Rangdröl (aussi appelé Künkhyen Tsele Rinpoché), cité dans Lion's Roar :</w:t>
      </w:r>
    </w:p>
    <w:p>
      <w:pPr>
        <w:shd w:fill="F3F4F6" w:val="solid"/>
        <w:spacing w:after="120" w:before="120"/>
        <w:ind w:left="576"/>
      </w:pPr>
      <w:r>
        <w:rPr>
          <w:rFonts w:ascii="Times New Roman" w:cs="Times New Roman" w:eastAsia="Times New Roman" w:hAnsi="Times New Roman"/>
          <w:color w:val="1B3A6B"/>
          <w:sz w:val="22"/>
          <w:szCs w:val="22"/>
        </w:rPr>
        <w:t xml:space="preserve">« Mahamudra and Dzogchen differ in words but not in meaning. The only difference is that Mahamudra stresses mindfulness while Dzogchen relaxes within awareness. » — Tsele Natsok Rangdröl (Künkhyen Tsele Rinpoché), cité dans Lion's Roar, « Comparing Mahamudra and Dzogchen »</w:t>
      </w:r>
    </w:p>
    <w:p>
      <w:pPr>
        <w:spacing w:after="80" w:before="80"/>
      </w:pPr>
      <w:r>
        <w:rPr>
          <w:rFonts w:ascii="Times New Roman" w:cs="Times New Roman" w:eastAsia="Times New Roman" w:hAnsi="Times New Roman"/>
          <w:color w:val="1F2937"/>
          <w:sz w:val="22"/>
          <w:szCs w:val="22"/>
        </w:rPr>
        <w:t xml:space="preserve">Le même maître précise que dans la Mahamudra, il est nécessaire « d'appliquer la pleine conscience » et de s'entraîner avec les apparences et les six perceptions sensorielles, tandis que dans le Dzogchen on « s'entraîne avec la conscience elle-même » — mais que la signification essentielle est identique (Lion's Roar).</w:t>
      </w:r>
    </w:p>
    <w:p>
      <w:pPr>
        <w:spacing w:after="80" w:before="80"/>
      </w:pPr>
      <w:r>
        <w:rPr>
          <w:rFonts w:ascii="Times New Roman" w:cs="Times New Roman" w:eastAsia="Times New Roman" w:hAnsi="Times New Roman"/>
          <w:color w:val="1F2937"/>
          <w:sz w:val="22"/>
          <w:szCs w:val="22"/>
        </w:rPr>
        <w:t xml:space="preserve">Adeu Rinpoché (1931-2007) — maître des lignées Drukpa Kagyü et Nyingma —  note que les deux traditions emploient les mêmes fondements (immobilité, présence au surgissement des pensées, conscience du processus) et convergent vers la même réalisation : « of one taste within the expanse of dharmakaya » (Lion's Roar, « Dzogchen and Mahamudra, Two Great Paths »).</w:t>
      </w:r>
    </w:p>
    <w:p>
      <w:pPr>
        <w:pStyle w:val="Heading3"/>
        <w:spacing w:after="80" w:before="200"/>
      </w:pPr>
      <w:r>
        <w:rPr>
          <w:rFonts w:ascii="Times New Roman" w:cs="Times New Roman" w:eastAsia="Times New Roman" w:hAnsi="Times New Roman"/>
          <w:b/>
          <w:bCs/>
          <w:color w:val="1F2937"/>
          <w:sz w:val="26"/>
          <w:szCs w:val="26"/>
        </w:rPr>
        <w:t xml:space="preserve">4. Différences : deux accès, deux pédagogies</w:t>
      </w:r>
    </w:p>
    <w:p>
      <w:pPr>
        <w:spacing w:after="80" w:before="80"/>
      </w:pPr>
      <w:r>
        <w:rPr>
          <w:rFonts w:ascii="Times New Roman" w:cs="Times New Roman" w:eastAsia="Times New Roman" w:hAnsi="Times New Roman"/>
          <w:color w:val="1F2937"/>
          <w:sz w:val="22"/>
          <w:szCs w:val="22"/>
        </w:rPr>
        <w:t xml:space="preserve">Les différences ne sont pas que terminologiques. Selon Alexander Berzin (Study Buddhism / Berzin Archives), elles tiennent à au moins quatre points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Mode d'accès : la Mahamudra accède à l'esprit subtil en dissolvant les vents-énergie et les couches grossières de l'activité mentale ; le Dzogchen y accède sans activement arrêter ces couches grossières.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Rôle des apparences : la Mahamudra s'entraîne avec elles (six perceptions, expériences) ; le Dzogchen se concentre sur la conscience elle-même, abandonnant l'engagement avec les apparences.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Auto-connaissance du rigpa : en Dzogchen, le rigpa est décrit comme « innately aware of its own void nature » — ce que les systèmes Mahamudra n'affirment pas universellement (Berzin Archives).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Progression : la Mahamudra procède par strates — les quatre yogas (un-pointu, simplicité, un-goût, non-méditation) — en réduisant progressivement la fixation mentale. Le Dzogchen introduit la non-méditation dès le début.</w:t>
      </w:r>
    </w:p>
    <w:p>
      <w:pPr>
        <w:spacing w:after="80" w:before="80"/>
      </w:pPr>
      <w:r>
        <w:rPr>
          <w:rFonts w:ascii="Times New Roman" w:cs="Times New Roman" w:eastAsia="Times New Roman" w:hAnsi="Times New Roman"/>
          <w:color w:val="1F2937"/>
          <w:sz w:val="22"/>
          <w:szCs w:val="22"/>
        </w:rPr>
        <w:t xml:space="preserve">Le Dzogchen distingue en outre le kun gzhi (base-de-tout / ālaya), conscience neutre qui supporte les traces karmiques, et le rigpa, conscience primordiale auto-connaissante. Cette distinction est centrale dans la philosophie Dzogchen ; elle est moins structurante dans les systèmes Mahamudra.</w:t>
      </w:r>
    </w:p>
    <w:p>
      <w:pPr>
        <w:pStyle w:val="Heading3"/>
        <w:spacing w:after="80" w:before="200"/>
      </w:pPr>
      <w:r>
        <w:rPr>
          <w:rFonts w:ascii="Times New Roman" w:cs="Times New Roman" w:eastAsia="Times New Roman" w:hAnsi="Times New Roman"/>
          <w:b/>
          <w:bCs/>
          <w:color w:val="1F2937"/>
          <w:sz w:val="26"/>
          <w:szCs w:val="26"/>
        </w:rPr>
        <w:t xml:space="preserve">5. Débats et synthèses</w:t>
      </w:r>
    </w:p>
    <w:p>
      <w:pPr>
        <w:spacing w:after="80" w:before="80"/>
      </w:pPr>
      <w:r>
        <w:rPr>
          <w:rFonts w:ascii="Times New Roman" w:cs="Times New Roman" w:eastAsia="Times New Roman" w:hAnsi="Times New Roman"/>
          <w:color w:val="1F2937"/>
          <w:sz w:val="22"/>
          <w:szCs w:val="22"/>
        </w:rPr>
        <w:t xml:space="preserve">La question de la synthèse a animé plusieurs maîtres importants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Karma Chagmé (1613-1678) — fondateur de la sous-école Neydo Kagyü — a produit deux textes majeurs sur leur union : « A Spacious Path to Freedom: Practical Instructions on the Union of Mahāmudrā and Atiyoga » et « Naked Awareness: Practical Instructions on the Union of Mahāmudrā and Dzogchen », traduits tous deux par B. Alan Wallace (Wikipedia / Karma Chagme).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Mipham Rinpoché (1846-1912) — figure centrale du mouvement Rimé en contexte Nyingma — travaille à réconcilier la vue Dzogchen avec la philosophie Madhyamaka sūtrique, sans opérer spécifiquement de synthèse avec la Mahamudra Kagyü (Wikipedia / Mipham Rinpoché).</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La tradition Palyul (Nyingma) préserve une transmission nommée « Union de la Mahamudra et de l'Ati Yoga » (Wikipedia / Mahamudra).</w:t>
      </w:r>
    </w:p>
    <w:p>
      <w:pPr>
        <w:spacing w:after="80" w:before="80"/>
      </w:pPr>
      <w:r>
        <w:rPr>
          <w:rFonts w:ascii="Times New Roman" w:cs="Times New Roman" w:eastAsia="Times New Roman" w:hAnsi="Times New Roman"/>
          <w:color w:val="1F2937"/>
          <w:sz w:val="22"/>
          <w:szCs w:val="22"/>
        </w:rPr>
        <w:t xml:space="preserve">Un texte de Do-Ngak Chökyi Gyatso, recensé par Lotsawa House sous le titre « Memorandum on the Subject of Mahāmudrā and Dzogchen Instructions », aborde directement la question : il distingue les instructions « plus générales » de celles « destinées à des individus spécifiques » et suggère une approche gradualiste pour la majorité des praticiens, sauf ceux aux aptitudes exceptionnelles — note : cette description provient de la page principale de Lotsawa House, le lien direct du texte (404) n'a pas pu être ouvert.</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Pratique (80%)</w:t>
      </w:r>
    </w:p>
    <w:p>
      <w:pPr>
        <w:pStyle w:val="Heading3"/>
        <w:spacing w:after="80" w:before="200"/>
      </w:pPr>
      <w:r>
        <w:rPr>
          <w:rFonts w:ascii="Times New Roman" w:cs="Times New Roman" w:eastAsia="Times New Roman" w:hAnsi="Times New Roman"/>
          <w:b/>
          <w:bCs/>
          <w:color w:val="1F2937"/>
          <w:sz w:val="26"/>
          <w:szCs w:val="26"/>
        </w:rPr>
        <w:t xml:space="preserve">Exercice 1 — Cartographie comparative (10-15 min)</w:t>
      </w:r>
    </w:p>
    <w:p>
      <w:pPr>
        <w:spacing w:after="80" w:before="80"/>
      </w:pPr>
      <w:r>
        <w:rPr>
          <w:rFonts w:ascii="Times New Roman" w:cs="Times New Roman" w:eastAsia="Times New Roman" w:hAnsi="Times New Roman"/>
          <w:color w:val="1F2937"/>
          <w:sz w:val="22"/>
          <w:szCs w:val="22"/>
        </w:rPr>
        <w:t xml:space="preserve">À partir des dimensions suivantes, complète le tableau de ta propre main (bloc-notes ou papier) avant de regarder le corrigé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Origine géographique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École principale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Terme central pour désigner la conscience éveillée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Mode d'accès à l'esprit subtil</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Structure des étapes (comment progresse-t-on ?)</w:t>
      </w:r>
    </w:p>
    <w:p>
      <w:r>
        <w:t xml:space="preserve"/>
      </w:r>
    </w:p>
    <w:p>
      <w:pPr>
        <w:spacing w:after="80" w:before="80"/>
      </w:pPr>
      <w:r>
        <w:rPr>
          <w:rFonts w:ascii="Times New Roman" w:cs="Times New Roman" w:eastAsia="Times New Roman" w:hAnsi="Times New Roman"/>
          <w:color w:val="1F2937"/>
          <w:sz w:val="22"/>
          <w:szCs w:val="22"/>
        </w:rPr>
        <w:t xml:space="preserve">Corrigé : voir le tableau comparatif ci-dessous.</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A6B" w:val="solid"/>
          </w:tcPr>
          <w:p>
            <w:r>
              <w:rPr>
                <w:rFonts w:ascii="Times New Roman" w:cs="Times New Roman" w:eastAsia="Times New Roman" w:hAnsi="Times New Roman"/>
                <w:b/>
                <w:bCs/>
                <w:color w:val="FFFFFF"/>
                <w:sz w:val="20"/>
                <w:szCs w:val="20"/>
              </w:rPr>
              <w:t xml:space="preserve">Dimension</w:t>
            </w:r>
          </w:p>
        </w:tc>
        <w:tc>
          <w:tcPr>
            <w:shd w:fill="1B3A6B" w:val="solid"/>
          </w:tcPr>
          <w:p>
            <w:r>
              <w:rPr>
                <w:rFonts w:ascii="Times New Roman" w:cs="Times New Roman" w:eastAsia="Times New Roman" w:hAnsi="Times New Roman"/>
                <w:b/>
                <w:bCs/>
                <w:color w:val="FFFFFF"/>
                <w:sz w:val="20"/>
                <w:szCs w:val="20"/>
              </w:rPr>
              <w:t xml:space="preserve">Dzogchen</w:t>
            </w:r>
          </w:p>
        </w:tc>
        <w:tc>
          <w:tcPr>
            <w:shd w:fill="1B3A6B" w:val="solid"/>
          </w:tcPr>
          <w:p>
            <w:r>
              <w:rPr>
                <w:rFonts w:ascii="Times New Roman" w:cs="Times New Roman" w:eastAsia="Times New Roman" w:hAnsi="Times New Roman"/>
                <w:b/>
                <w:bCs/>
                <w:color w:val="FFFFFF"/>
                <w:sz w:val="20"/>
                <w:szCs w:val="20"/>
              </w:rPr>
              <w:t xml:space="preserve">Mahamudra</w:t>
            </w:r>
          </w:p>
        </w:tc>
      </w:tr>
      <w:tr>
        <w:tc>
          <w:tcPr>
            <w:shd w:fill="EEF2F7" w:val="solid"/>
          </w:tcPr>
          <w:p>
            <w:r>
              <w:rPr>
                <w:rFonts w:ascii="Times New Roman" w:cs="Times New Roman" w:eastAsia="Times New Roman" w:hAnsi="Times New Roman"/>
                <w:b w:val="false"/>
                <w:bCs w:val="false"/>
                <w:color w:val="1F2937"/>
                <w:sz w:val="20"/>
                <w:szCs w:val="20"/>
              </w:rPr>
              <w:t xml:space="preserve">Origine géographique</w:t>
            </w:r>
          </w:p>
        </w:tc>
        <w:tc>
          <w:tcPr>
            <w:shd w:fill="FFFFFF" w:val="solid"/>
          </w:tcPr>
          <w:p>
            <w:r>
              <w:rPr>
                <w:rFonts w:ascii="Times New Roman" w:cs="Times New Roman" w:eastAsia="Times New Roman" w:hAnsi="Times New Roman"/>
                <w:b w:val="false"/>
                <w:bCs w:val="false"/>
                <w:color w:val="1F2937"/>
                <w:sz w:val="20"/>
                <w:szCs w:val="20"/>
              </w:rPr>
              <w:t xml:space="preserve">Inde occidentale (Cachemire, Gilgit) — selon R. R. Jackson</w:t>
            </w:r>
          </w:p>
        </w:tc>
        <w:tc>
          <w:tcPr>
            <w:shd w:fill="FFFFFF" w:val="solid"/>
          </w:tcPr>
          <w:p>
            <w:r>
              <w:rPr>
                <w:rFonts w:ascii="Times New Roman" w:cs="Times New Roman" w:eastAsia="Times New Roman" w:hAnsi="Times New Roman"/>
                <w:b w:val="false"/>
                <w:bCs w:val="false"/>
                <w:color w:val="1F2937"/>
                <w:sz w:val="20"/>
                <w:szCs w:val="20"/>
              </w:rPr>
              <w:t xml:space="preserve">Plaines de l'Inde orientale — lignée des mahāsiddhas</w:t>
            </w:r>
          </w:p>
        </w:tc>
      </w:tr>
      <w:tr>
        <w:tc>
          <w:tcPr>
            <w:shd w:fill="EEF2F7" w:val="solid"/>
          </w:tcPr>
          <w:p>
            <w:r>
              <w:rPr>
                <w:rFonts w:ascii="Times New Roman" w:cs="Times New Roman" w:eastAsia="Times New Roman" w:hAnsi="Times New Roman"/>
                <w:b w:val="false"/>
                <w:bCs w:val="false"/>
                <w:color w:val="1F2937"/>
                <w:sz w:val="20"/>
                <w:szCs w:val="20"/>
              </w:rPr>
              <w:t xml:space="preserve">École principale</w:t>
            </w:r>
          </w:p>
        </w:tc>
        <w:tc>
          <w:tcPr>
            <w:shd w:fill="EEF2F7" w:val="solid"/>
          </w:tcPr>
          <w:p>
            <w:r>
              <w:rPr>
                <w:rFonts w:ascii="Times New Roman" w:cs="Times New Roman" w:eastAsia="Times New Roman" w:hAnsi="Times New Roman"/>
                <w:b w:val="false"/>
                <w:bCs w:val="false"/>
                <w:color w:val="1F2937"/>
                <w:sz w:val="20"/>
                <w:szCs w:val="20"/>
              </w:rPr>
              <w:t xml:space="preserve">Nyingma (et Bön)</w:t>
            </w:r>
          </w:p>
        </w:tc>
        <w:tc>
          <w:tcPr>
            <w:shd w:fill="EEF2F7" w:val="solid"/>
          </w:tcPr>
          <w:p>
            <w:r>
              <w:rPr>
                <w:rFonts w:ascii="Times New Roman" w:cs="Times New Roman" w:eastAsia="Times New Roman" w:hAnsi="Times New Roman"/>
                <w:b w:val="false"/>
                <w:bCs w:val="false"/>
                <w:color w:val="1F2937"/>
                <w:sz w:val="20"/>
                <w:szCs w:val="20"/>
              </w:rPr>
              <w:t xml:space="preserve">Kagyü (aussi Sakya et Gelug)</w:t>
            </w:r>
          </w:p>
        </w:tc>
      </w:tr>
      <w:tr>
        <w:tc>
          <w:tcPr>
            <w:shd w:fill="EEF2F7" w:val="solid"/>
          </w:tcPr>
          <w:p>
            <w:r>
              <w:rPr>
                <w:rFonts w:ascii="Times New Roman" w:cs="Times New Roman" w:eastAsia="Times New Roman" w:hAnsi="Times New Roman"/>
                <w:b w:val="false"/>
                <w:bCs w:val="false"/>
                <w:color w:val="1F2937"/>
                <w:sz w:val="20"/>
                <w:szCs w:val="20"/>
              </w:rPr>
              <w:t xml:space="preserve">Terme central</w:t>
            </w:r>
          </w:p>
        </w:tc>
        <w:tc>
          <w:tcPr>
            <w:shd w:fill="FFFFFF" w:val="solid"/>
          </w:tcPr>
          <w:p>
            <w:r>
              <w:rPr>
                <w:rFonts w:ascii="Times New Roman" w:cs="Times New Roman" w:eastAsia="Times New Roman" w:hAnsi="Times New Roman"/>
                <w:b w:val="false"/>
                <w:bCs w:val="false"/>
                <w:color w:val="1F2937"/>
                <w:sz w:val="20"/>
                <w:szCs w:val="20"/>
              </w:rPr>
              <w:t xml:space="preserve">Rigpa (conscience primordiale auto-connaissante)</w:t>
            </w:r>
          </w:p>
        </w:tc>
        <w:tc>
          <w:tcPr>
            <w:shd w:fill="FFFFFF" w:val="solid"/>
          </w:tcPr>
          <w:p>
            <w:r>
              <w:rPr>
                <w:rFonts w:ascii="Times New Roman" w:cs="Times New Roman" w:eastAsia="Times New Roman" w:hAnsi="Times New Roman"/>
                <w:b w:val="false"/>
                <w:bCs w:val="false"/>
                <w:color w:val="1F2937"/>
                <w:sz w:val="20"/>
                <w:szCs w:val="20"/>
              </w:rPr>
              <w:t xml:space="preserve">Claire luminosité ou « mind-essence »</w:t>
            </w:r>
          </w:p>
        </w:tc>
      </w:tr>
      <w:tr>
        <w:tc>
          <w:tcPr>
            <w:shd w:fill="EEF2F7" w:val="solid"/>
          </w:tcPr>
          <w:p>
            <w:r>
              <w:rPr>
                <w:rFonts w:ascii="Times New Roman" w:cs="Times New Roman" w:eastAsia="Times New Roman" w:hAnsi="Times New Roman"/>
                <w:b w:val="false"/>
                <w:bCs w:val="false"/>
                <w:color w:val="1F2937"/>
                <w:sz w:val="20"/>
                <w:szCs w:val="20"/>
              </w:rPr>
              <w:t xml:space="preserve">Mode d'accès</w:t>
            </w:r>
          </w:p>
        </w:tc>
        <w:tc>
          <w:tcPr>
            <w:shd w:fill="EEF2F7" w:val="solid"/>
          </w:tcPr>
          <w:p>
            <w:r>
              <w:rPr>
                <w:rFonts w:ascii="Times New Roman" w:cs="Times New Roman" w:eastAsia="Times New Roman" w:hAnsi="Times New Roman"/>
                <w:b w:val="false"/>
                <w:bCs w:val="false"/>
                <w:color w:val="1F2937"/>
                <w:sz w:val="20"/>
                <w:szCs w:val="20"/>
              </w:rPr>
              <w:t xml:space="preserve">Reconnaissance directe sans arrêter les couches grossières</w:t>
            </w:r>
          </w:p>
        </w:tc>
        <w:tc>
          <w:tcPr>
            <w:shd w:fill="EEF2F7" w:val="solid"/>
          </w:tcPr>
          <w:p>
            <w:r>
              <w:rPr>
                <w:rFonts w:ascii="Times New Roman" w:cs="Times New Roman" w:eastAsia="Times New Roman" w:hAnsi="Times New Roman"/>
                <w:b w:val="false"/>
                <w:bCs w:val="false"/>
                <w:color w:val="1F2937"/>
                <w:sz w:val="20"/>
                <w:szCs w:val="20"/>
              </w:rPr>
              <w:t xml:space="preserve">Dissolution des vents-énergie ; attention progressive</w:t>
            </w:r>
          </w:p>
        </w:tc>
      </w:tr>
      <w:tr>
        <w:tc>
          <w:tcPr>
            <w:shd w:fill="EEF2F7" w:val="solid"/>
          </w:tcPr>
          <w:p>
            <w:r>
              <w:rPr>
                <w:rFonts w:ascii="Times New Roman" w:cs="Times New Roman" w:eastAsia="Times New Roman" w:hAnsi="Times New Roman"/>
                <w:b w:val="false"/>
                <w:bCs w:val="false"/>
                <w:color w:val="1F2937"/>
                <w:sz w:val="20"/>
                <w:szCs w:val="20"/>
              </w:rPr>
              <w:t xml:space="preserve">Structure des étapes</w:t>
            </w:r>
          </w:p>
        </w:tc>
        <w:tc>
          <w:tcPr>
            <w:shd w:fill="FFFFFF" w:val="solid"/>
          </w:tcPr>
          <w:p>
            <w:r>
              <w:rPr>
                <w:rFonts w:ascii="Times New Roman" w:cs="Times New Roman" w:eastAsia="Times New Roman" w:hAnsi="Times New Roman"/>
                <w:b w:val="false"/>
                <w:bCs w:val="false"/>
                <w:color w:val="1F2937"/>
                <w:sz w:val="20"/>
                <w:szCs w:val="20"/>
              </w:rPr>
              <w:t xml:space="preserve">Quatre visions du Tögal ; introduction à la non-méditation d'emblée</w:t>
            </w:r>
          </w:p>
        </w:tc>
        <w:tc>
          <w:tcPr>
            <w:shd w:fill="FFFFFF" w:val="solid"/>
          </w:tcPr>
          <w:p>
            <w:r>
              <w:rPr>
                <w:rFonts w:ascii="Times New Roman" w:cs="Times New Roman" w:eastAsia="Times New Roman" w:hAnsi="Times New Roman"/>
                <w:b w:val="false"/>
                <w:bCs w:val="false"/>
                <w:color w:val="1F2937"/>
                <w:sz w:val="20"/>
                <w:szCs w:val="20"/>
              </w:rPr>
              <w:t xml:space="preserve">Quatre yogas (un-pointu, simplicité, un-goût, non-méditation)</w:t>
            </w:r>
          </w:p>
        </w:tc>
      </w:tr>
    </w:tbl>
    <w:p>
      <w:r>
        <w:t xml:space="preserve"/>
      </w:r>
    </w:p>
    <w:p>
      <w:pPr>
        <w:spacing w:after="80" w:before="80"/>
      </w:pPr>
      <w:r>
        <w:rPr>
          <w:rFonts w:ascii="Times New Roman" w:cs="Times New Roman" w:eastAsia="Times New Roman" w:hAnsi="Times New Roman"/>
          <w:color w:val="1F2937"/>
          <w:sz w:val="22"/>
          <w:szCs w:val="22"/>
        </w:rPr>
        <w:t xml:space="preserve">(Note sur le corrigé : les cases de la colonne Mahamudra reflètent principalement la tradition Kagyü. La Sakya et la Gelug ont leurs propres formulations.)</w:t>
      </w:r>
    </w:p>
    <w:p>
      <w:pPr>
        <w:pStyle w:val="Heading3"/>
        <w:spacing w:after="80" w:before="200"/>
      </w:pPr>
      <w:r>
        <w:rPr>
          <w:rFonts w:ascii="Times New Roman" w:cs="Times New Roman" w:eastAsia="Times New Roman" w:hAnsi="Times New Roman"/>
          <w:b/>
          <w:bCs/>
          <w:color w:val="1F2937"/>
          <w:sz w:val="26"/>
          <w:szCs w:val="26"/>
        </w:rPr>
        <w:t xml:space="preserve">Exercice 2 — Expérience du contraste méditatif (15-20 min)</w:t>
      </w:r>
    </w:p>
    <w:p>
      <w:pPr>
        <w:spacing w:after="80" w:before="80"/>
      </w:pPr>
      <w:r>
        <w:rPr>
          <w:rFonts w:ascii="Times New Roman" w:cs="Times New Roman" w:eastAsia="Times New Roman" w:hAnsi="Times New Roman"/>
          <w:color w:val="1F2937"/>
          <w:sz w:val="22"/>
          <w:szCs w:val="22"/>
        </w:rPr>
        <w:t xml:space="preserve">Installe-toi en position stable, yeux mi-clos ou fermés.</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Première phase — approche Dzogchen (7 min) : laisse l'esprit se reposer sans effort. Ne cherche pas à modifier le flux des pensées. Quand une pensée surgit, reconnaît-la comme une manifestation spontanée de la conscience, sans la suivre ni la rejeter. Reste dans la relaxation ouverte.</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Deuxième phase — approche Mahamudra (7 min) : introduis une légère attention. Observe : d'où viennent les pensées ? Où vont-elles ? Qui observe ? Reste présent à chaque perception sensorielle (son, sensation corporelle) sans la rejeter — accueille-la comme support de l'entraînement.</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Troisième phase — observation (3 min) : note par écrit la différence de qualité d'attention entre les deux phases. Quelle posture de conscience était plus naturelle pour toi aujourd'hui ?</w:t>
      </w:r>
    </w:p>
    <w:p>
      <w:pPr>
        <w:spacing w:after="80" w:before="80"/>
      </w:pPr>
      <w:r>
        <w:rPr>
          <w:rFonts w:ascii="Times New Roman" w:cs="Times New Roman" w:eastAsia="Times New Roman" w:hAnsi="Times New Roman"/>
          <w:color w:val="1F2937"/>
          <w:sz w:val="22"/>
          <w:szCs w:val="22"/>
        </w:rPr>
        <w:t xml:space="preserve">Cet exercice ne cherche pas à reproduire une pratique authentique (qui nécessite une transmission) — il permet de toucher expérientiellement la différence pédagogique que les maîtres décrivent.</w:t>
      </w:r>
    </w:p>
    <w:p>
      <w:pPr>
        <w:pStyle w:val="Heading3"/>
        <w:spacing w:after="80" w:before="200"/>
      </w:pPr>
      <w:r>
        <w:rPr>
          <w:rFonts w:ascii="Times New Roman" w:cs="Times New Roman" w:eastAsia="Times New Roman" w:hAnsi="Times New Roman"/>
          <w:b/>
          <w:bCs/>
          <w:color w:val="1F2937"/>
          <w:sz w:val="26"/>
          <w:szCs w:val="26"/>
        </w:rPr>
        <w:t xml:space="preserve">Exercice 3 — Défense d'une thèse (10 min)</w:t>
      </w:r>
    </w:p>
    <w:p>
      <w:pPr>
        <w:spacing w:after="80" w:before="80"/>
      </w:pPr>
      <w:r>
        <w:rPr>
          <w:rFonts w:ascii="Times New Roman" w:cs="Times New Roman" w:eastAsia="Times New Roman" w:hAnsi="Times New Roman"/>
          <w:color w:val="1F2937"/>
          <w:sz w:val="22"/>
          <w:szCs w:val="22"/>
        </w:rPr>
        <w:t xml:space="preserve">Choisis l'une des deux positions suivantes et rédige un argument de 5 lignes pour la défendre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Thèse A : « Dzogchen et Mahamudra sont la même réalisation, exprimée dans des langages différents. »</w:t>
      </w:r>
    </w:p>
    <w:p>
      <w:pPr>
        <w:pStyle w:val="ListParagraph"/>
        <w:numPr>
          <w:ilvl w:val="0"/>
          <w:numId w:val="1"/>
        </w:numPr>
        <w:spacing w:after="60" w:before="60"/>
      </w:pPr>
      <w:r>
        <w:rPr>
          <w:rFonts w:ascii="Times New Roman" w:cs="Times New Roman" w:eastAsia="Times New Roman" w:hAnsi="Times New Roman"/>
          <w:color w:val="1F2937"/>
          <w:sz w:val="22"/>
          <w:szCs w:val="22"/>
        </w:rPr>
        <w:t xml:space="preserve">Thèse B : « Ce sont des voies distinctes : leurs méthodes, leurs vocabulaires et leurs présupposés philosophiques ne se réduisent pas l'un à l'autre. »</w:t>
      </w:r>
    </w:p>
    <w:p>
      <w:pPr>
        <w:spacing w:after="80" w:before="80"/>
      </w:pPr>
      <w:r>
        <w:rPr>
          <w:rFonts w:ascii="Times New Roman" w:cs="Times New Roman" w:eastAsia="Times New Roman" w:hAnsi="Times New Roman"/>
          <w:color w:val="1F2937"/>
          <w:sz w:val="22"/>
          <w:szCs w:val="22"/>
        </w:rPr>
        <w:t xml:space="preserve">Puis rédige 3 lignes pour la thèse adverse.</w:t>
      </w:r>
    </w:p>
    <w:p>
      <w:pPr>
        <w:spacing w:after="80" w:before="80"/>
      </w:pPr>
      <w:r>
        <w:rPr>
          <w:rFonts w:ascii="Times New Roman" w:cs="Times New Roman" w:eastAsia="Times New Roman" w:hAnsi="Times New Roman"/>
          <w:color w:val="1F2937"/>
          <w:sz w:val="22"/>
          <w:szCs w:val="22"/>
        </w:rPr>
        <w:t xml:space="preserve">Corrigé-guide : la thèse A s'appuie sur Tsele Natsok Rangdröl, Adeu Rinpoché et la convergence vers les trois kāyas. La thèse B s'appuie sur la distinction rigpa / claire luminosité, le rôle différent des apparences et la spécificité de la reconnaissance Dzogchen. Les deux positions sont représentées dans la tradition par des maîtres qui les ont défendues de bonne foi — le débat reste ouvert.</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Challenge</w:t>
      </w:r>
    </w:p>
    <w:p>
      <w:pPr>
        <w:pStyle w:val="Heading3"/>
        <w:spacing w:after="80" w:before="200"/>
      </w:pPr>
      <w:r>
        <w:rPr>
          <w:rFonts w:ascii="Times New Roman" w:cs="Times New Roman" w:eastAsia="Times New Roman" w:hAnsi="Times New Roman"/>
          <w:b/>
          <w:bCs/>
          <w:color w:val="1F2937"/>
          <w:sz w:val="26"/>
          <w:szCs w:val="26"/>
        </w:rPr>
        <w:t xml:space="preserve">Tenir deux cartes — le cas d'Adeu Rinpoché</w:t>
      </w:r>
    </w:p>
    <w:p>
      <w:pPr>
        <w:spacing w:after="80" w:before="80"/>
      </w:pPr>
      <w:r>
        <w:rPr>
          <w:rFonts w:ascii="Times New Roman" w:cs="Times New Roman" w:eastAsia="Times New Roman" w:hAnsi="Times New Roman"/>
          <w:color w:val="1F2937"/>
          <w:sz w:val="22"/>
          <w:szCs w:val="22"/>
        </w:rPr>
        <w:t xml:space="preserve">Adeu Rinpoché (1931-2007) était maître des lignées Drukpa Kagyü et Nyingma. Il pouvait enseigner aussi bien la Mahamudra que le Dzogchen, selon Lion's Roar, sans jamais affirmer que l'une rendait l'autre superflue.</w:t>
      </w:r>
    </w:p>
    <w:p>
      <w:pPr>
        <w:spacing w:after="80" w:before="80"/>
      </w:pPr>
      <w:r>
        <w:rPr>
          <w:rFonts w:ascii="Times New Roman" w:cs="Times New Roman" w:eastAsia="Times New Roman" w:hAnsi="Times New Roman"/>
          <w:color w:val="1F2937"/>
          <w:sz w:val="22"/>
          <w:szCs w:val="22"/>
        </w:rPr>
        <w:t xml:space="preserve">Rédige une réponse de 10-15 lignes à la question suivante : à quelles conditions un maître peut-il porter deux voies sans les fusionner ni les hiérarchiser ? Ta réponse doit mobiliser au moins trois éléments de la leçon du jour (une convergence, une différence, et la notion de transmission).</w:t>
      </w:r>
    </w:p>
    <w:p>
      <w:pPr>
        <w:spacing w:after="80" w:before="80"/>
      </w:pPr>
      <w:r>
        <w:rPr>
          <w:rFonts w:ascii="Times New Roman" w:cs="Times New Roman" w:eastAsia="Times New Roman" w:hAnsi="Times New Roman"/>
          <w:color w:val="1F2937"/>
          <w:sz w:val="22"/>
          <w:szCs w:val="22"/>
        </w:rPr>
        <w:t xml:space="preserve">Piste de réflexion : est-ce la maîtrise technique qui permet de « tenir deux cartes », ou quelque chose de plus fondamental ? En quoi la notion de transmission (samaya, relation au maître) joue-t-elle un rôle ici ?</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Pont pro</w:t>
      </w:r>
    </w:p>
    <w:p>
      <w:pPr>
        <w:spacing w:after="80" w:before="80"/>
      </w:pPr>
      <w:r>
        <w:rPr>
          <w:rFonts w:ascii="Times New Roman" w:cs="Times New Roman" w:eastAsia="Times New Roman" w:hAnsi="Times New Roman"/>
          <w:color w:val="1F2937"/>
          <w:sz w:val="22"/>
          <w:szCs w:val="22"/>
        </w:rPr>
        <w:t xml:space="preserve">La capacité à distinguer deux cadres de référence sans les fusionner ni les hiérarchiser est aussi une compétence professionnelle. Un chef de service en ESSMS navigue entre des approches qui peuvent décrire la même réalité humaine avec des vocabulaires distincts — approches éducative et clinique, référentiels de l'autodétermination et de la protection, pratiques individuelles et collectives. La tentation est soit de tout réduire à une seule grille, soit de voir des contradictions là où il y a des emphases différentes. Tenir deux cartes — savoir quand l'une ou l'autre éclaire mieux la situation — est exactement ce que ces maîtres bouddhistes décrivent, et c'est une posture utile bien au-delà de la spiritualité.</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 Ressources</w:t>
      </w:r>
    </w:p>
    <w:p>
      <w:pPr>
        <w:spacing w:after="80" w:before="80"/>
      </w:pPr>
      <w:r>
        <w:rPr>
          <w:rFonts w:ascii="Times New Roman" w:cs="Times New Roman" w:eastAsia="Times New Roman" w:hAnsi="Times New Roman"/>
          <w:color w:val="1F2937"/>
          <w:sz w:val="22"/>
          <w:szCs w:val="22"/>
        </w:rPr>
        <w:t xml:space="preserve">Toutes les URL ont été testées (HTTP 200) le 22 septembre 2026.</w:t>
      </w:r>
    </w:p>
    <w:p>
      <w:pPr>
        <w:pStyle w:val="ListParagraph"/>
        <w:numPr>
          <w:ilvl w:val="0"/>
          <w:numId w:val="1"/>
        </w:numPr>
        <w:spacing w:after="60" w:before="60"/>
      </w:pPr>
      <w:hyperlink w:history="1" r:id="rIdo5no0ipjvakvl83xjdvtd">
        <w:r>
          <w:rPr>
            <w:rFonts w:ascii="Times New Roman" w:cs="Times New Roman" w:eastAsia="Times New Roman" w:hAnsi="Times New Roman"/>
            <w:color w:val="1155CC"/>
            <w:sz w:val="22"/>
            <w:szCs w:val="22"/>
            <w:u w:val="single"/>
          </w:rPr>
          <w:t xml:space="preserve">lionsroar.com — Comparing Mahamudra and Dzogchen (citations de Tsele Natsok Rangdröl)</w:t>
        </w:r>
      </w:hyperlink>
    </w:p>
    <w:p>
      <w:pPr>
        <w:pStyle w:val="ListParagraph"/>
        <w:numPr>
          <w:ilvl w:val="0"/>
          <w:numId w:val="1"/>
        </w:numPr>
        <w:spacing w:after="60" w:before="60"/>
      </w:pPr>
      <w:hyperlink w:history="1" r:id="rId5orix_zwz3xfx4ze5mm_l">
        <w:r>
          <w:rPr>
            <w:rFonts w:ascii="Times New Roman" w:cs="Times New Roman" w:eastAsia="Times New Roman" w:hAnsi="Times New Roman"/>
            <w:color w:val="1155CC"/>
            <w:sz w:val="22"/>
            <w:szCs w:val="22"/>
            <w:u w:val="single"/>
          </w:rPr>
          <w:t xml:space="preserve">lionsroar.com — Empty, Pure, Luminous: Mind in Dzogchen and Mahamudra (Roger R. Jackson)</w:t>
        </w:r>
      </w:hyperlink>
    </w:p>
    <w:p>
      <w:pPr>
        <w:pStyle w:val="ListParagraph"/>
        <w:numPr>
          <w:ilvl w:val="0"/>
          <w:numId w:val="1"/>
        </w:numPr>
        <w:spacing w:after="60" w:before="60"/>
      </w:pPr>
      <w:hyperlink w:history="1" r:id="rIdmbeycz7obd8vflcg4yces">
        <w:r>
          <w:rPr>
            <w:rFonts w:ascii="Times New Roman" w:cs="Times New Roman" w:eastAsia="Times New Roman" w:hAnsi="Times New Roman"/>
            <w:color w:val="1155CC"/>
            <w:sz w:val="22"/>
            <w:szCs w:val="22"/>
            <w:u w:val="single"/>
          </w:rPr>
          <w:t xml:space="preserve">lionsroar.com — Dzogchen and Mahamudra, Two Great Paths (Adeu Rinpoché, 1931-2007)</w:t>
        </w:r>
      </w:hyperlink>
    </w:p>
    <w:p>
      <w:pPr>
        <w:pStyle w:val="ListParagraph"/>
        <w:numPr>
          <w:ilvl w:val="0"/>
          <w:numId w:val="1"/>
        </w:numPr>
        <w:spacing w:after="60" w:before="60"/>
      </w:pPr>
      <w:hyperlink w:history="1" r:id="rIdh_ytkgslfwqhbyrbaovpq">
        <w:r>
          <w:rPr>
            <w:rFonts w:ascii="Times New Roman" w:cs="Times New Roman" w:eastAsia="Times New Roman" w:hAnsi="Times New Roman"/>
            <w:color w:val="1155CC"/>
            <w:sz w:val="22"/>
            <w:szCs w:val="22"/>
            <w:u w:val="single"/>
          </w:rPr>
          <w:t xml:space="preserve">studybuddhism.com (Berzin Archives) — Dzogchen in Comparison with Other Buddhist Systems</w:t>
        </w:r>
      </w:hyperlink>
    </w:p>
    <w:p>
      <w:pPr>
        <w:pStyle w:val="ListParagraph"/>
        <w:numPr>
          <w:ilvl w:val="0"/>
          <w:numId w:val="1"/>
        </w:numPr>
        <w:spacing w:after="60" w:before="60"/>
      </w:pPr>
      <w:hyperlink w:history="1" r:id="rIdeula3uovekhlctljwrouj">
        <w:r>
          <w:rPr>
            <w:rFonts w:ascii="Times New Roman" w:cs="Times New Roman" w:eastAsia="Times New Roman" w:hAnsi="Times New Roman"/>
            <w:color w:val="1155CC"/>
            <w:sz w:val="22"/>
            <w:szCs w:val="22"/>
            <w:u w:val="single"/>
          </w:rPr>
          <w:t xml:space="preserve">Wikipedia — Mahāmudrā (origines, écoles, structure des quatre yogas)</w:t>
        </w:r>
      </w:hyperlink>
    </w:p>
    <w:p>
      <w:pPr>
        <w:pStyle w:val="ListParagraph"/>
        <w:numPr>
          <w:ilvl w:val="0"/>
          <w:numId w:val="1"/>
        </w:numPr>
        <w:spacing w:after="60" w:before="60"/>
      </w:pPr>
      <w:hyperlink w:history="1" r:id="rId7-8hje1svkc7-a0n_lx4e">
        <w:r>
          <w:rPr>
            <w:rFonts w:ascii="Times New Roman" w:cs="Times New Roman" w:eastAsia="Times New Roman" w:hAnsi="Times New Roman"/>
            <w:color w:val="1155CC"/>
            <w:sz w:val="22"/>
            <w:szCs w:val="22"/>
            <w:u w:val="single"/>
          </w:rPr>
          <w:t xml:space="preserve">Wikipedia — Rangjung Dorje (3e Karmapa) — dates discordantes : 1284-1338 (Suchan) ou 1284-1339 (notices d'autorité)</w:t>
        </w:r>
      </w:hyperlink>
    </w:p>
    <w:p>
      <w:pPr>
        <w:pStyle w:val="ListParagraph"/>
        <w:numPr>
          <w:ilvl w:val="0"/>
          <w:numId w:val="1"/>
        </w:numPr>
        <w:spacing w:after="60" w:before="60"/>
      </w:pPr>
      <w:hyperlink w:history="1" r:id="rId19difqc0rjcioyc_oomjw">
        <w:r>
          <w:rPr>
            <w:rFonts w:ascii="Times New Roman" w:cs="Times New Roman" w:eastAsia="Times New Roman" w:hAnsi="Times New Roman"/>
            <w:color w:val="1155CC"/>
            <w:sz w:val="22"/>
            <w:szCs w:val="22"/>
            <w:u w:val="single"/>
          </w:rPr>
          <w:t xml:space="preserve">Wikipedia — Karma Chagmé (1613-1678) — textes sur l'union Mahamudra/Atiyoga</w:t>
        </w:r>
      </w:hyperlink>
    </w:p>
    <w:p>
      <w:pPr>
        <w:pStyle w:val="ListParagraph"/>
        <w:numPr>
          <w:ilvl w:val="0"/>
          <w:numId w:val="1"/>
        </w:numPr>
        <w:spacing w:after="60" w:before="60"/>
      </w:pPr>
      <w:hyperlink w:history="1" r:id="rIdttvolaecb5zh19p-mptyf">
        <w:r>
          <w:rPr>
            <w:rFonts w:ascii="Times New Roman" w:cs="Times New Roman" w:eastAsia="Times New Roman" w:hAnsi="Times New Roman"/>
            <w:color w:val="1155CC"/>
            <w:sz w:val="22"/>
            <w:szCs w:val="22"/>
            <w:u w:val="single"/>
          </w:rPr>
          <w:t xml:space="preserve">Wikipedia — Mipham Rinpoché (1846-1912) — synthèse Dzogchen/Madhyamaka</w:t>
        </w:r>
      </w:hyperlink>
    </w:p>
    <w:p>
      <w:r>
        <w:t xml:space="preserve"/>
      </w:r>
    </w:p>
    <w:p>
      <w:pPr>
        <w:pStyle w:val="Heading2"/>
        <w:spacing w:after="100" w:before="300"/>
      </w:pPr>
      <w:r>
        <w:rPr>
          <w:rFonts w:ascii="Times New Roman" w:cs="Times New Roman" w:eastAsia="Times New Roman" w:hAnsi="Times New Roman"/>
          <w:b/>
          <w:bCs/>
          <w:color w:val="1B3A6B"/>
          <w:sz w:val="30"/>
          <w:szCs w:val="30"/>
        </w:rPr>
        <w:t xml:space="preserve">🔜 Prochaine leçon</w:t>
      </w:r>
    </w:p>
    <w:p>
      <w:pPr>
        <w:spacing w:after="80" w:before="80"/>
      </w:pPr>
      <w:r>
        <w:rPr>
          <w:rFonts w:ascii="Times New Roman" w:cs="Times New Roman" w:eastAsia="Times New Roman" w:hAnsi="Times New Roman"/>
          <w:color w:val="1F2937"/>
          <w:sz w:val="22"/>
          <w:szCs w:val="22"/>
        </w:rPr>
        <w:t xml:space="preserve">Leçon 18 / 20 — Le Dzogchen dans la tradition Bön</w:t>
      </w:r>
    </w:p>
    <w:p>
      <w:pPr>
        <w:spacing w:after="80" w:before="80"/>
      </w:pPr>
      <w:r>
        <w:rPr>
          <w:rFonts w:ascii="Times New Roman" w:cs="Times New Roman" w:eastAsia="Times New Roman" w:hAnsi="Times New Roman"/>
          <w:color w:val="1F2937"/>
          <w:sz w:val="22"/>
          <w:szCs w:val="22"/>
        </w:rPr>
        <w:t xml:space="preserve">Nous quitterons le bouddhisme tibétain pour explorer comment le Dzogchen s'est développé — en parallèle ou en relation ? — dans la tradition Bön, la religion indigène du Tibet antérieur au bouddhisme. Les questions de priorité historique, de parenté et de distinction seront au cœur de la leçon.</w:t>
      </w:r>
    </w:p>
    <w:p>
      <w:r>
        <w:t xml:space="preserve"/>
      </w:r>
    </w:p>
    <w:p>
      <w:pPr>
        <w:pStyle w:val="Heading2"/>
        <w:spacing w:after="100" w:before="300"/>
      </w:pPr>
      <w:r>
        <w:rPr>
          <w:rFonts w:ascii="Times New Roman" w:cs="Times New Roman" w:eastAsia="Times New Roman" w:hAnsi="Times New Roman"/>
          <w:b/>
          <w:bCs/>
          <w:color w:val="1B3A6B"/>
          <w:sz w:val="30"/>
          <w:szCs w:val="30"/>
        </w:rPr>
        <w:t xml:space="preserve">Note de transparence</w:t>
      </w:r>
    </w:p>
    <w:p>
      <w:pPr>
        <w:spacing w:after="80" w:before="80"/>
      </w:pPr>
      <w:r>
        <w:rPr>
          <w:rFonts w:ascii="Times New Roman" w:cs="Times New Roman" w:eastAsia="Times New Roman" w:hAnsi="Times New Roman"/>
          <w:color w:val="1F2937"/>
          <w:sz w:val="22"/>
          <w:szCs w:val="22"/>
        </w:rPr>
        <w:t xml:space="preserve">Sources non accessibles lors de cette exécution : Rigpa Wiki (403) ; Lotsawa House — page spécifique du texte de Do-Ngak Chökyi Gyatso (404). Ce texte est décrit d'après la page principale de Lotsawa House, qui en présente le contenu.</w:t>
      </w:r>
    </w:p>
    <w:p>
      <w:pPr>
        <w:spacing w:after="80" w:before="80"/>
      </w:pPr>
      <w:r>
        <w:rPr>
          <w:rFonts w:ascii="Times New Roman" w:cs="Times New Roman" w:eastAsia="Times New Roman" w:hAnsi="Times New Roman"/>
          <w:color w:val="1F2937"/>
          <w:sz w:val="22"/>
          <w:szCs w:val="22"/>
        </w:rPr>
        <w:t xml:space="preserve">Discordance non tranchée : date de mort du 3e Karmapa Rangjung Dorjé — 1338 selon Suchan (1998), 1339 selon les notices d'autorité citées par Wikipedia. Les deux versions sont reportées ; la leçon ne tranche pas.</w:t>
      </w:r>
    </w:p>
    <w:p>
      <w:pPr>
        <w:spacing w:after="80" w:before="80"/>
      </w:pPr>
      <w:r>
        <w:rPr>
          <w:rFonts w:ascii="Times New Roman" w:cs="Times New Roman" w:eastAsia="Times New Roman" w:hAnsi="Times New Roman"/>
          <w:color w:val="1F2937"/>
          <w:sz w:val="22"/>
          <w:szCs w:val="22"/>
        </w:rPr>
        <w:t xml:space="preserve">Dates non vérifiées dans cette exécution : celles de Saraha (8e siècle, approximation courante dans la tradition). La date de Jigme Lingpa (1730-1798 selon Jackson / Lion's Roar) présente une discordance mineure avec la leçon 16 de ce parcours, qui mentionnait « 1729 ou 1730 » pour la naissance — cette incertitude est connue et documentée dans le parcours.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5no0ipjvakvl83xjdvtd" Type="http://schemas.openxmlformats.org/officeDocument/2006/relationships/hyperlink" Target="https://www.lionsroar.com/mahamudra-vs-dzogchen/" TargetMode="External"/><Relationship Id="rId5orix_zwz3xfx4ze5mm_l" Type="http://schemas.openxmlformats.org/officeDocument/2006/relationships/hyperlink" Target="https://www.lionsroar.com/empty-pure-luminous-mind-in-dzogchen-and-mahamudra/" TargetMode="External"/><Relationship Id="rIdmbeycz7obd8vflcg4yces" Type="http://schemas.openxmlformats.org/officeDocument/2006/relationships/hyperlink" Target="https://www.lionsroar.com/dzogchen-mahamudra-two-great-paths/" TargetMode="External"/><Relationship Id="rIdh_ytkgslfwqhbyrbaovpq" Type="http://schemas.openxmlformats.org/officeDocument/2006/relationships/hyperlink" Target="https://studybuddhism.com/en/advanced-studies/vajrayana/dzogchen-advanced/dzogchen-in-comparison-with-other-buddhist-systems" TargetMode="External"/><Relationship Id="rIdeula3uovekhlctljwrouj" Type="http://schemas.openxmlformats.org/officeDocument/2006/relationships/hyperlink" Target="https://en.wikipedia.org/wiki/Mahamudra" TargetMode="External"/><Relationship Id="rId7-8hje1svkc7-a0n_lx4e" Type="http://schemas.openxmlformats.org/officeDocument/2006/relationships/hyperlink" Target="https://en.wikipedia.org/wiki/Rangjung_Dorje" TargetMode="External"/><Relationship Id="rId19difqc0rjcioyc_oomjw" Type="http://schemas.openxmlformats.org/officeDocument/2006/relationships/hyperlink" Target="https://en.wikipedia.org/wiki/Karma_Chagme" TargetMode="External"/><Relationship Id="rIdttvolaecb5zh19p-mptyf" Type="http://schemas.openxmlformats.org/officeDocument/2006/relationships/hyperlink" Target="https://en.wikipedia.org/wiki/Mipham_Rinpoche"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2026-09-22T06:21:09.746Z</dcterms:created>
  <dcterms:modified xsi:type="dcterms:W3CDTF">2026-09-22T06:21:09.889Z</dcterms:modified>
</cp:coreProperties>
</file>

<file path=docProps/custom.xml><?xml version="1.0" encoding="utf-8"?>
<Properties xmlns="http://schemas.openxmlformats.org/officeDocument/2006/custom-properties" xmlns:vt="http://schemas.openxmlformats.org/officeDocument/2006/docPropsVTypes"/>
</file>