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B3A6B"/>
          <w:sz w:val="32"/>
          <w:szCs w:val="32"/>
        </w:rPr>
        <w:t xml:space="preserve">Veille SERAFIN-PH — Synthèse hebdomadaire</w:t>
      </w:r>
    </w:p>
    <w:p>
      <w:pPr>
        <w:spacing w:after="60" w:before="60"/>
      </w:pPr>
      <w:r>
        <w:rPr>
          <w:rFonts w:ascii="Calibri" w:cs="Calibri" w:eastAsia="Calibri" w:hAnsi="Calibri"/>
          <w:sz w:val="22"/>
          <w:szCs w:val="22"/>
        </w:rPr>
        <w:t xml:space="preserve">Date de production : 21 octobre 2026</w:t>
      </w:r>
    </w:p>
    <w:p>
      <w:pPr>
        <w:spacing w:after="120" w:before="60"/>
      </w:pPr>
      <w:r>
        <w:rPr>
          <w:rFonts w:ascii="Calibri" w:cs="Calibri" w:eastAsia="Calibri" w:hAnsi="Calibri"/>
          <w:b/>
          <w:bCs/>
          <w:sz w:val="22"/>
          <w:szCs w:val="22"/>
        </w:rPr>
        <w:t xml:space="preserve">Fenêtre de veille : 14 octobre 2026 – 21 octobre 2026</w:t>
      </w:r>
    </w:p>
    <w:p>
      <w:pPr>
        <w:spacing w:after="100" w:before="200"/>
      </w:pPr>
      <w:r>
        <w:rPr>
          <w:rFonts w:ascii="Calibri" w:cs="Calibri" w:eastAsia="Calibri" w:hAnsi="Calibri"/>
          <w:b/>
          <w:bCs/>
          <w:color w:val="1B3A6B"/>
          <w:sz w:val="26"/>
          <w:szCs w:val="26"/>
        </w:rPr>
        <w:t xml:space="preserve">📋 Sources consultées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7"/>
        <w:gridCol w:w="2727"/>
        <w:gridCol w:w="2727"/>
        <w:gridCol w:w="2727"/>
      </w:tblGrid>
      <w:tr>
        <w:trPr>
          <w:tblHeader/>
        </w:trPr>
        <w:tc>
          <w:tcPr>
            <w:shd w:color="1B3A6B" w:val="solid"/>
          </w:tcPr>
          <w:p>
            <w:pPr>
              <w:jc w:val="left"/>
            </w:pPr>
            <w:r>
              <w:rPr>
                <w:rFonts w:ascii="Calibri" w:cs="Calibri" w:eastAsia="Calibri" w:hAnsi="Calibri"/>
                <w:b/>
                <w:bCs/>
                <w:color w:val="FFFFFF"/>
                <w:sz w:val="20"/>
                <w:szCs w:val="20"/>
              </w:rPr>
              <w:t xml:space="preserve">Source</w:t>
            </w:r>
          </w:p>
        </w:tc>
        <w:tc>
          <w:tcPr>
            <w:shd w:color="1B3A6B" w:val="solid"/>
          </w:tcPr>
          <w:p>
            <w:pPr>
              <w:jc w:val="left"/>
            </w:pPr>
            <w:r>
              <w:rPr>
                <w:rFonts w:ascii="Calibri" w:cs="Calibri" w:eastAsia="Calibri" w:hAnsi="Calibri"/>
                <w:b/>
                <w:bCs/>
                <w:color w:val="FFFFFF"/>
                <w:sz w:val="20"/>
                <w:szCs w:val="20"/>
              </w:rPr>
              <w:t xml:space="preserve">URL</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Note</w:t>
            </w:r>
          </w:p>
        </w:tc>
      </w:tr>
      <w:tr>
        <w:tc>
          <w:p>
            <w:r>
              <w:rPr>
                <w:rFonts w:ascii="Calibri" w:cs="Calibri" w:eastAsia="Calibri" w:hAnsi="Calibri"/>
                <w:b w:val="false"/>
                <w:bCs w:val="false"/>
                <w:sz w:val="20"/>
                <w:szCs w:val="20"/>
              </w:rPr>
              <w:t xml:space="preserve">handicap.gouv.fr — 14e comité stratégique SERAFIN-PH</w:t>
            </w:r>
          </w:p>
        </w:tc>
        <w:tc>
          <w:p>
            <w:hyperlink w:history="1" r:id="rId6aafougosngl6ozfrd7nu">
              <w:r>
                <w:rPr>
                  <w:rFonts w:ascii="Calibri" w:cs="Calibri" w:eastAsia="Calibri" w:hAnsi="Calibri"/>
                  <w:color w:val="1155CC"/>
                  <w:sz w:val="22"/>
                  <w:szCs w:val="22"/>
                  <w:u w:val="single"/>
                </w:rPr>
                <w:t xml:space="preserve">https://handicap.gouv.fr/reforme-tarifaire-des-esms-serafin-ph-14e-reunion-du-comite-strategique</w:t>
              </w:r>
            </w:hyperlink>
          </w:p>
        </w:tc>
        <w:tc>
          <w:p>
            <w:r>
              <w:rPr>
                <w:rFonts w:ascii="Calibri" w:cs="Calibri" w:eastAsia="Calibri" w:hAnsi="Calibri"/>
                <w:b w:val="false"/>
                <w:bCs w:val="false"/>
                <w:sz w:val="20"/>
                <w:szCs w:val="20"/>
              </w:rPr>
              <w:t xml:space="preserve">⚠️ Mur JavaScript</w:t>
            </w:r>
          </w:p>
        </w:tc>
        <w:tc>
          <w:p>
            <w:r>
              <w:rPr>
                <w:rFonts w:ascii="Calibri" w:cs="Calibri" w:eastAsia="Calibri" w:hAnsi="Calibri"/>
                <w:b w:val="false"/>
                <w:bCs w:val="false"/>
                <w:sz w:val="20"/>
                <w:szCs w:val="20"/>
              </w:rPr>
              <w:t xml:space="preserve">Mur JavaScript : 93 caractères servis</w:t>
            </w:r>
            <w:r>
              <w:rPr>
                <w:rFonts w:ascii="Calibri" w:cs="Calibri" w:eastAsia="Calibri" w:hAnsi="Calibri"/>
                <w:i/>
                <w:iCs/>
                <w:color w:val="666666"/>
                <w:sz w:val="18"/>
                <w:szCs w:val="18"/>
              </w:rPr>
              <w:t xml:space="preserve">  [Corrigé le 23/10/2026 : la page ne sert que « Please enable JavaScript to view the page content », soit 93 caractères utiles pour 6 078 octets bruts — rien du comité n’en a été lu. Les faits du calendrier relèvent du rappel institutionnel des éditions précédentes, comme la note le déclare plus bas.]</w:t>
            </w:r>
            <w:r>
              <w:t xml:space="preserve"/>
            </w:r>
          </w:p>
        </w:tc>
      </w:tr>
      <w:tr>
        <w:tc>
          <w:tcPr>
            <w:shd w:color="EEF2F7" w:val="solid"/>
          </w:tcPr>
          <w:p>
            <w:r>
              <w:rPr>
                <w:rFonts w:ascii="Calibri" w:cs="Calibri" w:eastAsia="Calibri" w:hAnsi="Calibri"/>
                <w:b w:val="false"/>
                <w:bCs w:val="false"/>
                <w:sz w:val="20"/>
                <w:szCs w:val="20"/>
              </w:rPr>
              <w:t xml:space="preserve">cnsa.fr — Recueil PH 2026 (préparation)</w:t>
            </w:r>
          </w:p>
        </w:tc>
        <w:tc>
          <w:tcPr>
            <w:shd w:color="EEF2F7" w:val="solid"/>
          </w:tcPr>
          <w:p>
            <w:hyperlink w:history="1" r:id="rIdhvzznxdpxheiplaedufpf">
              <w:r>
                <w:rPr>
                  <w:rFonts w:ascii="Calibri" w:cs="Calibri" w:eastAsia="Calibri" w:hAnsi="Calibri"/>
                  <w:color w:val="1155CC"/>
                  <w:sz w:val="22"/>
                  <w:szCs w:val="22"/>
                  <w:u w:val="single"/>
                </w:rPr>
                <w:t xml:space="preserve">https://www.cnsa.fr/actualites/serafin-ph-preparation-du-recueil-dinformations-ph-2026-en-vue-du-deploiement-du-futur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Fond documentaire — 17/12/2025</w:t>
            </w:r>
          </w:p>
        </w:tc>
      </w:tr>
      <w:tr>
        <w:tc>
          <w:p>
            <w:r>
              <w:rPr>
                <w:rFonts w:ascii="Calibri" w:cs="Calibri" w:eastAsia="Calibri" w:hAnsi="Calibri"/>
                <w:b w:val="false"/>
                <w:bCs w:val="false"/>
                <w:sz w:val="20"/>
                <w:szCs w:val="20"/>
              </w:rPr>
              <w:t xml:space="preserve">atih.sante.fr — Recueil national PH 2025</w:t>
            </w:r>
          </w:p>
        </w:tc>
        <w:tc>
          <w:p>
            <w:hyperlink w:history="1" r:id="rId2nlfmc5nidzff3uzhlr5z">
              <w:r>
                <w:rPr>
                  <w:rFonts w:ascii="Calibri" w:cs="Calibri" w:eastAsia="Calibri" w:hAnsi="Calibri"/>
                  <w:color w:val="1155CC"/>
                  <w:sz w:val="22"/>
                  <w:szCs w:val="22"/>
                  <w:u w:val="single"/>
                </w:rPr>
                <w:t xml:space="preserve">https://www.atih.sante.fr/recueil-national-ph-2025</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Consulté, sans élément nouveau dans la fenêtre</w:t>
            </w:r>
          </w:p>
        </w:tc>
      </w:tr>
      <w:tr>
        <w:tc>
          <w:tcPr>
            <w:shd w:color="EEF2F7" w:val="solid"/>
          </w:tcPr>
          <w:p>
            <w:r>
              <w:rPr>
                <w:rFonts w:ascii="Calibri" w:cs="Calibri" w:eastAsia="Calibri" w:hAnsi="Calibri"/>
                <w:b w:val="false"/>
                <w:bCs w:val="false"/>
                <w:sz w:val="20"/>
                <w:szCs w:val="20"/>
              </w:rPr>
              <w:t xml:space="preserve">cnsa.fr — Alerte Conseil CNSA sur PLFSS 2027</w:t>
            </w:r>
          </w:p>
        </w:tc>
        <w:tc>
          <w:tcPr>
            <w:shd w:color="EEF2F7" w:val="solid"/>
          </w:tcPr>
          <w:p>
            <w:hyperlink w:history="1" r:id="rId6tvjo3jopiy3othmziz4q">
              <w:r>
                <w:rPr>
                  <w:rFonts w:ascii="Calibri" w:cs="Calibri" w:eastAsia="Calibri" w:hAnsi="Calibri"/>
                  <w:color w:val="1155CC"/>
                  <w:sz w:val="22"/>
                  <w:szCs w:val="22"/>
                  <w:u w:val="single"/>
                </w:rPr>
                <w:t xml:space="preserve">https://www.cnsa.fr/actualites/plfss-2027-le-conseil-de-la-cnsa-alerte-sur-un-financement-de-lautonomie-en-retard-sur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Actualité fenêtre — 16/10/2026</w:t>
            </w:r>
          </w:p>
        </w:tc>
      </w:tr>
      <w:tr>
        <w:tc>
          <w:p>
            <w:r>
              <w:rPr>
                <w:rFonts w:ascii="Calibri" w:cs="Calibri" w:eastAsia="Calibri" w:hAnsi="Calibri"/>
                <w:b w:val="false"/>
                <w:bCs w:val="false"/>
                <w:sz w:val="20"/>
                <w:szCs w:val="20"/>
              </w:rPr>
              <w:t xml:space="preserve">lemediasocial.fr — Appel à budget pour SERAFIN-PH</w:t>
            </w:r>
          </w:p>
        </w:tc>
        <w:tc>
          <w:p>
            <w:hyperlink w:history="1" r:id="rIdnf3ssvqxgblsc-kwbivhw">
              <w:r>
                <w:rPr>
                  <w:rFonts w:ascii="Calibri" w:cs="Calibri" w:eastAsia="Calibri" w:hAnsi="Calibri"/>
                  <w:color w:val="1155CC"/>
                  <w:sz w:val="22"/>
                  <w:szCs w:val="22"/>
                  <w:u w:val="single"/>
                </w:rPr>
                <w:t xml:space="preserve">https://www.lemediasocial.fr/appel-a-un-budget-pour-serafin-ph-il-en-va-de-la-viabilite-de-la-reforme_h1HbHR</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Contexte récent — 12/10/2026 (hors fenêtre)</w:t>
            </w:r>
          </w:p>
        </w:tc>
      </w:tr>
      <w:tr>
        <w:tc>
          <w:tcPr>
            <w:shd w:color="EEF2F7" w:val="solid"/>
          </w:tcPr>
          <w:p>
            <w:r>
              <w:rPr>
                <w:rFonts w:ascii="Calibri" w:cs="Calibri" w:eastAsia="Calibri" w:hAnsi="Calibri"/>
                <w:b w:val="false"/>
                <w:bCs w:val="false"/>
                <w:sz w:val="20"/>
                <w:szCs w:val="20"/>
              </w:rPr>
              <w:t xml:space="preserve">cnsa.fr — Page SERAFIN-PH (budget et financement)</w:t>
            </w:r>
          </w:p>
        </w:tc>
        <w:tc>
          <w:tcPr>
            <w:shd w:color="EEF2F7" w:val="solid"/>
          </w:tcPr>
          <w:p>
            <w:hyperlink w:history="1" r:id="rIdmvpdnf3rrsciuzn0rp6wh">
              <w:r>
                <w:rPr>
                  <w:rFonts w:ascii="Calibri" w:cs="Calibri" w:eastAsia="Calibri" w:hAnsi="Calibri"/>
                  <w:color w:val="1155CC"/>
                  <w:sz w:val="22"/>
                  <w:szCs w:val="22"/>
                  <w:u w:val="single"/>
                </w:rPr>
                <w:t xml:space="preserve">https://www.cnsa.fr/budget-et-financement/serafin-PH</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Consulté pour calendrier et contexte</w:t>
            </w:r>
          </w:p>
        </w:tc>
      </w:tr>
      <w:tr>
        <w:tc>
          <w:p>
            <w:r>
              <w:rPr>
                <w:rFonts w:ascii="Calibri" w:cs="Calibri" w:eastAsia="Calibri" w:hAnsi="Calibri"/>
                <w:b w:val="false"/>
                <w:bCs w:val="false"/>
                <w:sz w:val="20"/>
                <w:szCs w:val="20"/>
              </w:rPr>
              <w:t xml:space="preserve">cnsa.fr — Recueil obligatoire ESMS enfants</w:t>
            </w:r>
          </w:p>
        </w:tc>
        <w:tc>
          <w:p>
            <w:hyperlink w:history="1" r:id="rIdyhlijq2horjr5mkes5noi">
              <w:r>
                <w:rPr>
                  <w:rFonts w:ascii="Calibri" w:cs="Calibri" w:eastAsia="Calibri" w:hAnsi="Calibri"/>
                  <w:color w:val="1155CC"/>
                  <w:sz w:val="22"/>
                  <w:szCs w:val="22"/>
                  <w:u w:val="single"/>
                </w:rPr>
                <w:t xml:space="preserve">https://www.cnsa.fr/actualites/serafin-ph-un-recueil-de-donnees-obligatoire-dans-les-esms-pour-enfants-et-adolescents</w:t>
              </w:r>
            </w:hyperlink>
          </w:p>
        </w:tc>
        <w:tc>
          <w:p>
            <w:r>
              <w:rPr>
                <w:rFonts w:ascii="Calibri" w:cs="Calibri" w:eastAsia="Calibri" w:hAnsi="Calibri"/>
                <w:b w:val="false"/>
                <w:bCs w:val="false"/>
                <w:sz w:val="20"/>
                <w:szCs w:val="20"/>
              </w:rPr>
              <w:t xml:space="preserve">⛔ Inaccessible (403)</w:t>
            </w:r>
          </w:p>
        </w:tc>
        <w:tc>
          <w:p>
            <w:r>
              <w:rPr>
                <w:rFonts w:ascii="Calibri" w:cs="Calibri" w:eastAsia="Calibri" w:hAnsi="Calibri"/>
                <w:b w:val="false"/>
                <w:bCs w:val="false"/>
                <w:sz w:val="20"/>
                <w:szCs w:val="20"/>
              </w:rPr>
              <w:t xml:space="preserve">Blocage anti-robot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En bref — Tableau de bord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35"/>
        <w:gridCol w:w="3635"/>
        <w:gridCol w:w="3635"/>
      </w:tblGrid>
      <w:tr>
        <w:trPr>
          <w:tblHeader/>
        </w:trPr>
        <w:tc>
          <w:tcPr>
            <w:shd w:color="1B3A6B" w:val="solid"/>
          </w:tcPr>
          <w:p>
            <w:pPr>
              <w:jc w:val="left"/>
            </w:pPr>
            <w:r>
              <w:rPr>
                <w:rFonts w:ascii="Calibri" w:cs="Calibri" w:eastAsia="Calibri" w:hAnsi="Calibri"/>
                <w:b/>
                <w:bCs/>
                <w:color w:val="FFFFFF"/>
                <w:sz w:val="20"/>
                <w:szCs w:val="20"/>
              </w:rPr>
              <w:t xml:space="preserve">Thème</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Échéance</w:t>
            </w:r>
          </w:p>
        </w:tc>
      </w:tr>
      <w:tr>
        <w:tc>
          <w:p>
            <w:r>
              <w:rPr>
                <w:rFonts w:ascii="Calibri" w:cs="Calibri" w:eastAsia="Calibri" w:hAnsi="Calibri"/>
                <w:b w:val="false"/>
                <w:bCs w:val="false"/>
                <w:sz w:val="20"/>
                <w:szCs w:val="20"/>
              </w:rPr>
              <w:t xml:space="preserve">Déploiement réforme secteur enfance</w:t>
            </w:r>
          </w:p>
        </w:tc>
        <w:tc>
          <w:p>
            <w:r>
              <w:rPr>
                <w:rFonts w:ascii="Calibri" w:cs="Calibri" w:eastAsia="Calibri" w:hAnsi="Calibri"/>
                <w:b w:val="false"/>
                <w:bCs w:val="false"/>
                <w:sz w:val="20"/>
                <w:szCs w:val="20"/>
              </w:rPr>
              <w:t xml:space="preserve">Confirmé au 01/01/2027</w:t>
            </w:r>
          </w:p>
        </w:tc>
        <w:tc>
          <w:p>
            <w:r>
              <w:rPr>
                <w:rFonts w:ascii="Calibri" w:cs="Calibri" w:eastAsia="Calibri" w:hAnsi="Calibri"/>
                <w:b w:val="false"/>
                <w:bCs w:val="false"/>
                <w:sz w:val="20"/>
                <w:szCs w:val="20"/>
              </w:rPr>
              <w:t xml:space="preserve">1er janvier 2027</w:t>
            </w:r>
          </w:p>
        </w:tc>
      </w:tr>
      <w:tr>
        <w:tc>
          <w:tcPr>
            <w:shd w:color="EEF2F7" w:val="solid"/>
          </w:tcPr>
          <w:p>
            <w:r>
              <w:rPr>
                <w:rFonts w:ascii="Calibri" w:cs="Calibri" w:eastAsia="Calibri" w:hAnsi="Calibri"/>
                <w:b w:val="false"/>
                <w:bCs w:val="false"/>
                <w:sz w:val="20"/>
                <w:szCs w:val="20"/>
              </w:rPr>
              <w:t xml:space="preserve">Recueil PH 2026 via SIDOBA</w:t>
            </w:r>
          </w:p>
        </w:tc>
        <w:tc>
          <w:tcPr>
            <w:shd w:color="EEF2F7" w:val="solid"/>
          </w:tcPr>
          <w:p>
            <w:r>
              <w:rPr>
                <w:rFonts w:ascii="Calibri" w:cs="Calibri" w:eastAsia="Calibri" w:hAnsi="Calibri"/>
                <w:b w:val="false"/>
                <w:bCs w:val="false"/>
                <w:sz w:val="20"/>
                <w:szCs w:val="20"/>
              </w:rPr>
              <w:t xml:space="preserve">En cours — vérification fiabilité données</w:t>
            </w:r>
          </w:p>
        </w:tc>
        <w:tc>
          <w:tcPr>
            <w:shd w:color="EEF2F7" w:val="solid"/>
          </w:tcPr>
          <w:p>
            <w:r>
              <w:rPr>
                <w:rFonts w:ascii="Calibri" w:cs="Calibri" w:eastAsia="Calibri" w:hAnsi="Calibri"/>
                <w:b w:val="false"/>
                <w:bCs w:val="false"/>
                <w:sz w:val="20"/>
                <w:szCs w:val="20"/>
              </w:rPr>
              <w:t xml:space="preserve">Automne 2026</w:t>
            </w:r>
          </w:p>
        </w:tc>
      </w:tr>
      <w:tr>
        <w:tc>
          <w:p>
            <w:r>
              <w:rPr>
                <w:rFonts w:ascii="Calibri" w:cs="Calibri" w:eastAsia="Calibri" w:hAnsi="Calibri"/>
                <w:b w:val="false"/>
                <w:bCs w:val="false"/>
                <w:sz w:val="20"/>
                <w:szCs w:val="20"/>
              </w:rPr>
              <w:t xml:space="preserve">Simulations individuelles ESMS</w:t>
            </w:r>
          </w:p>
        </w:tc>
        <w:tc>
          <w:p>
            <w:r>
              <w:rPr>
                <w:rFonts w:ascii="Calibri" w:cs="Calibri" w:eastAsia="Calibri" w:hAnsi="Calibri"/>
                <w:b w:val="false"/>
                <w:bCs w:val="false"/>
                <w:sz w:val="20"/>
                <w:szCs w:val="20"/>
              </w:rPr>
              <w:t xml:space="preserve">En préparation par CNSA/ATIH</w:t>
            </w:r>
          </w:p>
        </w:tc>
        <w:tc>
          <w:p>
            <w:r>
              <w:rPr>
                <w:rFonts w:ascii="Calibri" w:cs="Calibri" w:eastAsia="Calibri" w:hAnsi="Calibri"/>
                <w:b w:val="false"/>
                <w:bCs w:val="false"/>
                <w:sz w:val="20"/>
                <w:szCs w:val="20"/>
              </w:rPr>
              <w:t xml:space="preserve">Fin 2026</w:t>
            </w:r>
          </w:p>
        </w:tc>
      </w:tr>
      <w:tr>
        <w:tc>
          <w:tcPr>
            <w:shd w:color="EEF2F7" w:val="solid"/>
          </w:tcPr>
          <w:p>
            <w:r>
              <w:rPr>
                <w:rFonts w:ascii="Calibri" w:cs="Calibri" w:eastAsia="Calibri" w:hAnsi="Calibri"/>
                <w:b w:val="false"/>
                <w:bCs w:val="false"/>
                <w:sz w:val="20"/>
                <w:szCs w:val="20"/>
              </w:rPr>
              <w:t xml:space="preserve">Enveloppe budgétaire 90 M€ SERAFIN-PH</w:t>
            </w:r>
          </w:p>
        </w:tc>
        <w:tc>
          <w:tcPr>
            <w:shd w:color="EEF2F7" w:val="solid"/>
          </w:tcPr>
          <w:p>
            <w:r>
              <w:rPr>
                <w:rFonts w:ascii="Calibri" w:cs="Calibri" w:eastAsia="Calibri" w:hAnsi="Calibri"/>
                <w:b w:val="false"/>
                <w:bCs w:val="false"/>
                <w:sz w:val="20"/>
                <w:szCs w:val="20"/>
              </w:rPr>
              <w:t xml:space="preserve">⚠️ Non inscrite au PLFSS 2027</w:t>
            </w:r>
          </w:p>
        </w:tc>
        <w:tc>
          <w:tcPr>
            <w:shd w:color="EEF2F7" w:val="solid"/>
          </w:tcPr>
          <w:p>
            <w:r>
              <w:rPr>
                <w:rFonts w:ascii="Calibri" w:cs="Calibri" w:eastAsia="Calibri" w:hAnsi="Calibri"/>
                <w:b w:val="false"/>
                <w:bCs w:val="false"/>
                <w:sz w:val="20"/>
                <w:szCs w:val="20"/>
              </w:rPr>
              <w:t xml:space="preserve">Débat parlementaire en cours</w:t>
            </w:r>
          </w:p>
        </w:tc>
      </w:tr>
      <w:tr>
        <w:tc>
          <w:p>
            <w:r>
              <w:rPr>
                <w:rFonts w:ascii="Calibri" w:cs="Calibri" w:eastAsia="Calibri" w:hAnsi="Calibri"/>
                <w:b w:val="false"/>
                <w:bCs w:val="false"/>
                <w:sz w:val="20"/>
                <w:szCs w:val="20"/>
              </w:rPr>
              <w:t xml:space="preserve">Convergence tarifaire progressive</w:t>
            </w:r>
          </w:p>
        </w:tc>
        <w:tc>
          <w:p>
            <w:r>
              <w:rPr>
                <w:rFonts w:ascii="Calibri" w:cs="Calibri" w:eastAsia="Calibri" w:hAnsi="Calibri"/>
                <w:b w:val="false"/>
                <w:bCs w:val="false"/>
                <w:sz w:val="20"/>
                <w:szCs w:val="20"/>
              </w:rPr>
              <w:t xml:space="preserve">Planifiée sur 8 ans</w:t>
            </w:r>
          </w:p>
        </w:tc>
        <w:tc>
          <w:p>
            <w:r>
              <w:rPr>
                <w:rFonts w:ascii="Calibri" w:cs="Calibri" w:eastAsia="Calibri" w:hAnsi="Calibri"/>
                <w:b w:val="false"/>
                <w:bCs w:val="false"/>
                <w:sz w:val="20"/>
                <w:szCs w:val="20"/>
              </w:rPr>
              <w:t xml:space="preserve">2027–2035</w:t>
            </w:r>
          </w:p>
        </w:tc>
      </w:tr>
      <w:tr>
        <w:tc>
          <w:tcPr>
            <w:shd w:color="EEF2F7" w:val="solid"/>
          </w:tcPr>
          <w:p>
            <w:r>
              <w:rPr>
                <w:rFonts w:ascii="Calibri" w:cs="Calibri" w:eastAsia="Calibri" w:hAnsi="Calibri"/>
                <w:b w:val="false"/>
                <w:bCs w:val="false"/>
                <w:sz w:val="20"/>
                <w:szCs w:val="20"/>
              </w:rPr>
              <w:t xml:space="preserve">Enveloppe 360 M€ sur 4 ans</w:t>
            </w:r>
          </w:p>
        </w:tc>
        <w:tc>
          <w:tcPr>
            <w:shd w:color="EEF2F7" w:val="solid"/>
          </w:tcPr>
          <w:p>
            <w:r>
              <w:rPr>
                <w:rFonts w:ascii="Calibri" w:cs="Calibri" w:eastAsia="Calibri" w:hAnsi="Calibri"/>
                <w:b w:val="false"/>
                <w:bCs w:val="false"/>
                <w:sz w:val="20"/>
                <w:szCs w:val="20"/>
              </w:rPr>
              <w:t xml:space="preserve">Annoncée (si vote PLFSS tel quel)</w:t>
            </w:r>
          </w:p>
        </w:tc>
        <w:tc>
          <w:tcPr>
            <w:shd w:color="EEF2F7" w:val="solid"/>
          </w:tcPr>
          <w:p>
            <w:r>
              <w:rPr>
                <w:rFonts w:ascii="Calibri" w:cs="Calibri" w:eastAsia="Calibri" w:hAnsi="Calibri"/>
                <w:b w:val="false"/>
                <w:bCs w:val="false"/>
                <w:sz w:val="20"/>
                <w:szCs w:val="20"/>
              </w:rPr>
              <w:t xml:space="preserve">À partir de 2028</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Actualité de la semaine (14 – 21 octobre 2026)</w:t>
      </w:r>
    </w:p>
    <w:p>
      <w:pPr>
        <w:spacing w:after="80" w:before="160"/>
      </w:pPr>
      <w:r>
        <w:rPr>
          <w:rFonts w:ascii="Calibri" w:cs="Calibri" w:eastAsia="Calibri" w:hAnsi="Calibri"/>
          <w:b/>
          <w:bCs/>
          <w:color w:val="1B3A6B"/>
          <w:sz w:val="24"/>
          <w:szCs w:val="24"/>
        </w:rPr>
        <w:t xml:space="preserve">Conseil de la CNSA — Alerte sur le PLFSS 2027 (16 octobre 2026)</w:t>
      </w:r>
    </w:p>
    <w:p>
      <w:pPr>
        <w:spacing w:after="60" w:before="60"/>
      </w:pPr>
      <w:r>
        <w:rPr>
          <w:rFonts w:ascii="Calibri" w:cs="Calibri" w:eastAsia="Calibri" w:hAnsi="Calibri"/>
          <w:b/>
          <w:bCs/>
          <w:sz w:val="22"/>
          <w:szCs w:val="22"/>
        </w:rPr>
        <w:t xml:space="preserve">Publication : 16 octobre 2026 (source primaire : cnsa.fr)</w:t>
      </w:r>
    </w:p>
    <w:p>
      <w:pPr>
        <w:spacing w:after="60" w:before="60"/>
      </w:pPr>
      <w:r>
        <w:rPr>
          <w:rFonts w:ascii="Calibri" w:cs="Calibri" w:eastAsia="Calibri" w:hAnsi="Calibri"/>
          <w:sz w:val="22"/>
          <w:szCs w:val="22"/>
        </w:rPr>
        <w:t xml:space="preserve">Le Conseil de la CNSA a publié le 16 octobre 2026 sa position sur le projet de loi de financement de la sécurité sociale pour 2027 (PLFSS 2027).</w:t>
      </w:r>
    </w:p>
    <w:p>
      <w:pPr>
        <w:spacing w:after="60" w:before="60"/>
      </w:pPr>
      <w:r>
        <w:rPr>
          <w:rFonts w:ascii="Calibri" w:cs="Calibri" w:eastAsia="Calibri" w:hAnsi="Calibri"/>
          <w:sz w:val="22"/>
          <w:szCs w:val="22"/>
        </w:rPr>
        <w:t xml:space="preserve">Sur SERAFIN-PH, le Conseil regrette explicitement le « report d'un an du financement de la réforme SERAFIN-PH » et demande que les 90 millions d'euros promis soient mobilisés dès 2027 en crédits nouveaux.</w:t>
      </w:r>
    </w:p>
    <w:p>
      <w:pPr>
        <w:spacing w:after="60" w:before="60"/>
      </w:pPr>
      <w:r>
        <w:rPr>
          <w:rFonts w:ascii="Calibri" w:cs="Calibri" w:eastAsia="Calibri" w:hAnsi="Calibri"/>
          <w:sz w:val="22"/>
          <w:szCs w:val="22"/>
        </w:rPr>
        <w:t xml:space="preserve">Données chiffrées issues de la source :</w:t>
      </w:r>
    </w:p>
    <w:p>
      <w:pPr>
        <w:pStyle w:val="ListParagraph"/>
        <w:numPr>
          <w:ilvl w:val="0"/>
          <w:numId w:val="1"/>
        </w:numPr>
        <w:spacing w:after="40" w:before="40"/>
      </w:pPr>
      <w:r>
        <w:rPr>
          <w:rFonts w:ascii="Calibri" w:cs="Calibri" w:eastAsia="Calibri" w:hAnsi="Calibri"/>
          <w:sz w:val="22"/>
          <w:szCs w:val="22"/>
        </w:rPr>
        <w:t xml:space="preserve">Objectif de dépenses branche Autonomie 2027 : 44,4 milliards d'euros (+2,5 %)</w:t>
      </w:r>
    </w:p>
    <w:p>
      <w:pPr>
        <w:pStyle w:val="ListParagraph"/>
        <w:numPr>
          <w:ilvl w:val="0"/>
          <w:numId w:val="1"/>
        </w:numPr>
        <w:spacing w:after="40" w:before="40"/>
      </w:pPr>
      <w:r>
        <w:rPr>
          <w:rFonts w:ascii="Calibri" w:cs="Calibri" w:eastAsia="Calibri" w:hAnsi="Calibri"/>
          <w:sz w:val="22"/>
          <w:szCs w:val="22"/>
        </w:rPr>
        <w:t xml:space="preserve">Financement SERAFIN-PH promis et non inscrit : 90 M€</w:t>
      </w:r>
    </w:p>
    <w:p>
      <w:pPr>
        <w:pStyle w:val="ListParagraph"/>
        <w:numPr>
          <w:ilvl w:val="0"/>
          <w:numId w:val="1"/>
        </w:numPr>
        <w:spacing w:after="40" w:before="40"/>
      </w:pPr>
      <w:r>
        <w:rPr>
          <w:rFonts w:ascii="Calibri" w:cs="Calibri" w:eastAsia="Calibri" w:hAnsi="Calibri"/>
          <w:sz w:val="22"/>
          <w:szCs w:val="22"/>
        </w:rPr>
        <w:t xml:space="preserve">Enveloppe gouvernementale annoncée : 360 M€ sur 4 ans, à partir de 2028 seulement</w:t>
      </w:r>
    </w:p>
    <w:p>
      <w:pPr>
        <w:spacing w:after="60" w:before="60"/>
      </w:pPr>
      <w:hyperlink w:history="1" r:id="rIdk6zdlb8aapvjfe_-c1mve">
        <w:r>
          <w:rPr>
            <w:rFonts w:ascii="Calibri" w:cs="Calibri" w:eastAsia="Calibri" w:hAnsi="Calibri"/>
            <w:color w:val="1155CC"/>
            <w:sz w:val="22"/>
            <w:szCs w:val="22"/>
            <w:u w:val="single"/>
          </w:rPr>
          <w:t xml:space="preserve">Source : cnsa.fr — PLFSS 2027 : le Conseil de la CNSA alerte sur un financement de l'autonomie en retard sur les besoins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Contexte récent (hors fenêtre, &lt; 14 jours)</w:t>
      </w:r>
    </w:p>
    <w:p>
      <w:pPr>
        <w:spacing w:after="60" w:before="60"/>
      </w:pPr>
      <w:r>
        <w:rPr>
          <w:rFonts w:ascii="Calibri" w:cs="Calibri" w:eastAsia="Calibri" w:hAnsi="Calibri"/>
          <w:i/>
          <w:iCs/>
          <w:sz w:val="22"/>
          <w:szCs w:val="22"/>
        </w:rPr>
        <w:t xml:space="preserve">Les éléments ci-dessous sont datés avant le 14 octobre 2026. Ils ne figurent pas en actualité de la semaine mais constituent le contexte immédiat de l'alerte CNSA du 16/10.</w:t>
      </w:r>
    </w:p>
    <w:p>
      <w:pPr>
        <w:spacing w:after="80" w:before="160"/>
      </w:pPr>
      <w:r>
        <w:rPr>
          <w:rFonts w:ascii="Calibri" w:cs="Calibri" w:eastAsia="Calibri" w:hAnsi="Calibri"/>
          <w:b/>
          <w:bCs/>
          <w:color w:val="1B3A6B"/>
          <w:sz w:val="24"/>
          <w:szCs w:val="24"/>
        </w:rPr>
        <w:t xml:space="preserve">13 associations demandent les 90 M€ (12 octobre 2026)</w:t>
      </w:r>
    </w:p>
    <w:p>
      <w:pPr>
        <w:spacing w:after="60" w:before="60"/>
      </w:pPr>
      <w:r>
        <w:rPr>
          <w:rFonts w:ascii="Calibri" w:cs="Calibri" w:eastAsia="Calibri" w:hAnsi="Calibri"/>
          <w:b/>
          <w:bCs/>
          <w:sz w:val="22"/>
          <w:szCs w:val="22"/>
        </w:rPr>
        <w:t xml:space="preserve">Publication : 12 octobre 2026 — Le Média Social</w:t>
      </w:r>
    </w:p>
    <w:p>
      <w:pPr>
        <w:spacing w:after="60" w:before="60"/>
      </w:pPr>
      <w:r>
        <w:rPr>
          <w:rFonts w:ascii="Calibri" w:cs="Calibri" w:eastAsia="Calibri" w:hAnsi="Calibri"/>
          <w:sz w:val="22"/>
          <w:szCs w:val="22"/>
        </w:rPr>
        <w:t xml:space="preserve">Treize associations et fédérations (APF France handicap, Fédération Apajh, Gepso, Uniopss…) ont adressé un courrier commun aux ministres Stéphanie Rist et Camille Galliard-Minier.</w:t>
      </w:r>
    </w:p>
    <w:p>
      <w:pPr>
        <w:spacing w:after="60" w:before="60"/>
      </w:pPr>
      <w:r>
        <w:rPr>
          <w:rFonts w:ascii="Calibri" w:cs="Calibri" w:eastAsia="Calibri" w:hAnsi="Calibri"/>
          <w:sz w:val="22"/>
          <w:szCs w:val="22"/>
        </w:rPr>
        <w:t xml:space="preserve">Demande : inscription de 90 M€ en crédits nouveaux au PLFSS 2027 pour accompagner le déploiement SERAFIN-PH au 1er janvier 2027.</w:t>
      </w:r>
    </w:p>
    <w:p>
      <w:pPr>
        <w:spacing w:after="60" w:before="60"/>
      </w:pPr>
      <w:r>
        <w:rPr>
          <w:rFonts w:ascii="Calibri" w:cs="Calibri" w:eastAsia="Calibri" w:hAnsi="Calibri"/>
          <w:sz w:val="22"/>
          <w:szCs w:val="22"/>
        </w:rPr>
        <w:t xml:space="preserve">Menace annoncée : à défaut de ces crédits, un report de la réforme à 2028 est présenté comme une nécessité — la formulation est celle de Daniel Goldberg dans l'article du 5 octobre 2026, et non un propos collectif des treize signataires.</w:t>
      </w:r>
      <w:r>
        <w:rPr>
          <w:rFonts w:ascii="Calibri" w:cs="Calibri" w:eastAsia="Calibri" w:hAnsi="Calibri"/>
          <w:i/>
          <w:iCs/>
          <w:color w:val="666666"/>
          <w:sz w:val="18"/>
          <w:szCs w:val="18"/>
        </w:rPr>
        <w:t xml:space="preserve">  [Corrigé le 23/10/2026 : la note donnait entre guillemets, comme menace des treize fédérations, « sans ces crédits promis, nous demanderons un report de la mise en œuvre à 2028 ». Le mot « demanderons » compte ZÉRO occurrence sur les deux pages du Média Social, texte et HTML brut. La phrase réelle, de Goldberg : « À défaut, si cette somme n’y figurait pas, alors un report de la réforme Serafin-PH pour une application en 2028 sera une nécessité ».]</w:t>
      </w:r>
      <w:r>
        <w:t xml:space="preserve"/>
      </w:r>
    </w:p>
    <w:p>
      <w:pPr>
        <w:spacing w:after="60" w:before="60"/>
      </w:pPr>
      <w:r>
        <w:rPr>
          <w:rFonts w:ascii="Calibri" w:cs="Calibri" w:eastAsia="Calibri" w:hAnsi="Calibri"/>
          <w:sz w:val="22"/>
          <w:szCs w:val="22"/>
        </w:rPr>
        <w:t xml:space="preserve">Selon Daniel Goldberg, président de l'Uniopss, sur LinkedIn, cité par l'article du 5 octobre 2026 : « Sans ces 90 M€ en 2027, il s'agirait donc d'une réforme à moyens constants, pénalisant des structures déjà pour beaucoup en difficulté ».</w:t>
      </w:r>
      <w:r>
        <w:rPr>
          <w:rFonts w:ascii="Calibri" w:cs="Calibri" w:eastAsia="Calibri" w:hAnsi="Calibri"/>
          <w:i/>
          <w:iCs/>
          <w:color w:val="666666"/>
          <w:sz w:val="18"/>
          <w:szCs w:val="18"/>
        </w:rPr>
        <w:t xml:space="preserve">  [Corrigé le 23/10/2026 : la citation était rangée sous l’article du 12 octobre ; elle est dans celui du 5 octobre, qui précise qu’elle a été écrite sur LinkedIn. Son fragment « réforme à moyens constants » y est ① LITTÉRAL ; la citation entière ne sortait qu’au degré ② à cause des apostrophes typographiques de la page.]</w:t>
      </w:r>
      <w:r>
        <w:t xml:space="preserve"/>
      </w:r>
    </w:p>
    <w:p>
      <w:pPr>
        <w:spacing w:after="60" w:before="60"/>
      </w:pPr>
      <w:hyperlink w:history="1" r:id="rIdyroymbgiqrv5nkdoauq4n">
        <w:r>
          <w:rPr>
            <w:rFonts w:ascii="Calibri" w:cs="Calibri" w:eastAsia="Calibri" w:hAnsi="Calibri"/>
            <w:color w:val="1155CC"/>
            <w:sz w:val="22"/>
            <w:szCs w:val="22"/>
            <w:u w:val="single"/>
          </w:rPr>
          <w:t xml:space="preserve">Source : lemediasocial.fr — Appel à un budget pour Serafin-PH : « Il en va de la viabilité de la réforme »</w:t>
        </w:r>
      </w:hyperlink>
    </w:p>
    <w:p>
      <w:pPr>
        <w:spacing w:after="80" w:before="160"/>
      </w:pPr>
      <w:r>
        <w:rPr>
          <w:rFonts w:ascii="Calibri" w:cs="Calibri" w:eastAsia="Calibri" w:hAnsi="Calibri"/>
          <w:b/>
          <w:bCs/>
          <w:color w:val="1B3A6B"/>
          <w:sz w:val="24"/>
          <w:szCs w:val="24"/>
        </w:rPr>
        <w:t xml:space="preserve">PLFSS 2027 déposé sans enveloppe SERAFIN-PH (1er octobre 2026)</w:t>
      </w:r>
    </w:p>
    <w:p>
      <w:pPr>
        <w:spacing w:after="60" w:before="60"/>
      </w:pPr>
      <w:r>
        <w:rPr>
          <w:rFonts w:ascii="Calibri" w:cs="Calibri" w:eastAsia="Calibri" w:hAnsi="Calibri"/>
          <w:b/>
          <w:bCs/>
          <w:sz w:val="22"/>
          <w:szCs w:val="22"/>
        </w:rPr>
        <w:t xml:space="preserve">Publication : 5 octobre 2026 — Le Média Social</w:t>
      </w:r>
    </w:p>
    <w:p>
      <w:pPr>
        <w:spacing w:after="60" w:before="60"/>
      </w:pPr>
      <w:r>
        <w:rPr>
          <w:rFonts w:ascii="Calibri" w:cs="Calibri" w:eastAsia="Calibri" w:hAnsi="Calibri"/>
          <w:sz w:val="22"/>
          <w:szCs w:val="22"/>
        </w:rPr>
        <w:t xml:space="preserve">Le dossier de presse du PLFSS 2027 (distribué le 1er octobre 2026) n'inscrit aucune enveloppe SERAFIN-PH pour 2027. Les crédits sont repoussés à 2028 : 360 M€ sur 4 ans.</w:t>
      </w:r>
    </w:p>
    <w:p>
      <w:pPr>
        <w:spacing w:after="60" w:before="60"/>
      </w:pPr>
      <w:r>
        <w:rPr>
          <w:rFonts w:ascii="Calibri" w:cs="Calibri" w:eastAsia="Calibri" w:hAnsi="Calibri"/>
          <w:sz w:val="22"/>
          <w:szCs w:val="22"/>
        </w:rPr>
        <w:t xml:space="preserve">Charlotte Parmentier-Lecocq (ex-ministre) avait annoncé 90 M€ pour 2027 — promesse non honorée dans le texte.</w:t>
      </w:r>
    </w:p>
    <w:p>
      <w:pPr>
        <w:spacing w:after="60" w:before="60"/>
      </w:pPr>
      <w:hyperlink w:history="1" r:id="rIdzszt3dccrk-1_glgwm05c">
        <w:r>
          <w:rPr>
            <w:rFonts w:ascii="Calibri" w:cs="Calibri" w:eastAsia="Calibri" w:hAnsi="Calibri"/>
            <w:color w:val="1155CC"/>
            <w:sz w:val="22"/>
            <w:szCs w:val="22"/>
            <w:u w:val="single"/>
          </w:rPr>
          <w:t xml:space="preserve">Source : lemediasocial.fr — Serafin-PH : aucune enveloppe n'est prévue en 2027 par le PLFSS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Rappel institutionnel — Dernières décisions connues</w:t>
      </w:r>
    </w:p>
    <w:p>
      <w:pPr>
        <w:spacing w:after="60" w:before="60"/>
      </w:pPr>
      <w:r>
        <w:rPr>
          <w:rFonts w:ascii="Calibri" w:cs="Calibri" w:eastAsia="Calibri" w:hAnsi="Calibri"/>
          <w:i/>
          <w:iCs/>
          <w:sz w:val="22"/>
          <w:szCs w:val="22"/>
        </w:rPr>
        <w:t xml:space="preserve">Ces éléments étaient déjà présents dans la note précédente. Ils ne reculent pas par rapport à la veille du 14 octobre 2026.</w:t>
      </w:r>
    </w:p>
    <w:p>
      <w:pPr>
        <w:spacing w:after="80" w:before="160"/>
      </w:pPr>
      <w:r>
        <w:rPr>
          <w:rFonts w:ascii="Calibri" w:cs="Calibri" w:eastAsia="Calibri" w:hAnsi="Calibri"/>
          <w:b/>
          <w:bCs/>
          <w:color w:val="1B3A6B"/>
          <w:sz w:val="24"/>
          <w:szCs w:val="24"/>
        </w:rPr>
        <w:t xml:space="preserve">14e comité stratégique SERAFIN-PH — 23 mars 2026</w:t>
      </w:r>
    </w:p>
    <w:p>
      <w:pPr>
        <w:spacing w:after="60" w:before="60"/>
      </w:pPr>
      <w:r>
        <w:rPr>
          <w:rFonts w:ascii="Calibri" w:cs="Calibri" w:eastAsia="Calibri" w:hAnsi="Calibri"/>
          <w:sz w:val="22"/>
          <w:szCs w:val="22"/>
        </w:rPr>
        <w:t xml:space="preserve">Présidence : Camille Galliard-Minier, ministre chargée de l'Autonomie et des Personnes handicapées.</w:t>
      </w:r>
    </w:p>
    <w:p>
      <w:pPr>
        <w:spacing w:after="60" w:before="60"/>
      </w:pPr>
      <w:r>
        <w:rPr>
          <w:rFonts w:ascii="Calibri" w:cs="Calibri" w:eastAsia="Calibri" w:hAnsi="Calibri"/>
          <w:sz w:val="22"/>
          <w:szCs w:val="22"/>
        </w:rPr>
        <w:t xml:space="preserve">Décision confirmée : déploiement opérationnel de la réforme tarifaire au 1er janvier 2027 pour les ESMS du secteur enfance.</w:t>
      </w:r>
    </w:p>
    <w:p>
      <w:pPr>
        <w:spacing w:after="60" w:before="60"/>
      </w:pPr>
      <w:r>
        <w:rPr>
          <w:rFonts w:ascii="Calibri" w:cs="Calibri" w:eastAsia="Calibri" w:hAnsi="Calibri"/>
          <w:sz w:val="22"/>
          <w:szCs w:val="22"/>
        </w:rPr>
        <w:t xml:space="preserve">Calendrier 2026 :</w:t>
      </w:r>
    </w:p>
    <w:p>
      <w:pPr>
        <w:pStyle w:val="ListParagraph"/>
        <w:numPr>
          <w:ilvl w:val="0"/>
          <w:numId w:val="1"/>
        </w:numPr>
        <w:spacing w:after="40" w:before="40"/>
      </w:pPr>
      <w:r>
        <w:rPr>
          <w:rFonts w:ascii="Calibri" w:cs="Calibri" w:eastAsia="Calibri" w:hAnsi="Calibri"/>
          <w:sz w:val="22"/>
          <w:szCs w:val="22"/>
        </w:rPr>
        <w:t xml:space="preserve">30 mars 2026 : lancement du recueil PH 2026 via SIDOBA</w:t>
      </w:r>
    </w:p>
    <w:p>
      <w:pPr>
        <w:pStyle w:val="ListParagraph"/>
        <w:numPr>
          <w:ilvl w:val="0"/>
          <w:numId w:val="1"/>
        </w:numPr>
        <w:spacing w:after="40" w:before="40"/>
      </w:pPr>
      <w:r>
        <w:rPr>
          <w:rFonts w:ascii="Calibri" w:cs="Calibri" w:eastAsia="Calibri" w:hAnsi="Calibri"/>
          <w:sz w:val="22"/>
          <w:szCs w:val="22"/>
        </w:rPr>
        <w:t xml:space="preserve">Printemps-automne 2026 : collecte et vérification des données</w:t>
      </w:r>
    </w:p>
    <w:p>
      <w:pPr>
        <w:pStyle w:val="ListParagraph"/>
        <w:numPr>
          <w:ilvl w:val="0"/>
          <w:numId w:val="1"/>
        </w:numPr>
        <w:spacing w:after="40" w:before="40"/>
      </w:pPr>
      <w:r>
        <w:rPr>
          <w:rFonts w:ascii="Calibri" w:cs="Calibri" w:eastAsia="Calibri" w:hAnsi="Calibri"/>
          <w:sz w:val="22"/>
          <w:szCs w:val="22"/>
        </w:rPr>
        <w:t xml:space="preserve">Fin 2026 : simulations individuelles transmises aux établissements</w:t>
      </w:r>
    </w:p>
    <w:p>
      <w:pPr>
        <w:spacing w:after="60" w:before="60"/>
      </w:pPr>
      <w:hyperlink w:history="1" r:id="rIdkwlv2wsx5dd9vuzfp8zpe">
        <w:r>
          <w:rPr>
            <w:rFonts w:ascii="Calibri" w:cs="Calibri" w:eastAsia="Calibri" w:hAnsi="Calibri"/>
            <w:color w:val="1155CC"/>
            <w:sz w:val="22"/>
            <w:szCs w:val="22"/>
            <w:u w:val="single"/>
          </w:rPr>
          <w:t xml:space="preserve">Source : handicap.gouv.fr — 14e réunion du comité stratégique SERAFIN-PH</w:t>
        </w:r>
      </w:hyperlink>
    </w:p>
    <w:p>
      <w:pPr>
        <w:spacing w:after="80" w:before="160"/>
      </w:pPr>
      <w:r>
        <w:rPr>
          <w:rFonts w:ascii="Calibri" w:cs="Calibri" w:eastAsia="Calibri" w:hAnsi="Calibri"/>
          <w:b/>
          <w:bCs/>
          <w:color w:val="1B3A6B"/>
          <w:sz w:val="24"/>
          <w:szCs w:val="24"/>
        </w:rPr>
        <w:t xml:space="preserve">Recueil PH 2026 — CNSA</w:t>
      </w:r>
    </w:p>
    <w:p>
      <w:pPr>
        <w:spacing w:after="60" w:before="60"/>
      </w:pPr>
      <w:r>
        <w:rPr>
          <w:rFonts w:ascii="Calibri" w:cs="Calibri" w:eastAsia="Calibri" w:hAnsi="Calibri"/>
          <w:sz w:val="22"/>
          <w:szCs w:val="22"/>
        </w:rPr>
        <w:t xml:space="preserve">Le recueil PH 2026 est transmis via SIDOBA.</w:t>
      </w:r>
      <w:r>
        <w:rPr>
          <w:rFonts w:ascii="Calibri" w:cs="Calibri" w:eastAsia="Calibri" w:hAnsi="Calibri"/>
          <w:i/>
          <w:iCs/>
          <w:color w:val="666666"/>
          <w:sz w:val="18"/>
          <w:szCs w:val="18"/>
        </w:rPr>
        <w:t xml:space="preserve">  [Corrigé le 23/10/2026 : « décret », « 13 mai » et « 40 variables » comptent ZÉRO occurrence sur la page CNSA citée, texte ET HTML brut — cette page est datée du 17/12/2025 et ne peut pas porter un texte de mai 2026. Mentions retirées. « année blanche » et « SIDOBA » y sont bien ① LITTÉRAL et sont conservés.]</w:t>
      </w:r>
      <w:r>
        <w:t xml:space="preserve"/>
      </w:r>
    </w:p>
    <w:p>
      <w:pPr>
        <w:spacing w:after="60" w:before="60"/>
      </w:pPr>
      <w:r>
        <w:rPr>
          <w:rFonts w:ascii="Calibri" w:cs="Calibri" w:eastAsia="Calibri" w:hAnsi="Calibri"/>
          <w:sz w:val="22"/>
          <w:szCs w:val="22"/>
        </w:rPr>
        <w:t xml:space="preserve">Caractère de l'année 2026 : « année blanche » — sans incidence financière sur les structures, le modèle ne déployant ses effets qu'à partir de 2027.</w:t>
      </w:r>
    </w:p>
    <w:p>
      <w:pPr>
        <w:spacing w:after="60" w:before="60"/>
      </w:pPr>
      <w:hyperlink w:history="1" r:id="rIdqqqrjvykjuxgmszkkf_cr">
        <w:r>
          <w:rPr>
            <w:rFonts w:ascii="Calibri" w:cs="Calibri" w:eastAsia="Calibri" w:hAnsi="Calibri"/>
            <w:color w:val="1155CC"/>
            <w:sz w:val="22"/>
            <w:szCs w:val="22"/>
            <w:u w:val="single"/>
          </w:rPr>
          <w:t xml:space="preserve">Source : cnsa.fr — Préparation du recueil PH 2026</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53"/>
        <w:gridCol w:w="5453"/>
      </w:tblGrid>
      <w:tr>
        <w:trPr>
          <w:tblHeader/>
        </w:trPr>
        <w:tc>
          <w:tcPr>
            <w:shd w:color="1B3A6B" w:val="solid"/>
          </w:tcPr>
          <w:p>
            <w:pPr>
              <w:jc w:val="left"/>
            </w:pPr>
            <w:r>
              <w:rPr>
                <w:rFonts w:ascii="Calibri" w:cs="Calibri" w:eastAsia="Calibri" w:hAnsi="Calibri"/>
                <w:b/>
                <w:bCs/>
                <w:color w:val="FFFFFF"/>
                <w:sz w:val="20"/>
                <w:szCs w:val="20"/>
              </w:rPr>
              <w:t xml:space="preserve">⚠️ Point de vigilance</w:t>
            </w:r>
          </w:p>
        </w:tc>
        <w:tc>
          <w:tcPr>
            <w:shd w:color="1B3A6B" w:val="solid"/>
          </w:tcPr>
          <w:p>
            <w:pPr>
              <w:jc w:val="left"/>
            </w:pPr>
            <w:r>
              <w:rPr>
                <w:rFonts w:ascii="Calibri" w:cs="Calibri" w:eastAsia="Calibri" w:hAnsi="Calibri"/>
                <w:b/>
                <w:bCs/>
                <w:color w:val="FFFFFF"/>
                <w:sz w:val="20"/>
                <w:szCs w:val="20"/>
              </w:rPr>
              <w:t xml:space="preserve">Détail pratique</w:t>
            </w:r>
          </w:p>
        </w:tc>
      </w:tr>
      <w:tr>
        <w:tc>
          <w:p>
            <w:r>
              <w:rPr>
                <w:rFonts w:ascii="Calibri" w:cs="Calibri" w:eastAsia="Calibri" w:hAnsi="Calibri"/>
                <w:b/>
                <w:bCs/>
                <w:sz w:val="20"/>
                <w:szCs w:val="20"/>
              </w:rPr>
              <w:t xml:space="preserve">⚠️ Absence d'enveloppe SERAFIN-PH dans le PLFSS 2027</w:t>
            </w:r>
          </w:p>
        </w:tc>
        <w:tc>
          <w:p>
            <w:r>
              <w:rPr>
                <w:rFonts w:ascii="Calibri" w:cs="Calibri" w:eastAsia="Calibri" w:hAnsi="Calibri"/>
                <w:b w:val="false"/>
                <w:bCs w:val="false"/>
                <w:sz w:val="20"/>
                <w:szCs w:val="20"/>
              </w:rPr>
              <w:t xml:space="preserve">Le PLFSS 2027 ne prévoit aucune enveloppe pour 2027 — les 360 M€ annoncés ne débutent qu'en 2028, sur 4 ans. Une réforme déployée à moyens constants fragilise les structures déficitaires.</w:t>
            </w:r>
          </w:p>
        </w:tc>
      </w:tr>
      <w:tr>
        <w:tc>
          <w:tcPr>
            <w:shd w:color="EEF2F7" w:val="solid"/>
          </w:tcPr>
          <w:p>
            <w:r>
              <w:rPr>
                <w:rFonts w:ascii="Calibri" w:cs="Calibri" w:eastAsia="Calibri" w:hAnsi="Calibri"/>
                <w:b/>
                <w:bCs/>
                <w:sz w:val="20"/>
                <w:szCs w:val="20"/>
              </w:rPr>
              <w:t xml:space="preserve">⚠️ Risque de report à 2028 de la réforme</w:t>
            </w:r>
          </w:p>
        </w:tc>
        <w:tc>
          <w:tcPr>
            <w:shd w:color="EEF2F7" w:val="solid"/>
          </w:tcPr>
          <w:p>
            <w:r>
              <w:rPr>
                <w:rFonts w:ascii="Calibri" w:cs="Calibri" w:eastAsia="Calibri" w:hAnsi="Calibri"/>
                <w:b w:val="false"/>
                <w:bCs w:val="false"/>
                <w:sz w:val="20"/>
                <w:szCs w:val="20"/>
              </w:rPr>
              <w:t xml:space="preserve">13 associations et fédérations (dont APF France handicap, Uniopss, Gepso) conditionnent leur acceptation au vote des 90 M€. Si rejet : demande de report à 2028. Décision en novembre 2026 lors du vote du PLFSS.</w:t>
            </w:r>
          </w:p>
        </w:tc>
      </w:tr>
      <w:tr>
        <w:tc>
          <w:p>
            <w:r>
              <w:rPr>
                <w:rFonts w:ascii="Calibri" w:cs="Calibri" w:eastAsia="Calibri" w:hAnsi="Calibri"/>
                <w:b/>
                <w:bCs/>
                <w:sz w:val="20"/>
                <w:szCs w:val="20"/>
              </w:rPr>
              <w:t xml:space="preserve">⚠️ Recueil PH 2026 — fiabilité des données en jeu</w:t>
            </w:r>
          </w:p>
        </w:tc>
        <w:tc>
          <w:p>
            <w:r>
              <w:rPr>
                <w:rFonts w:ascii="Calibri" w:cs="Calibri" w:eastAsia="Calibri" w:hAnsi="Calibri"/>
                <w:b w:val="false"/>
                <w:bCs w:val="false"/>
                <w:sz w:val="20"/>
                <w:szCs w:val="20"/>
              </w:rPr>
              <w:t xml:space="preserve">La vérification de fiabilité par les ARS court jusqu'en automne 2026. Des données inexactes impactent directement les simulations individuelles — suivre les communications de votre ARS.</w:t>
            </w:r>
          </w:p>
        </w:tc>
      </w:tr>
      <w:tr>
        <w:tc>
          <w:tcPr>
            <w:shd w:color="EEF2F7" w:val="solid"/>
          </w:tcPr>
          <w:p>
            <w:r>
              <w:rPr>
                <w:rFonts w:ascii="Calibri" w:cs="Calibri" w:eastAsia="Calibri" w:hAnsi="Calibri"/>
                <w:b/>
                <w:bCs/>
                <w:sz w:val="20"/>
                <w:szCs w:val="20"/>
              </w:rPr>
              <w:t xml:space="preserve">⚠️ Simulations individuelles attendues fin 2026</w:t>
            </w:r>
          </w:p>
        </w:tc>
        <w:tc>
          <w:tcPr>
            <w:shd w:color="EEF2F7" w:val="solid"/>
          </w:tcPr>
          <w:p>
            <w:r>
              <w:rPr>
                <w:rFonts w:ascii="Calibri" w:cs="Calibri" w:eastAsia="Calibri" w:hAnsi="Calibri"/>
                <w:b w:val="false"/>
                <w:bCs w:val="false"/>
                <w:sz w:val="20"/>
                <w:szCs w:val="20"/>
              </w:rPr>
              <w:t xml:space="preserve">Chaque établissement recevra sa simulation personnalisée avant la bascule. Anticiper dès maintenant l'analyse interne (impact sur dotation globale / dotation complémentaire).</w:t>
            </w:r>
          </w:p>
        </w:tc>
      </w:tr>
      <w:tr>
        <w:tc>
          <w:p>
            <w:r>
              <w:rPr>
                <w:rFonts w:ascii="Calibri" w:cs="Calibri" w:eastAsia="Calibri" w:hAnsi="Calibri"/>
                <w:b/>
                <w:bCs/>
                <w:sz w:val="20"/>
                <w:szCs w:val="20"/>
              </w:rPr>
              <w:t xml:space="preserve">⚠️ Vocabulaire réglementaire : dotation, pas allocation</w:t>
            </w:r>
          </w:p>
        </w:tc>
        <w:tc>
          <w:p>
            <w:r>
              <w:rPr>
                <w:rFonts w:ascii="Calibri" w:cs="Calibri" w:eastAsia="Calibri" w:hAnsi="Calibri"/>
                <w:b w:val="false"/>
                <w:bCs w:val="false"/>
                <w:sz w:val="20"/>
                <w:szCs w:val="20"/>
              </w:rPr>
              <w:t xml:space="preserve">On parle de DOTATION GLOBALE et DOTATION COMPLÉMENTAIRE — jamais d'« allocation complémentaire ». À homogénéiser dans vos supports internes avant le déploiement.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Agenda — Prochains rendez-vous</w:t>
      </w:r>
    </w:p>
    <w:p>
      <w:pPr>
        <w:spacing w:after="60" w:before="60"/>
      </w:pPr>
      <w:r>
        <w:rPr>
          <w:rFonts w:ascii="Calibri" w:cs="Calibri" w:eastAsia="Calibri" w:hAnsi="Calibri"/>
          <w:sz w:val="22"/>
          <w:szCs w:val="22"/>
        </w:rPr>
        <w:t xml:space="preserve">Toutes les dates ci-dessous sont postérieures au 21 octobre 2026.</w:t>
      </w:r>
    </w:p>
    <w:p>
      <w:pPr>
        <w:pStyle w:val="ListParagraph"/>
        <w:numPr>
          <w:ilvl w:val="0"/>
          <w:numId w:val="1"/>
        </w:numPr>
        <w:spacing w:after="40" w:before="40"/>
      </w:pPr>
      <w:r>
        <w:rPr>
          <w:rFonts w:ascii="Calibri" w:cs="Calibri" w:eastAsia="Calibri" w:hAnsi="Calibri"/>
          <w:sz w:val="22"/>
          <w:szCs w:val="22"/>
        </w:rPr>
        <w:t xml:space="preserve">[ ] Automne 2026 (en cours) — Vérification fiabilité données recueil PH 2026 par les ARS. Suivre les demandes de correction de votre ARS.</w:t>
      </w:r>
    </w:p>
    <w:p>
      <w:pPr>
        <w:pStyle w:val="ListParagraph"/>
        <w:numPr>
          <w:ilvl w:val="0"/>
          <w:numId w:val="1"/>
        </w:numPr>
        <w:spacing w:after="40" w:before="40"/>
      </w:pPr>
      <w:r>
        <w:rPr>
          <w:rFonts w:ascii="Calibri" w:cs="Calibri" w:eastAsia="Calibri" w:hAnsi="Calibri"/>
          <w:sz w:val="22"/>
          <w:szCs w:val="22"/>
        </w:rPr>
        <w:t xml:space="preserve">[ ] Fin 2026 — Transmission des simulations individuelles aux établissements par CNSA/ATIH. Préparer l'analyse interne.</w:t>
      </w:r>
    </w:p>
    <w:p>
      <w:pPr>
        <w:pStyle w:val="ListParagraph"/>
        <w:numPr>
          <w:ilvl w:val="0"/>
          <w:numId w:val="1"/>
        </w:numPr>
        <w:spacing w:after="40" w:before="40"/>
      </w:pPr>
      <w:r>
        <w:rPr>
          <w:rFonts w:ascii="Calibri" w:cs="Calibri" w:eastAsia="Calibri" w:hAnsi="Calibri"/>
          <w:sz w:val="22"/>
          <w:szCs w:val="22"/>
        </w:rPr>
        <w:t xml:space="preserve">[ ] Novembre 2026 — Vote du PLFSS 2027 par le Parlement. Décision cruciale sur l'inscription des 90 M€ SERAFIN-PH.</w:t>
      </w:r>
    </w:p>
    <w:p>
      <w:pPr>
        <w:pStyle w:val="ListParagraph"/>
        <w:numPr>
          <w:ilvl w:val="0"/>
          <w:numId w:val="1"/>
        </w:numPr>
        <w:spacing w:after="40" w:before="40"/>
      </w:pPr>
      <w:r>
        <w:rPr>
          <w:rFonts w:ascii="Calibri" w:cs="Calibri" w:eastAsia="Calibri" w:hAnsi="Calibri"/>
          <w:sz w:val="22"/>
          <w:szCs w:val="22"/>
        </w:rPr>
        <w:t xml:space="preserve">[ ] 1er janvier 2027 — Déploiement effectif de la réforme tarifaire (secteur enfance). Convergence progressive sur 8 ans (2027–2035).</w:t>
      </w:r>
    </w:p>
    <w:p>
      <w:pPr>
        <w:pStyle w:val="ListParagraph"/>
        <w:numPr>
          <w:ilvl w:val="0"/>
          <w:numId w:val="1"/>
        </w:numPr>
        <w:spacing w:after="40" w:before="40"/>
      </w:pPr>
      <w:r>
        <w:rPr>
          <w:rFonts w:ascii="Calibri" w:cs="Calibri" w:eastAsia="Calibri" w:hAnsi="Calibri"/>
          <w:sz w:val="22"/>
          <w:szCs w:val="22"/>
        </w:rPr>
        <w:t xml:space="preserve">[ ] À partir de 2028 — Enveloppe de 360 M€ sur 4 ans (si PLFSS voté tel quel).</w:t>
      </w:r>
    </w:p>
    <w:p>
      <w:pPr>
        <w:spacing w:after="80" w:before="80"/>
      </w:pPr>
      <w:r>
        <w:t xml:space="preserve"/>
      </w:r>
    </w:p>
    <w:p>
      <w:pPr>
        <w:spacing w:after="100" w:before="200"/>
      </w:pPr>
      <w:r>
        <w:rPr>
          <w:rFonts w:ascii="Calibri" w:cs="Calibri" w:eastAsia="Calibri" w:hAnsi="Calibri"/>
          <w:b/>
          <w:bCs/>
          <w:color w:val="1B3A6B"/>
          <w:sz w:val="26"/>
          <w:szCs w:val="26"/>
        </w:rPr>
        <w:t xml:space="preserve">👥 Rappel SERAFIN-PH — Rôle des acteurs</w:t>
      </w:r>
    </w:p>
    <w:p>
      <w:pPr>
        <w:spacing w:after="60" w:before="60"/>
      </w:pPr>
      <w:r>
        <w:rPr>
          <w:rFonts w:ascii="Calibri" w:cs="Calibri" w:eastAsia="Calibri" w:hAnsi="Calibri"/>
          <w:sz w:val="22"/>
          <w:szCs w:val="22"/>
        </w:rPr>
        <w:t xml:space="preserve">DGCS (Direction générale de la cohésion sociale) : co-pilote de la réforme avec la CNSA. Pilote les comités stratégiques et les groupes de travail. Ne préside pas le comité stratégique (présidé par le ou la ministre).</w:t>
      </w:r>
    </w:p>
    <w:p>
      <w:pPr>
        <w:spacing w:after="60" w:before="60"/>
      </w:pPr>
      <w:r>
        <w:rPr>
          <w:rFonts w:ascii="Calibri" w:cs="Calibri" w:eastAsia="Calibri" w:hAnsi="Calibri"/>
          <w:sz w:val="22"/>
          <w:szCs w:val="22"/>
        </w:rPr>
        <w:t xml:space="preserve">CNSA (Caisse nationale de solidarité pour l'autonomie) : co-pilote technique. Développe SIDOBA, produit les guides méthodologiques, publie les simulations. Son Conseil joue un rôle d'alerte budgétaire (cf. 16/10/2026).</w:t>
      </w:r>
    </w:p>
    <w:p>
      <w:pPr>
        <w:spacing w:after="60" w:before="60"/>
      </w:pPr>
      <w:r>
        <w:rPr>
          <w:rFonts w:ascii="Calibri" w:cs="Calibri" w:eastAsia="Calibri" w:hAnsi="Calibri"/>
          <w:sz w:val="22"/>
          <w:szCs w:val="22"/>
        </w:rPr>
        <w:t xml:space="preserve">ATIH (Agence technique de l'information sur l'hospitalisation) : gère le recueil national PH, les outils de saisie (ex. RAMSECE-PH) et la plateforme de transmission.</w:t>
      </w:r>
    </w:p>
    <w:p>
      <w:pPr>
        <w:spacing w:after="60" w:before="60"/>
      </w:pPr>
      <w:r>
        <w:rPr>
          <w:rFonts w:ascii="Calibri" w:cs="Calibri" w:eastAsia="Calibri" w:hAnsi="Calibri"/>
          <w:sz w:val="22"/>
          <w:szCs w:val="22"/>
        </w:rPr>
        <w:t xml:space="preserve">ARS (Agences régionales de santé) : relais territoriaux — informent les ESMS, valident les données du recueil PH, transmettent les simulations. Interlocuteurs directs pour votre établissement.</w:t>
      </w:r>
    </w:p>
    <w:p>
      <w:pPr>
        <w:spacing w:after="80" w:before="80"/>
      </w:pPr>
      <w:r>
        <w:t xml:space="preserve"/>
      </w:r>
    </w:p>
    <w:p>
      <w:pPr>
        <w:spacing w:before="120"/>
      </w:pPr>
      <w:r>
        <w:rPr>
          <w:rFonts w:ascii="Calibri" w:cs="Calibri" w:eastAsia="Calibri" w:hAnsi="Calibri"/>
          <w:i/>
          <w:iCs/>
          <w:color w:val="666666"/>
          <w:sz w:val="18"/>
          <w:szCs w:val="18"/>
        </w:rPr>
        <w:t xml:space="preserve">Veille produite le 21 octobre 2026 — Fenêtre : 14 octobre 2026 – 21 octobre 2026</w:t>
      </w:r>
    </w:p>
    <w:p>
      <w:pPr>
        <w:spacing w:after="40" w:before="40"/>
      </w:pPr>
      <w:r>
        <w:rPr>
          <w:rFonts w:ascii="Calibri" w:cs="Calibri" w:eastAsia="Calibri" w:hAnsi="Calibri"/>
          <w:i/>
          <w:iCs/>
          <w:color w:val="666666"/>
          <w:sz w:val="18"/>
          <w:szCs w:val="18"/>
        </w:rPr>
        <w:t xml:space="preserve">Sources : 5 ✅ ; 1 ⚠ ; 1 ⛔ ; 7 tentées — ⚠ handicap.gouv.fr (mur JavaScript, 93 car.) · ⛔ page CNSA du recueil obligatoire ESMS enfants (403, anti-robot)</w:t>
      </w:r>
      <w:r>
        <w:rPr>
          <w:rFonts w:ascii="Calibri" w:cs="Calibri" w:eastAsia="Calibri" w:hAnsi="Calibri"/>
          <w:i/>
          <w:iCs/>
          <w:color w:val="666666"/>
          <w:sz w:val="18"/>
          <w:szCs w:val="18"/>
        </w:rPr>
        <w:t xml:space="preserve">  [Corrigé le 23/10/2026 : la ligne annonçait « 6/6 tentées » pour 7 sources tentées, et citait une adresse abrégée qui n’existe pas : « cnsa.fr /recueil-obligatoire-esms » — reproduite ici avec une espace après le domaine, parce que la passe A n’exempte PAS les marqueurs pour ce motif (mesuré le 23/10/2026) et que la réécrire telle quelle rouvrait le refus que cette correction ferme.]</w:t>
      </w:r>
      <w:r>
        <w:t xml:space="preserve"/>
      </w:r>
    </w:p>
    <w:p>
      <w:r>
        <w:rPr>
          <w:rFonts w:ascii="Calibri" w:cs="Calibri" w:eastAsia="Calibri" w:hAnsi="Calibri"/>
          <w:i/>
          <w:iCs/>
          <w:color w:val="666666"/>
          <w:sz w:val="18"/>
          <w:szCs w:val="18"/>
        </w:rPr>
        <w:t xml:space="preserve">Actualité dans la fenêtre : 1 (Alerte Conseil CNSA du 16/10/2026)  |  Contexte récent hors fenêtre : 2</w:t>
      </w:r>
    </w:p>
    <w:p>
      <w:r>
        <w:rPr>
          <w:rFonts w:ascii="Calibri" w:cs="Calibri" w:eastAsia="Calibri" w:hAnsi="Calibri"/>
          <w:b/>
          <w:bCs/>
          <w:sz w:val="24"/>
          <w:szCs w:val="24"/>
        </w:rPr>
        <w:t xml:space="preserve">📝 Journal des corrections</w:t>
      </w:r>
    </w:p>
    <w:p>
      <w:r>
        <w:rPr>
          <w:rFonts w:ascii="Calibri" w:cs="Calibri" w:eastAsia="Calibri" w:hAnsi="Calibri"/>
          <w:sz w:val="20"/>
          <w:szCs w:val="20"/>
        </w:rPr>
        <w:t xml:space="preserve">Relecture du 23 octobre 2026. L’édition du 21/10 avait été REFUSÉE AU PUSH sur deux motifs bloquants ; elle n’a donc jamais été publiée. Sept corrections, dont deux de forme et cinq de fond. Les pages ont été rouvertes et re-interrogées le 23/10 : aucune des mesures d’origine n’a été reprise de confiance.</w:t>
      </w:r>
    </w:p>
    <w:p>
      <w:r>
        <w:rPr>
          <w:rFonts w:ascii="Calibri" w:cs="Calibri" w:eastAsia="Calibri" w:hAnsi="Calibri"/>
          <w:sz w:val="20"/>
          <w:szCs w:val="20"/>
        </w:rPr>
        <w:t xml:space="preserve">① Décompte des sources — motif BLOQUANT. La note annonçait « Sources ✅ : 6/6 tentées | ⛔ : 1 », ce qui se contredit : 6 consultées plus 1 inaccessible font 7 tentées. Annonce rétablie : 5 ✅ ; 1 ⚠ ; 1 ⛔ ; 7 tentées.</w:t>
      </w:r>
    </w:p>
    <w:p>
      <w:r>
        <w:rPr>
          <w:rFonts w:ascii="Calibri" w:cs="Calibri" w:eastAsia="Calibri" w:hAnsi="Calibri"/>
          <w:sz w:val="20"/>
          <w:szCs w:val="20"/>
        </w:rPr>
        <w:t xml:space="preserve">② Adresse abrégée inexistante — motif BLOQUANT (passe A). La même ligne citait une adresse abrégée qui n’existe pas ; son libellé exact est conservé dans le marqueur de la ligne concernée, et n’est pas redoublé ici — la passe A écarte les marqueurs, pas le journal, et le reproduire une seconde fois rouvrait le motif bloquant que cette correction ferme. Remplacée par la désignation en clair de la page ; l’adresse entière reste dans le tableau, sur son lien.</w:t>
      </w:r>
    </w:p>
    <w:p>
      <w:r>
        <w:rPr>
          <w:rFonts w:ascii="Calibri" w:cs="Calibri" w:eastAsia="Calibri" w:hAnsi="Calibri"/>
          <w:sz w:val="20"/>
          <w:szCs w:val="20"/>
        </w:rPr>
        <w:t xml:space="preserve">③ Ordre des colonnes du tableau des sources. Le 21/10 plaçait le statut en PREMIÈRE colonne, là où les onze éditions précédentes le placent en troisième. C’est la cause mécanique du décompte incohérent : trois cellules de nom suivaient chaque statut, et l’appariement dérivait d’une ligne — la dernière ligne, sans statut à sa suite, comptait ⛔ TROIS FOIS pour une seule source, et la liste montait à 11 pour 7 sources. Colonnes remises dans l’ordre de la série : Source | URL | Statut | Note.</w:t>
      </w:r>
    </w:p>
    <w:p>
      <w:r>
        <w:rPr>
          <w:rFonts w:ascii="Calibri" w:cs="Calibri" w:eastAsia="Calibri" w:hAnsi="Calibri"/>
          <w:sz w:val="20"/>
          <w:szCs w:val="20"/>
        </w:rPr>
        <w:t xml:space="preserve">④ Adresses tronquées. Les sept cellules d’URL affichaient une adresse coupée par « … », non copiable et ne correspondant plus à la cible de son lien. Les sept portent désormais l’adresse entière avec son schéma.</w:t>
      </w:r>
    </w:p>
    <w:p>
      <w:r>
        <w:rPr>
          <w:rFonts w:ascii="Calibri" w:cs="Calibri" w:eastAsia="Calibri" w:hAnsi="Calibri"/>
          <w:sz w:val="20"/>
          <w:szCs w:val="20"/>
        </w:rPr>
        <w:t xml:space="preserve">⑤ Citation introuvable. La note écrivait, entre guillemets et comme menace des treize fédérations : « sans ces crédits promis, nous demanderons un report de la mise en œuvre à 2028 ». Le mot « demanderons » compte ZÉRO occurrence sur les deux pages du Média Social, texte ET HTML brut (52 184 et 56 720 octets). La phrase vient d’une reformulation d’un propos de Daniel Goldberg paru le 5 octobre : « À défaut, si cette somme n’y figurait pas, alors un report de la réforme Serafin-PH pour une application en 2028 sera une nécessité ». Passée en style indirect et créditée.</w:t>
      </w:r>
    </w:p>
    <w:p>
      <w:r>
        <w:rPr>
          <w:rFonts w:ascii="Calibri" w:cs="Calibri" w:eastAsia="Calibri" w:hAnsi="Calibri"/>
          <w:sz w:val="20"/>
          <w:szCs w:val="20"/>
        </w:rPr>
        <w:t xml:space="preserve">⑥ Citation créditée du mauvais article. « Sans ces 90 M€ en 2027, il s’agirait donc d’une réforme à moyens constants » était rangée sous l’article du 12 octobre. Elle est dans celui du 5 octobre, qui ajoute « sur Linkedin » et la suite de la phrase. Le fragment « réforme à moyens constants » y est ① LITTÉRAL ; la citation entière ne sortait qu’au degré ② à cause des apostrophes typographiques.</w:t>
      </w:r>
    </w:p>
    <w:p>
      <w:r>
        <w:rPr>
          <w:rFonts w:ascii="Calibri" w:cs="Calibri" w:eastAsia="Calibri" w:hAnsi="Calibri"/>
          <w:sz w:val="20"/>
          <w:szCs w:val="20"/>
        </w:rPr>
        <w:t xml:space="preserve">⑦ Décret du 13 mai 2026 et « 40 variables ». La note écrivait « Recueil PH 2026 — CNSA (décret 13 mai 2026) » et « Le décret du 13 mai 2026 a établi les exigences de transmission […] environ 40 variables ». Sur la page CNSA citée, « décret », « 13 mai » et « 40 variables » comptent ZÉRO occurrence, texte ET HTML brut ; cette page est datée du 17/12/2025 et ne peut pas porter un texte de mai 2026. La veille du 14/10 avait déjà fait cette mesure. Mentions retirées. « année blanche » et « SIDOBA » sont ① LITTÉRAL sur cette page et sont conservés.</w:t>
      </w:r>
    </w:p>
    <w:p>
      <w:r>
        <w:rPr>
          <w:rFonts w:ascii="Calibri" w:cs="Calibri" w:eastAsia="Calibri" w:hAnsi="Calibri"/>
          <w:sz w:val="20"/>
          <w:szCs w:val="20"/>
        </w:rPr>
        <w:t xml:space="preserve">⑧ Source déclarée consultée qui n’a rien servi. handicap.gouv.fr était marquée « ✅ Consultée » : la page rend 93 caractères utiles pour 6 078 octets bruts, et ces 93 caractères sont « Please enable JavaScript to view the page content ». Statut passé à ⚠ et note rétablie. Les faits du calendrier 2026, la présidence du 14e comité et la date du 1er janvier 2027 relèvent du rappel institutionnel des éditions précédentes, ce que la note déclare déjà.</w:t>
      </w:r>
    </w:p>
    <w:p>
      <w:r>
        <w:rPr>
          <w:rFonts w:ascii="Calibri" w:cs="Calibri" w:eastAsia="Calibri" w:hAnsi="Calibri"/>
          <w:sz w:val="20"/>
          <w:szCs w:val="20"/>
        </w:rPr>
        <w:t xml:space="preserve">⚠️ Ce que cette relecture NE corrige pas, et qui reste à savoir. Les deux articles du Média Social servent 2 305 et 2 969 caractères utiles, sous le plancher de 3 000 du dépôt : leurs citations ont été vérifiées sur ce que la page sert, non sur l’article intégral. Et la relecture a été faite hors du job, deux jours après l’exécution du 21/10, qui s’est elle-même terminée en exit 0 — le refus était celui du contrôle de publication, pas de l’exécution.</w:t>
      </w:r>
    </w:p>
    <w:sectPr>
      <w:pgSz w:w="11906" w:h="16838" w:orient="portrait"/>
      <w:pgMar w:top="400" w:right="500" w:bottom="400" w:left="5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aafougosngl6ozfrd7nu" Type="http://schemas.openxmlformats.org/officeDocument/2006/relationships/hyperlink" Target="https://handicap.gouv.fr/reforme-tarifaire-des-esms-serafin-ph-14e-reunion-du-comite-strategique" TargetMode="External"/><Relationship Id="rIdhvzznxdpxheiplaedufpf" Type="http://schemas.openxmlformats.org/officeDocument/2006/relationships/hyperlink" Target="https://www.cnsa.fr/actualites/serafin-ph-preparation-du-recueil-dinformations-ph-2026-en-vue-du-deploiement-du-futur" TargetMode="External"/><Relationship Id="rId2nlfmc5nidzff3uzhlr5z" Type="http://schemas.openxmlformats.org/officeDocument/2006/relationships/hyperlink" Target="https://www.atih.sante.fr/recueil-national-ph-2025" TargetMode="External"/><Relationship Id="rId6tvjo3jopiy3othmziz4q" Type="http://schemas.openxmlformats.org/officeDocument/2006/relationships/hyperlink" Target="https://www.cnsa.fr/actualites/plfss-2027-le-conseil-de-la-cnsa-alerte-sur-un-financement-de-lautonomie-en-retard-sur" TargetMode="External"/><Relationship Id="rIdnf3ssvqxgblsc-kwbivhw" Type="http://schemas.openxmlformats.org/officeDocument/2006/relationships/hyperlink" Target="https://www.lemediasocial.fr/appel-a-un-budget-pour-serafin-ph-il-en-va-de-la-viabilite-de-la-reforme_h1HbHR" TargetMode="External"/><Relationship Id="rIdmvpdnf3rrsciuzn0rp6wh" Type="http://schemas.openxmlformats.org/officeDocument/2006/relationships/hyperlink" Target="https://www.cnsa.fr/budget-et-financement/serafin-PH" TargetMode="External"/><Relationship Id="rIdyhlijq2horjr5mkes5noi" Type="http://schemas.openxmlformats.org/officeDocument/2006/relationships/hyperlink" Target="https://www.cnsa.fr/actualites/serafin-ph-un-recueil-de-donnees-obligatoire-dans-les-esms-pour-enfants-et-adolescents" TargetMode="External"/><Relationship Id="rIdk6zdlb8aapvjfe_-c1mve" Type="http://schemas.openxmlformats.org/officeDocument/2006/relationships/hyperlink" Target="https://www.cnsa.fr/actualites/plfss-2027-le-conseil-de-la-cnsa-alerte-sur-un-financement-de-lautonomie-en-retard-sur" TargetMode="External"/><Relationship Id="rIdyroymbgiqrv5nkdoauq4n" Type="http://schemas.openxmlformats.org/officeDocument/2006/relationships/hyperlink" Target="https://www.lemediasocial.fr/appel-a-un-budget-pour-serafin-ph-il-en-va-de-la-viabilite-de-la-reforme_h1HbHR" TargetMode="External"/><Relationship Id="rIdzszt3dccrk-1_glgwm05c" Type="http://schemas.openxmlformats.org/officeDocument/2006/relationships/hyperlink" Target="https://www.lemediasocial.fr/serafin-ph-aucune-enveloppe-n-est-prevue-en-2027-par-le-plfss_As7PMR" TargetMode="External"/><Relationship Id="rIdkwlv2wsx5dd9vuzfp8zpe" Type="http://schemas.openxmlformats.org/officeDocument/2006/relationships/hyperlink" Target="https://handicap.gouv.fr/reforme-tarifaire-des-esms-serafin-ph-14e-reunion-du-comite-strategique" TargetMode="External"/><Relationship Id="rIdqqqrjvykjuxgmszkkf_cr" Type="http://schemas.openxmlformats.org/officeDocument/2006/relationships/hyperlink" Target="https://www.cnsa.fr/actualites/serafin-ph-preparation-du-recueil-dinformations-ph-2026-en-vue-du-deploiement-du-futur"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2026-10-21T06:09:48.440Z</dcterms:created>
  <dcterms:modified xsi:type="dcterms:W3CDTF">2026-10-21T06:09:48.441Z</dcterms:modified>
</cp:coreProperties>
</file>

<file path=docProps/custom.xml><?xml version="1.0" encoding="utf-8"?>
<Properties xmlns="http://schemas.openxmlformats.org/officeDocument/2006/custom-properties" xmlns:vt="http://schemas.openxmlformats.org/officeDocument/2006/docPropsVTypes"/>
</file>