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Ennéagramme n°13 — Les flèches : intégration et désintégration</w:t>
      </w:r>
    </w:p>
    <w:p>
      <w:pPr>
        <w:spacing w:after="80"/>
        <w:jc w:val="center"/>
      </w:pPr>
      <w:r>
        <w:rPr>
          <w:rFonts w:ascii="Times New Roman" w:cs="Times New Roman" w:eastAsia="Times New Roman" w:hAnsi="Times New Roman"/>
          <w:color w:val="1F2937"/>
          <w:sz w:val="22"/>
          <w:szCs w:val="22"/>
        </w:rPr>
        <w:t xml:space="preserve">Date : 2026-08-26  ·  Leçon 13 / 20</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b w:val="false"/>
          <w:bCs w:val="false"/>
          <w:color w:val="1F2937"/>
          <w:sz w:val="22"/>
          <w:szCs w:val="22"/>
        </w:rPr>
        <w:t xml:space="preserve">À la fin de cette leçon, tu sauras lire les lignes internes du symbole ennéagramme, identifier ta flèche d'intégration (vers quelle ressource tu te diriges quand tu grandis) et ta flèche de désintégration (quel type colore tes réactions sous pression). Tu pourras utiliser ce savoir pour observer tes propres mouvements psychologiques en temps réel.</w:t>
      </w:r>
    </w:p>
    <w:p>
      <w:pPr>
        <w:spacing w:after="120"/>
      </w:pPr>
      <w:r>
        <w:rPr>
          <w:rFonts w:ascii="Times New Roman" w:cs="Times New Roman" w:eastAsia="Times New Roman" w:hAnsi="Times New Roman"/>
          <w:b w:val="false"/>
          <w:bCs w:val="false"/>
          <w:color w:val="1F2937"/>
          <w:sz w:val="22"/>
          <w:szCs w:val="22"/>
        </w:rPr>
        <w:t xml:space="preserve">Continuité : la leçon 12 t'a appris que tes ailes (les types adjacents) nuancent ton type de base comme une couleur de fond permanente. Les flèches, elles, sont des dynamiques : elles ne s'activent que dans certaines conditions — croissance ou stress — et pointent vers des types non adjacents. Les deux mécanismes (ailes + flèches) se superposent et se complètent.</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Théorie (20 %)</w:t>
      </w:r>
    </w:p>
    <w:p>
      <w:pPr>
        <w:pStyle w:val="Heading3"/>
        <w:spacing w:after="80" w:before="240"/>
      </w:pPr>
      <w:r>
        <w:rPr>
          <w:rFonts w:ascii="Times New Roman" w:cs="Times New Roman" w:eastAsia="Times New Roman" w:hAnsi="Times New Roman"/>
          <w:b/>
          <w:bCs/>
          <w:color w:val="1F2937"/>
          <w:sz w:val="26"/>
          <w:szCs w:val="26"/>
        </w:rPr>
        <w:t xml:space="preserve">1. Qu'est-ce qu'une flèche ?</w:t>
      </w:r>
    </w:p>
    <w:p>
      <w:pPr>
        <w:spacing w:after="120"/>
      </w:pPr>
      <w:r>
        <w:rPr>
          <w:rFonts w:ascii="Times New Roman" w:cs="Times New Roman" w:eastAsia="Times New Roman" w:hAnsi="Times New Roman"/>
          <w:b w:val="false"/>
          <w:bCs w:val="false"/>
          <w:color w:val="1F2937"/>
          <w:sz w:val="22"/>
          <w:szCs w:val="22"/>
        </w:rPr>
        <w:t xml:space="preserve">Le symbole de l'ennéagramme comporte deux figures géométriques internes : un triangle reliant les types 3, 6 et 9, et un hexagone irrégulier suivant la séquence 1-4-2-8-5-7. Ces lignes ne sont pas décoratives : elles représentent des voies de mouvement psychologique.</w:t>
      </w:r>
    </w:p>
    <w:p>
      <w:pPr>
        <w:spacing w:after="120"/>
      </w:pPr>
      <w:r>
        <w:rPr>
          <w:rFonts w:ascii="Times New Roman" w:cs="Times New Roman" w:eastAsia="Times New Roman" w:hAnsi="Times New Roman"/>
          <w:b w:val="false"/>
          <w:bCs w:val="false"/>
          <w:color w:val="1F2937"/>
          <w:sz w:val="22"/>
          <w:szCs w:val="22"/>
        </w:rPr>
        <w:t xml:space="preserve">Don Riso et Russ Hudson (The Enneagram Institute) ont formalisé le concept de deux directions opposées le long de ces lignes :</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Direction d'intégration (ou de croissance) : le mouvement vers la santé psychologique. Chaque type accède alors aux qualités positives d'un type précis.</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Direction de désintégration (ou de stress) : sous pression, le type adopte les traits négatifs d'un autre type précis.</w:t>
      </w:r>
    </w:p>
    <w:p>
      <w:pPr>
        <w:shd w:color="F3F4F6" w:val="solid"/>
        <w:spacing w:after="120" w:before="80"/>
        <w:ind w:left="576"/>
      </w:pPr>
      <w:r>
        <w:rPr>
          <w:rFonts w:ascii="Times New Roman" w:cs="Times New Roman" w:eastAsia="Times New Roman" w:hAnsi="Times New Roman"/>
          <w:color w:val="1B3A6B"/>
          <w:sz w:val="22"/>
          <w:szCs w:val="22"/>
        </w:rPr>
        <w:t xml:space="preserve">Séquence d'intégration : 1→7→5→8→2→4→1 et 9→3→6→9
Séquence de désintégration : 1→4→2→8→5→7→1 et 9→6→3→9</w:t>
      </w:r>
    </w:p>
    <w:p>
      <w:pPr>
        <w:pStyle w:val="Heading3"/>
        <w:spacing w:after="80" w:before="240"/>
      </w:pPr>
      <w:r>
        <w:rPr>
          <w:rFonts w:ascii="Times New Roman" w:cs="Times New Roman" w:eastAsia="Times New Roman" w:hAnsi="Times New Roman"/>
          <w:b/>
          <w:bCs/>
          <w:color w:val="1F2937"/>
          <w:sz w:val="26"/>
          <w:szCs w:val="26"/>
        </w:rPr>
        <w:t xml:space="preserve">2. Une dynamique, pas un changement de type</w:t>
      </w:r>
    </w:p>
    <w:p>
      <w:pPr>
        <w:spacing w:after="120"/>
      </w:pPr>
      <w:r>
        <w:rPr>
          <w:rFonts w:ascii="Times New Roman" w:cs="Times New Roman" w:eastAsia="Times New Roman" w:hAnsi="Times New Roman"/>
          <w:b w:val="false"/>
          <w:bCs w:val="false"/>
          <w:color w:val="1F2937"/>
          <w:sz w:val="22"/>
          <w:szCs w:val="22"/>
        </w:rPr>
        <w:t xml:space="preserve">Les flèches ne modifient pas ton type fondamental : elles activent temporairement certains traits d'un autre type. C'est une réponse adaptative à l'environnement, pas une transformation identitaire. Le retour au type de base est automatique dès que la situation change.</w:t>
      </w:r>
    </w:p>
    <w:p>
      <w:pPr>
        <w:spacing w:after="120"/>
      </w:pPr>
      <w:r>
        <w:rPr>
          <w:rFonts w:ascii="Times New Roman" w:cs="Times New Roman" w:eastAsia="Times New Roman" w:hAnsi="Times New Roman"/>
          <w:b w:val="false"/>
          <w:bCs w:val="false"/>
          <w:color w:val="1F2937"/>
          <w:sz w:val="22"/>
          <w:szCs w:val="22"/>
        </w:rPr>
        <w:t xml:space="preserve">Riso et Hudson soulignent que le portrait complet d'une personnalité inclut : type de base + aile dominante + direction d'intégration + direction de désintégration. Ces quatre éléments forment un profil bien plus riche que le simple numéro de type.</w:t>
      </w:r>
    </w:p>
    <w:p>
      <w:pPr>
        <w:pStyle w:val="Heading3"/>
        <w:spacing w:after="80" w:before="240"/>
      </w:pPr>
      <w:r>
        <w:rPr>
          <w:rFonts w:ascii="Times New Roman" w:cs="Times New Roman" w:eastAsia="Times New Roman" w:hAnsi="Times New Roman"/>
          <w:b/>
          <w:bCs/>
          <w:color w:val="1F2937"/>
          <w:sz w:val="26"/>
          <w:szCs w:val="26"/>
        </w:rPr>
        <w:t xml:space="preserve">3. Tableau de référence — Les 9 flèches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color="1B3A6B" w:val="solid"/>
          </w:tcPr>
          <w:p>
            <w:pPr>
              <w:spacing w:after="60"/>
            </w:pPr>
            <w:r>
              <w:rPr>
                <w:rFonts w:ascii="Times New Roman" w:cs="Times New Roman" w:eastAsia="Times New Roman" w:hAnsi="Times New Roman"/>
                <w:b/>
                <w:bCs/>
                <w:color w:val="FFFFFF"/>
                <w:sz w:val="20"/>
                <w:szCs w:val="20"/>
              </w:rPr>
              <w:t xml:space="preserve">Type</w:t>
            </w:r>
          </w:p>
        </w:tc>
        <w:tc>
          <w:tcPr>
            <w:tcW w:type="pct" w:w="40%"/>
            <w:shd w:color="1B3A6B" w:val="solid"/>
          </w:tcPr>
          <w:p>
            <w:pPr>
              <w:spacing w:after="60"/>
            </w:pPr>
            <w:r>
              <w:rPr>
                <w:rFonts w:ascii="Times New Roman" w:cs="Times New Roman" w:eastAsia="Times New Roman" w:hAnsi="Times New Roman"/>
                <w:b/>
                <w:bCs/>
                <w:color w:val="FFFFFF"/>
                <w:sz w:val="20"/>
                <w:szCs w:val="20"/>
              </w:rPr>
              <w:t xml:space="preserve">→ Intégration (santé)</w:t>
            </w:r>
          </w:p>
        </w:tc>
        <w:tc>
          <w:tcPr>
            <w:tcW w:type="pct" w:w="40%"/>
            <w:shd w:color="1B3A6B" w:val="solid"/>
          </w:tcPr>
          <w:p>
            <w:pPr>
              <w:spacing w:after="60"/>
            </w:pPr>
            <w:r>
              <w:rPr>
                <w:rFonts w:ascii="Times New Roman" w:cs="Times New Roman" w:eastAsia="Times New Roman" w:hAnsi="Times New Roman"/>
                <w:b/>
                <w:bCs/>
                <w:color w:val="FFFFFF"/>
                <w:sz w:val="20"/>
                <w:szCs w:val="20"/>
              </w:rPr>
              <w:t xml:space="preserve">→ Désintégration (stress)</w:t>
            </w:r>
          </w:p>
        </w:tc>
      </w:tr>
      <w:tr>
        <w:trPr>
          <w:tblHeader w:val="false"/>
        </w:trPr>
        <w:tc>
          <w:tcPr>
            <w:tcW w:type="pct" w:w="20%"/>
            <w:shd w:color="FFFFFF" w:val="solid"/>
          </w:tcPr>
          <w:p>
            <w:pPr>
              <w:spacing w:after="60"/>
            </w:pPr>
            <w:r>
              <w:rPr>
                <w:rFonts w:ascii="Times New Roman" w:cs="Times New Roman" w:eastAsia="Times New Roman" w:hAnsi="Times New Roman"/>
                <w:b/>
                <w:bCs/>
                <w:color w:val="1F2937"/>
                <w:sz w:val="20"/>
                <w:szCs w:val="20"/>
              </w:rPr>
              <w:t xml:space="preserve">1 – Perfectionniste</w:t>
            </w:r>
          </w:p>
        </w:tc>
        <w:tc>
          <w:tcPr>
            <w:tcW w:type="pct" w:w="40%"/>
            <w:shd w:color="FFFFFF" w:val="solid"/>
          </w:tcPr>
          <w:p>
            <w:pPr>
              <w:spacing w:after="60"/>
            </w:pPr>
            <w:r>
              <w:rPr>
                <w:rFonts w:ascii="Times New Roman" w:cs="Times New Roman" w:eastAsia="Times New Roman" w:hAnsi="Times New Roman"/>
                <w:b w:val="false"/>
                <w:bCs w:val="false"/>
                <w:color w:val="1F2937"/>
                <w:sz w:val="20"/>
                <w:szCs w:val="20"/>
              </w:rPr>
              <w:t xml:space="preserve">→ 7 : légèreté, spontanéité, joie</w:t>
            </w:r>
          </w:p>
        </w:tc>
        <w:tc>
          <w:tcPr>
            <w:tcW w:type="pct" w:w="40%"/>
            <w:shd w:color="FFFFFF" w:val="solid"/>
          </w:tcPr>
          <w:p>
            <w:pPr>
              <w:spacing w:after="60"/>
            </w:pPr>
            <w:r>
              <w:rPr>
                <w:rFonts w:ascii="Times New Roman" w:cs="Times New Roman" w:eastAsia="Times New Roman" w:hAnsi="Times New Roman"/>
                <w:b w:val="false"/>
                <w:bCs w:val="false"/>
                <w:color w:val="1F2937"/>
                <w:sz w:val="20"/>
                <w:szCs w:val="20"/>
              </w:rPr>
              <w:t xml:space="preserve">→ 4 : moodiness, autocritique accrue</w:t>
            </w:r>
          </w:p>
        </w:tc>
      </w:tr>
      <w:tr>
        <w:trPr>
          <w:tblHeader w:val="false"/>
        </w:trPr>
        <w:tc>
          <w:tcPr>
            <w:tcW w:type="pct" w:w="20%"/>
            <w:shd w:color="EEF2F7" w:val="solid"/>
          </w:tcPr>
          <w:p>
            <w:pPr>
              <w:spacing w:after="60"/>
            </w:pPr>
            <w:r>
              <w:rPr>
                <w:rFonts w:ascii="Times New Roman" w:cs="Times New Roman" w:eastAsia="Times New Roman" w:hAnsi="Times New Roman"/>
                <w:b/>
                <w:bCs/>
                <w:color w:val="1F2937"/>
                <w:sz w:val="20"/>
                <w:szCs w:val="20"/>
              </w:rPr>
              <w:t xml:space="preserve">2 – Aidant</w:t>
            </w:r>
          </w:p>
        </w:tc>
        <w:tc>
          <w:tcPr>
            <w:tcW w:type="pct" w:w="40%"/>
            <w:shd w:color="EEF2F7" w:val="solid"/>
          </w:tcPr>
          <w:p>
            <w:pPr>
              <w:spacing w:after="60"/>
            </w:pPr>
            <w:r>
              <w:rPr>
                <w:rFonts w:ascii="Times New Roman" w:cs="Times New Roman" w:eastAsia="Times New Roman" w:hAnsi="Times New Roman"/>
                <w:b w:val="false"/>
                <w:bCs w:val="false"/>
                <w:color w:val="1F2937"/>
                <w:sz w:val="20"/>
                <w:szCs w:val="20"/>
              </w:rPr>
              <w:t xml:space="preserve">→ 4 : authenticité, besoins propres</w:t>
            </w:r>
          </w:p>
        </w:tc>
        <w:tc>
          <w:tcPr>
            <w:tcW w:type="pct" w:w="40%"/>
            <w:shd w:color="EEF2F7" w:val="solid"/>
          </w:tcPr>
          <w:p>
            <w:pPr>
              <w:spacing w:after="60"/>
            </w:pPr>
            <w:r>
              <w:rPr>
                <w:rFonts w:ascii="Times New Roman" w:cs="Times New Roman" w:eastAsia="Times New Roman" w:hAnsi="Times New Roman"/>
                <w:b w:val="false"/>
                <w:bCs w:val="false"/>
                <w:color w:val="1F2937"/>
                <w:sz w:val="20"/>
                <w:szCs w:val="20"/>
              </w:rPr>
              <w:t xml:space="preserve">→ 8 : contrôle, possessivité</w:t>
            </w:r>
          </w:p>
        </w:tc>
      </w:tr>
      <w:tr>
        <w:trPr>
          <w:tblHeader w:val="false"/>
        </w:trPr>
        <w:tc>
          <w:tcPr>
            <w:tcW w:type="pct" w:w="20%"/>
            <w:shd w:color="FFFFFF" w:val="solid"/>
          </w:tcPr>
          <w:p>
            <w:pPr>
              <w:spacing w:after="60"/>
            </w:pPr>
            <w:r>
              <w:rPr>
                <w:rFonts w:ascii="Times New Roman" w:cs="Times New Roman" w:eastAsia="Times New Roman" w:hAnsi="Times New Roman"/>
                <w:b/>
                <w:bCs/>
                <w:color w:val="1F2937"/>
                <w:sz w:val="20"/>
                <w:szCs w:val="20"/>
              </w:rPr>
              <w:t xml:space="preserve">3 – Performeur</w:t>
            </w:r>
          </w:p>
        </w:tc>
        <w:tc>
          <w:tcPr>
            <w:tcW w:type="pct" w:w="40%"/>
            <w:shd w:color="FFFFFF" w:val="solid"/>
          </w:tcPr>
          <w:p>
            <w:pPr>
              <w:spacing w:after="60"/>
            </w:pPr>
            <w:r>
              <w:rPr>
                <w:rFonts w:ascii="Times New Roman" w:cs="Times New Roman" w:eastAsia="Times New Roman" w:hAnsi="Times New Roman"/>
                <w:b w:val="false"/>
                <w:bCs w:val="false"/>
                <w:color w:val="1F2937"/>
                <w:sz w:val="20"/>
                <w:szCs w:val="20"/>
              </w:rPr>
              <w:t xml:space="preserve">→ 6 : loyauté, vulnérabilité</w:t>
            </w:r>
          </w:p>
        </w:tc>
        <w:tc>
          <w:tcPr>
            <w:tcW w:type="pct" w:w="40%"/>
            <w:shd w:color="FFFFFF" w:val="solid"/>
          </w:tcPr>
          <w:p>
            <w:pPr>
              <w:spacing w:after="60"/>
            </w:pPr>
            <w:r>
              <w:rPr>
                <w:rFonts w:ascii="Times New Roman" w:cs="Times New Roman" w:eastAsia="Times New Roman" w:hAnsi="Times New Roman"/>
                <w:b w:val="false"/>
                <w:bCs w:val="false"/>
                <w:color w:val="1F2937"/>
                <w:sz w:val="20"/>
                <w:szCs w:val="20"/>
              </w:rPr>
              <w:t xml:space="preserve">→ 9 : apathie, procrastination</w:t>
            </w:r>
          </w:p>
        </w:tc>
      </w:tr>
      <w:tr>
        <w:trPr>
          <w:tblHeader w:val="false"/>
        </w:trPr>
        <w:tc>
          <w:tcPr>
            <w:tcW w:type="pct" w:w="20%"/>
            <w:shd w:color="EEF2F7" w:val="solid"/>
          </w:tcPr>
          <w:p>
            <w:pPr>
              <w:spacing w:after="60"/>
            </w:pPr>
            <w:r>
              <w:rPr>
                <w:rFonts w:ascii="Times New Roman" w:cs="Times New Roman" w:eastAsia="Times New Roman" w:hAnsi="Times New Roman"/>
                <w:b/>
                <w:bCs/>
                <w:color w:val="1F2937"/>
                <w:sz w:val="20"/>
                <w:szCs w:val="20"/>
              </w:rPr>
              <w:t xml:space="preserve">4 – Individualiste</w:t>
            </w:r>
          </w:p>
        </w:tc>
        <w:tc>
          <w:tcPr>
            <w:tcW w:type="pct" w:w="40%"/>
            <w:shd w:color="EEF2F7" w:val="solid"/>
          </w:tcPr>
          <w:p>
            <w:pPr>
              <w:spacing w:after="60"/>
            </w:pPr>
            <w:r>
              <w:rPr>
                <w:rFonts w:ascii="Times New Roman" w:cs="Times New Roman" w:eastAsia="Times New Roman" w:hAnsi="Times New Roman"/>
                <w:b w:val="false"/>
                <w:bCs w:val="false"/>
                <w:color w:val="1F2937"/>
                <w:sz w:val="20"/>
                <w:szCs w:val="20"/>
              </w:rPr>
              <w:t xml:space="preserve">→ 1 : discipline, ancrage dans le réel</w:t>
            </w:r>
          </w:p>
        </w:tc>
        <w:tc>
          <w:tcPr>
            <w:tcW w:type="pct" w:w="40%"/>
            <w:shd w:color="EEF2F7" w:val="solid"/>
          </w:tcPr>
          <w:p>
            <w:pPr>
              <w:spacing w:after="60"/>
            </w:pPr>
            <w:r>
              <w:rPr>
                <w:rFonts w:ascii="Times New Roman" w:cs="Times New Roman" w:eastAsia="Times New Roman" w:hAnsi="Times New Roman"/>
                <w:b w:val="false"/>
                <w:bCs w:val="false"/>
                <w:color w:val="1F2937"/>
                <w:sz w:val="20"/>
                <w:szCs w:val="20"/>
              </w:rPr>
              <w:t xml:space="preserve">→ 2 : clingy, sur-validation externe</w:t>
            </w:r>
          </w:p>
        </w:tc>
      </w:tr>
      <w:tr>
        <w:trPr>
          <w:tblHeader w:val="false"/>
        </w:trPr>
        <w:tc>
          <w:tcPr>
            <w:tcW w:type="pct" w:w="20%"/>
            <w:shd w:color="FFFFFF" w:val="solid"/>
          </w:tcPr>
          <w:p>
            <w:pPr>
              <w:spacing w:after="60"/>
            </w:pPr>
            <w:r>
              <w:rPr>
                <w:rFonts w:ascii="Times New Roman" w:cs="Times New Roman" w:eastAsia="Times New Roman" w:hAnsi="Times New Roman"/>
                <w:b/>
                <w:bCs/>
                <w:color w:val="1F2937"/>
                <w:sz w:val="20"/>
                <w:szCs w:val="20"/>
              </w:rPr>
              <w:t xml:space="preserve">5 – Investigateur</w:t>
            </w:r>
          </w:p>
        </w:tc>
        <w:tc>
          <w:tcPr>
            <w:tcW w:type="pct" w:w="40%"/>
            <w:shd w:color="FFFFFF" w:val="solid"/>
          </w:tcPr>
          <w:p>
            <w:pPr>
              <w:spacing w:after="60"/>
            </w:pPr>
            <w:r>
              <w:rPr>
                <w:rFonts w:ascii="Times New Roman" w:cs="Times New Roman" w:eastAsia="Times New Roman" w:hAnsi="Times New Roman"/>
                <w:b w:val="false"/>
                <w:bCs w:val="false"/>
                <w:color w:val="1F2937"/>
                <w:sz w:val="20"/>
                <w:szCs w:val="20"/>
              </w:rPr>
              <w:t xml:space="preserve">→ 8 : assertion, présence physique</w:t>
            </w:r>
          </w:p>
        </w:tc>
        <w:tc>
          <w:tcPr>
            <w:tcW w:type="pct" w:w="40%"/>
            <w:shd w:color="FFFFFF" w:val="solid"/>
          </w:tcPr>
          <w:p>
            <w:pPr>
              <w:spacing w:after="60"/>
            </w:pPr>
            <w:r>
              <w:rPr>
                <w:rFonts w:ascii="Times New Roman" w:cs="Times New Roman" w:eastAsia="Times New Roman" w:hAnsi="Times New Roman"/>
                <w:b w:val="false"/>
                <w:bCs w:val="false"/>
                <w:color w:val="1F2937"/>
                <w:sz w:val="20"/>
                <w:szCs w:val="20"/>
              </w:rPr>
              <w:t xml:space="preserve">→ 7 : dispersion, pensée erratique</w:t>
            </w:r>
          </w:p>
        </w:tc>
      </w:tr>
      <w:tr>
        <w:trPr>
          <w:tblHeader w:val="false"/>
        </w:trPr>
        <w:tc>
          <w:tcPr>
            <w:tcW w:type="pct" w:w="20%"/>
            <w:shd w:color="EEF2F7" w:val="solid"/>
          </w:tcPr>
          <w:p>
            <w:pPr>
              <w:spacing w:after="60"/>
            </w:pPr>
            <w:r>
              <w:rPr>
                <w:rFonts w:ascii="Times New Roman" w:cs="Times New Roman" w:eastAsia="Times New Roman" w:hAnsi="Times New Roman"/>
                <w:b/>
                <w:bCs/>
                <w:color w:val="1F2937"/>
                <w:sz w:val="20"/>
                <w:szCs w:val="20"/>
              </w:rPr>
              <w:t xml:space="preserve">6 – Loyaliste</w:t>
            </w:r>
          </w:p>
        </w:tc>
        <w:tc>
          <w:tcPr>
            <w:tcW w:type="pct" w:w="40%"/>
            <w:shd w:color="EEF2F7" w:val="solid"/>
          </w:tcPr>
          <w:p>
            <w:pPr>
              <w:spacing w:after="60"/>
            </w:pPr>
            <w:r>
              <w:rPr>
                <w:rFonts w:ascii="Times New Roman" w:cs="Times New Roman" w:eastAsia="Times New Roman" w:hAnsi="Times New Roman"/>
                <w:b w:val="false"/>
                <w:bCs w:val="false"/>
                <w:color w:val="1F2937"/>
                <w:sz w:val="20"/>
                <w:szCs w:val="20"/>
              </w:rPr>
              <w:t xml:space="preserve">→ 9 : paix intérieure, confiance</w:t>
            </w:r>
          </w:p>
        </w:tc>
        <w:tc>
          <w:tcPr>
            <w:tcW w:type="pct" w:w="40%"/>
            <w:shd w:color="EEF2F7" w:val="solid"/>
          </w:tcPr>
          <w:p>
            <w:pPr>
              <w:spacing w:after="60"/>
            </w:pPr>
            <w:r>
              <w:rPr>
                <w:rFonts w:ascii="Times New Roman" w:cs="Times New Roman" w:eastAsia="Times New Roman" w:hAnsi="Times New Roman"/>
                <w:b w:val="false"/>
                <w:bCs w:val="false"/>
                <w:color w:val="1F2937"/>
                <w:sz w:val="20"/>
                <w:szCs w:val="20"/>
              </w:rPr>
              <w:t xml:space="preserve">→ 3 : compétitivité, image de façade</w:t>
            </w:r>
          </w:p>
        </w:tc>
      </w:tr>
      <w:tr>
        <w:trPr>
          <w:tblHeader w:val="false"/>
        </w:trPr>
        <w:tc>
          <w:tcPr>
            <w:tcW w:type="pct" w:w="20%"/>
            <w:shd w:color="FFFFFF" w:val="solid"/>
          </w:tcPr>
          <w:p>
            <w:pPr>
              <w:spacing w:after="60"/>
            </w:pPr>
            <w:r>
              <w:rPr>
                <w:rFonts w:ascii="Times New Roman" w:cs="Times New Roman" w:eastAsia="Times New Roman" w:hAnsi="Times New Roman"/>
                <w:b/>
                <w:bCs/>
                <w:color w:val="1F2937"/>
                <w:sz w:val="20"/>
                <w:szCs w:val="20"/>
              </w:rPr>
              <w:t xml:space="preserve">7 – Épicurien</w:t>
            </w:r>
          </w:p>
        </w:tc>
        <w:tc>
          <w:tcPr>
            <w:tcW w:type="pct" w:w="40%"/>
            <w:shd w:color="FFFFFF" w:val="solid"/>
          </w:tcPr>
          <w:p>
            <w:pPr>
              <w:spacing w:after="60"/>
            </w:pPr>
            <w:r>
              <w:rPr>
                <w:rFonts w:ascii="Times New Roman" w:cs="Times New Roman" w:eastAsia="Times New Roman" w:hAnsi="Times New Roman"/>
                <w:b w:val="false"/>
                <w:bCs w:val="false"/>
                <w:color w:val="1F2937"/>
                <w:sz w:val="20"/>
                <w:szCs w:val="20"/>
              </w:rPr>
              <w:t xml:space="preserve">→ 5 : focus, profondeur</w:t>
            </w:r>
          </w:p>
        </w:tc>
        <w:tc>
          <w:tcPr>
            <w:tcW w:type="pct" w:w="40%"/>
            <w:shd w:color="FFFFFF" w:val="solid"/>
          </w:tcPr>
          <w:p>
            <w:pPr>
              <w:spacing w:after="60"/>
            </w:pPr>
            <w:r>
              <w:rPr>
                <w:rFonts w:ascii="Times New Roman" w:cs="Times New Roman" w:eastAsia="Times New Roman" w:hAnsi="Times New Roman"/>
                <w:b w:val="false"/>
                <w:bCs w:val="false"/>
                <w:color w:val="1F2937"/>
                <w:sz w:val="20"/>
                <w:szCs w:val="20"/>
              </w:rPr>
              <w:t xml:space="preserve">→ 1 : rigidité, auto-jugement</w:t>
            </w:r>
          </w:p>
        </w:tc>
      </w:tr>
      <w:tr>
        <w:trPr>
          <w:tblHeader w:val="false"/>
        </w:trPr>
        <w:tc>
          <w:tcPr>
            <w:tcW w:type="pct" w:w="20%"/>
            <w:shd w:color="EEF2F7" w:val="solid"/>
          </w:tcPr>
          <w:p>
            <w:pPr>
              <w:spacing w:after="60"/>
            </w:pPr>
            <w:r>
              <w:rPr>
                <w:rFonts w:ascii="Times New Roman" w:cs="Times New Roman" w:eastAsia="Times New Roman" w:hAnsi="Times New Roman"/>
                <w:b/>
                <w:bCs/>
                <w:color w:val="1F2937"/>
                <w:sz w:val="20"/>
                <w:szCs w:val="20"/>
              </w:rPr>
              <w:t xml:space="preserve">8 – Chef/Protecteur</w:t>
            </w:r>
          </w:p>
        </w:tc>
        <w:tc>
          <w:tcPr>
            <w:tcW w:type="pct" w:w="40%"/>
            <w:shd w:color="EEF2F7" w:val="solid"/>
          </w:tcPr>
          <w:p>
            <w:pPr>
              <w:spacing w:after="60"/>
            </w:pPr>
            <w:r>
              <w:rPr>
                <w:rFonts w:ascii="Times New Roman" w:cs="Times New Roman" w:eastAsia="Times New Roman" w:hAnsi="Times New Roman"/>
                <w:b w:val="false"/>
                <w:bCs w:val="false"/>
                <w:color w:val="1F2937"/>
                <w:sz w:val="20"/>
                <w:szCs w:val="20"/>
              </w:rPr>
              <w:t xml:space="preserve">→ 2 : compassion, ouverture</w:t>
            </w:r>
          </w:p>
        </w:tc>
        <w:tc>
          <w:tcPr>
            <w:tcW w:type="pct" w:w="40%"/>
            <w:shd w:color="EEF2F7" w:val="solid"/>
          </w:tcPr>
          <w:p>
            <w:pPr>
              <w:spacing w:after="60"/>
            </w:pPr>
            <w:r>
              <w:rPr>
                <w:rFonts w:ascii="Times New Roman" w:cs="Times New Roman" w:eastAsia="Times New Roman" w:hAnsi="Times New Roman"/>
                <w:b w:val="false"/>
                <w:bCs w:val="false"/>
                <w:color w:val="1F2937"/>
                <w:sz w:val="20"/>
                <w:szCs w:val="20"/>
              </w:rPr>
              <w:t xml:space="preserve">→ 5 : isolement, rétraction</w:t>
            </w:r>
          </w:p>
        </w:tc>
      </w:tr>
      <w:tr>
        <w:trPr>
          <w:tblHeader w:val="false"/>
        </w:trPr>
        <w:tc>
          <w:tcPr>
            <w:tcW w:type="pct" w:w="20%"/>
            <w:shd w:color="FFFFFF" w:val="solid"/>
          </w:tcPr>
          <w:p>
            <w:pPr>
              <w:spacing w:after="60"/>
            </w:pPr>
            <w:r>
              <w:rPr>
                <w:rFonts w:ascii="Times New Roman" w:cs="Times New Roman" w:eastAsia="Times New Roman" w:hAnsi="Times New Roman"/>
                <w:b/>
                <w:bCs/>
                <w:color w:val="1F2937"/>
                <w:sz w:val="20"/>
                <w:szCs w:val="20"/>
              </w:rPr>
              <w:t xml:space="preserve">9 – Médiateur</w:t>
            </w:r>
          </w:p>
        </w:tc>
        <w:tc>
          <w:tcPr>
            <w:tcW w:type="pct" w:w="40%"/>
            <w:shd w:color="FFFFFF" w:val="solid"/>
          </w:tcPr>
          <w:p>
            <w:pPr>
              <w:spacing w:after="60"/>
            </w:pPr>
            <w:r>
              <w:rPr>
                <w:rFonts w:ascii="Times New Roman" w:cs="Times New Roman" w:eastAsia="Times New Roman" w:hAnsi="Times New Roman"/>
                <w:b w:val="false"/>
                <w:bCs w:val="false"/>
                <w:color w:val="1F2937"/>
                <w:sz w:val="20"/>
                <w:szCs w:val="20"/>
              </w:rPr>
              <w:t xml:space="preserve">→ 3 : ambition, affirmation</w:t>
            </w:r>
          </w:p>
        </w:tc>
        <w:tc>
          <w:tcPr>
            <w:tcW w:type="pct" w:w="40%"/>
            <w:shd w:color="FFFFFF" w:val="solid"/>
          </w:tcPr>
          <w:p>
            <w:pPr>
              <w:spacing w:after="60"/>
            </w:pPr>
            <w:r>
              <w:rPr>
                <w:rFonts w:ascii="Times New Roman" w:cs="Times New Roman" w:eastAsia="Times New Roman" w:hAnsi="Times New Roman"/>
                <w:b w:val="false"/>
                <w:bCs w:val="false"/>
                <w:color w:val="1F2937"/>
                <w:sz w:val="20"/>
                <w:szCs w:val="20"/>
              </w:rPr>
              <w:t xml:space="preserve">→ 6 : anxiété, dépendance aux autres</w:t>
            </w:r>
          </w:p>
        </w:tc>
      </w:tr>
    </w:tbl>
    <w:p>
      <w:pPr>
        <w:spacing w:after="120"/>
      </w:pPr>
      <w:r>
        <w:t xml:space="preserve"/>
      </w:r>
    </w:p>
    <w:p>
      <w:pPr>
        <w:pStyle w:val="Heading3"/>
        <w:spacing w:after="80" w:before="240"/>
      </w:pPr>
      <w:r>
        <w:rPr>
          <w:rFonts w:ascii="Times New Roman" w:cs="Times New Roman" w:eastAsia="Times New Roman" w:hAnsi="Times New Roman"/>
          <w:b/>
          <w:bCs/>
          <w:color w:val="1F2937"/>
          <w:sz w:val="26"/>
          <w:szCs w:val="26"/>
        </w:rPr>
        <w:t xml:space="preserve">4. Exemple développé : le Type 1 sous stress et en croissance</w:t>
      </w:r>
    </w:p>
    <w:p>
      <w:pPr>
        <w:spacing w:after="120"/>
      </w:pPr>
      <w:r>
        <w:rPr>
          <w:rFonts w:ascii="Times New Roman" w:cs="Times New Roman" w:eastAsia="Times New Roman" w:hAnsi="Times New Roman"/>
          <w:b w:val="false"/>
          <w:bCs w:val="false"/>
          <w:color w:val="1F2937"/>
          <w:sz w:val="22"/>
          <w:szCs w:val="22"/>
        </w:rPr>
        <w:t xml:space="preserve">Sous stress (→ 4) : un Type 1 très structuré, qui habituellement canalise sa colère en efforts perfectionnistes, commence à manifester les traits négatifs du Type 4 — moodiness, sentiment d'incompréhension, autocritique artistique et teintée d'envie. Il ne devient pas un 4 : il emprunte momentanément ses défenses les moins adaptées.</w:t>
      </w:r>
    </w:p>
    <w:p>
      <w:pPr>
        <w:spacing w:after="120"/>
      </w:pPr>
      <w:r>
        <w:rPr>
          <w:rFonts w:ascii="Times New Roman" w:cs="Times New Roman" w:eastAsia="Times New Roman" w:hAnsi="Times New Roman"/>
          <w:b w:val="false"/>
          <w:bCs w:val="false"/>
          <w:color w:val="1F2937"/>
          <w:sz w:val="22"/>
          <w:szCs w:val="22"/>
        </w:rPr>
        <w:t xml:space="preserve">En croissance (→ 7) : le même individu, dans un travail intérieur, s'autorise la légèreté et la spontanéité du Type 7 sain. Il lâche le contrôle excessif, accepte l'imperfection du monde, et découvre que la joie peut coexister avec la rigueur.</w:t>
      </w:r>
    </w:p>
    <w:p>
      <w:pPr>
        <w:pStyle w:val="Heading3"/>
        <w:spacing w:after="80" w:before="240"/>
      </w:pPr>
      <w:r>
        <w:rPr>
          <w:rFonts w:ascii="Times New Roman" w:cs="Times New Roman" w:eastAsia="Times New Roman" w:hAnsi="Times New Roman"/>
          <w:b/>
          <w:bCs/>
          <w:color w:val="1F2937"/>
          <w:sz w:val="26"/>
          <w:szCs w:val="26"/>
        </w:rPr>
        <w:t xml:space="preserve">5. Controverse et limites</w:t>
      </w:r>
    </w:p>
    <w:p>
      <w:pPr>
        <w:spacing w:after="120"/>
      </w:pPr>
      <w:r>
        <w:rPr>
          <w:rFonts w:ascii="Times New Roman" w:cs="Times New Roman" w:eastAsia="Times New Roman" w:hAnsi="Times New Roman"/>
          <w:b w:val="false"/>
          <w:bCs w:val="false"/>
          <w:color w:val="1F2937"/>
          <w:sz w:val="22"/>
          <w:szCs w:val="22"/>
        </w:rPr>
        <w:t xml:space="preserve">Claudio Naranjo, qui avait développé les premières formulations sur les lignes de connexion, a ultérieurement révisé ou rejeté certaines de ces lectures. Cette évolution illustre que le modèle des flèches est une convention d'école, non un fait psychologique établi empiriquement.</w:t>
      </w:r>
    </w:p>
    <w:p>
      <w:pPr>
        <w:spacing w:after="120"/>
      </w:pPr>
      <w:r>
        <w:rPr>
          <w:rFonts w:ascii="Times New Roman" w:cs="Times New Roman" w:eastAsia="Times New Roman" w:hAnsi="Times New Roman"/>
          <w:b w:val="false"/>
          <w:bCs w:val="false"/>
          <w:color w:val="1F2937"/>
          <w:sz w:val="22"/>
          <w:szCs w:val="22"/>
        </w:rPr>
        <w:t xml:space="preserve">(Synthèse, non citation) La recherche empirique sur les flèches est quasi inexistante. Le concept a une valeur heuristique — il aide à observer et à nommer des patterns — mais ne doit pas être traité comme une loi universelle. La prudence s'impose avant tout usage diagnostique ou prédictif.</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Pratique (80 %)</w:t>
      </w:r>
    </w:p>
    <w:p>
      <w:pPr>
        <w:pStyle w:val="Heading3"/>
        <w:spacing w:after="80" w:before="240"/>
      </w:pPr>
      <w:r>
        <w:rPr>
          <w:rFonts w:ascii="Times New Roman" w:cs="Times New Roman" w:eastAsia="Times New Roman" w:hAnsi="Times New Roman"/>
          <w:b/>
          <w:bCs/>
          <w:color w:val="1F2937"/>
          <w:sz w:val="26"/>
          <w:szCs w:val="26"/>
        </w:rPr>
        <w:t xml:space="preserve">Exercice 1 — Cartographie personnelle des flèches (20 min)</w:t>
      </w:r>
    </w:p>
    <w:p>
      <w:pPr>
        <w:spacing w:after="120"/>
      </w:pPr>
      <w:r>
        <w:rPr>
          <w:rFonts w:ascii="Times New Roman" w:cs="Times New Roman" w:eastAsia="Times New Roman" w:hAnsi="Times New Roman"/>
          <w:b w:val="false"/>
          <w:bCs w:val="false"/>
          <w:color w:val="1F2937"/>
          <w:sz w:val="22"/>
          <w:szCs w:val="22"/>
        </w:rPr>
        <w:t xml:space="preserve">Matériel : une feuille de papier ou un journal de type.</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Rappelle ton type de base (si tu ne l'as pas encore identifié avec certitude, travaille avec le type le plus probable).</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Note ta flèche d'intégration : vers quel type tu te diriges en santé. Quelles qualités de ce type te semblent accessibles ? Lesquelles te paraissent encore lointaines ou inconfortables ?</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Note ta flèche de désintégration : quel type colore tes réactions sous pression. Peux-tu identifier une situation récente où tu as reconnu ces traits ?</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Pour chacune des deux directions, décris une scène concrète de ta vie où tu as observé ce mouvement — même brièvement.</w:t>
      </w:r>
    </w:p>
    <w:p>
      <w:pPr>
        <w:spacing w:after="120"/>
      </w:pPr>
      <w:r>
        <w:rPr>
          <w:rFonts w:ascii="Times New Roman" w:cs="Times New Roman" w:eastAsia="Times New Roman" w:hAnsi="Times New Roman"/>
          <w:b w:val="false"/>
          <w:bCs w:val="false"/>
          <w:color w:val="1F2937"/>
          <w:sz w:val="22"/>
          <w:szCs w:val="22"/>
        </w:rPr>
        <w:t xml:space="preserve">Corrigé-repère : l'exercice réussit si tu trouves au moins un souvenir précis pour chaque flèche. Si rien ne résonne, c'est souvent un signal d'incertitude sur le type de base — note le doute, il est utile.</w:t>
      </w:r>
    </w:p>
    <w:p>
      <w:pPr>
        <w:pStyle w:val="Heading3"/>
        <w:spacing w:after="80" w:before="240"/>
      </w:pPr>
      <w:r>
        <w:rPr>
          <w:rFonts w:ascii="Times New Roman" w:cs="Times New Roman" w:eastAsia="Times New Roman" w:hAnsi="Times New Roman"/>
          <w:b/>
          <w:bCs/>
          <w:color w:val="1F2937"/>
          <w:sz w:val="26"/>
          <w:szCs w:val="26"/>
        </w:rPr>
        <w:t xml:space="preserve">Exercice 2 — Journal de stress en temps réel (pratique sur 7 jours)</w:t>
      </w:r>
    </w:p>
    <w:p>
      <w:pPr>
        <w:spacing w:after="120"/>
      </w:pPr>
      <w:r>
        <w:rPr>
          <w:rFonts w:ascii="Times New Roman" w:cs="Times New Roman" w:eastAsia="Times New Roman" w:hAnsi="Times New Roman"/>
          <w:b w:val="false"/>
          <w:bCs w:val="false"/>
          <w:color w:val="1F2937"/>
          <w:sz w:val="22"/>
          <w:szCs w:val="22"/>
        </w:rPr>
        <w:t xml:space="preserve">Pendant la semaine à venir, choisis un moment stressant (réunion tendue, conflit, surcharge) et note :</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Ce qui s'est passé extérieurement (contexte, déclencheur).</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Ce que tu as ressenti, pensé, fait — en termes comportementaux concrets.</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Est-ce que ces réactions ressemblent aux traits négatifs de ton type de désintégration ? Ou à autre chose ?</w:t>
      </w:r>
    </w:p>
    <w:p>
      <w:pPr>
        <w:spacing w:after="120"/>
      </w:pPr>
      <w:r>
        <w:rPr>
          <w:rFonts w:ascii="Times New Roman" w:cs="Times New Roman" w:eastAsia="Times New Roman" w:hAnsi="Times New Roman"/>
          <w:b w:val="false"/>
          <w:bCs w:val="false"/>
          <w:color w:val="1F2937"/>
          <w:sz w:val="22"/>
          <w:szCs w:val="22"/>
        </w:rPr>
        <w:t xml:space="preserve">Objectif : développer la capacité à t'observer pendant la réaction, pas seulement après. L'observation en temps réel est la compétence centrale que les flèches permettent d'exercer.</w:t>
      </w:r>
    </w:p>
    <w:p>
      <w:pPr>
        <w:pStyle w:val="Heading3"/>
        <w:spacing w:after="80" w:before="240"/>
      </w:pPr>
      <w:r>
        <w:rPr>
          <w:rFonts w:ascii="Times New Roman" w:cs="Times New Roman" w:eastAsia="Times New Roman" w:hAnsi="Times New Roman"/>
          <w:b/>
          <w:bCs/>
          <w:color w:val="1F2937"/>
          <w:sz w:val="26"/>
          <w:szCs w:val="26"/>
        </w:rPr>
        <w:t xml:space="preserve">Exercice 3 — Visualisation de l'intégration (15 min)</w:t>
      </w:r>
    </w:p>
    <w:p>
      <w:pPr>
        <w:spacing w:after="120"/>
      </w:pPr>
      <w:r>
        <w:rPr>
          <w:rFonts w:ascii="Times New Roman" w:cs="Times New Roman" w:eastAsia="Times New Roman" w:hAnsi="Times New Roman"/>
          <w:b w:val="false"/>
          <w:bCs w:val="false"/>
          <w:color w:val="1F2937"/>
          <w:sz w:val="22"/>
          <w:szCs w:val="22"/>
        </w:rPr>
        <w:t xml:space="preserve">Ferme les yeux. Rappelle une situation où tu te sens à ton meilleur — calme, efficace, en contact avec tes valeurs.</w:t>
      </w:r>
    </w:p>
    <w:p>
      <w:pPr>
        <w:spacing w:after="120"/>
      </w:pPr>
      <w:r>
        <w:rPr>
          <w:rFonts w:ascii="Times New Roman" w:cs="Times New Roman" w:eastAsia="Times New Roman" w:hAnsi="Times New Roman"/>
          <w:b w:val="false"/>
          <w:bCs w:val="false"/>
          <w:color w:val="1F2937"/>
          <w:sz w:val="22"/>
          <w:szCs w:val="22"/>
        </w:rPr>
        <w:t xml:space="preserve">À présent, identifie quelles qualités de ton type d'intégration tu manifestes dans cet état. Ne cherche pas à les 'coller' artificiellement : observe ce qui y ressemble naturellement. Exemples :</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Un Type 5 en pleine recherche qui prend spontanément position et agit (traits du 8 en santé).</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Un Type 9 qui fixe une direction claire et avance sans se laisser disperser (traits du 3 en santé).</w:t>
      </w:r>
    </w:p>
    <w:p>
      <w:pPr>
        <w:spacing w:after="120"/>
      </w:pPr>
      <w:r>
        <w:rPr>
          <w:rFonts w:ascii="Times New Roman" w:cs="Times New Roman" w:eastAsia="Times New Roman" w:hAnsi="Times New Roman"/>
          <w:b w:val="false"/>
          <w:bCs w:val="false"/>
          <w:color w:val="1F2937"/>
          <w:sz w:val="22"/>
          <w:szCs w:val="22"/>
        </w:rPr>
        <w:t xml:space="preserve">Note ces observations. Elles indiquent tes ressources déjà actives — que tu peux cultiver délibérément.</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Challenge — Analyse croisée</w:t>
      </w:r>
    </w:p>
    <w:p>
      <w:pPr>
        <w:spacing w:after="120"/>
      </w:pPr>
      <w:r>
        <w:rPr>
          <w:rFonts w:ascii="Times New Roman" w:cs="Times New Roman" w:eastAsia="Times New Roman" w:hAnsi="Times New Roman"/>
          <w:b w:val="false"/>
          <w:bCs w:val="false"/>
          <w:color w:val="1F2937"/>
          <w:sz w:val="22"/>
          <w:szCs w:val="22"/>
        </w:rPr>
        <w:t xml:space="preserve">Choisis une figure importante de ta vie (un proche, un collègue, un personnage public ou fictif dont tu connais bien le comportement). En t'appuyant sur les leçons 3 à 11 (les 9 types) et la leçon 12 (les ailes) :</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1. Identifie son type probable et son aile dominante.</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2. Décris deux comportements que tu as observés sous stress chez cette personne — et teste si ces comportements correspondent à son type de désintégration hypothétique.</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3. Décris deux moments où cette personne t'a semblé 'au meilleur d'elle-même' — et teste si ces moments correspondent à son type d'intégration hypothétique.</w:t>
      </w:r>
    </w:p>
    <w:p>
      <w:pPr>
        <w:pStyle w:val="ListParagraph"/>
        <w:numPr>
          <w:ilvl w:val="0"/>
          <w:numId w:val="1"/>
        </w:numPr>
        <w:spacing w:after="80"/>
        <w:ind w:left="431"/>
      </w:pPr>
      <w:r>
        <w:rPr>
          <w:rFonts w:ascii="Times New Roman" w:cs="Times New Roman" w:eastAsia="Times New Roman" w:hAnsi="Times New Roman"/>
          <w:color w:val="1F2937"/>
          <w:sz w:val="22"/>
          <w:szCs w:val="22"/>
        </w:rPr>
        <w:t xml:space="preserve">4. Que t'apprend cet exercice sur tes propres réactions à son égard ?</w:t>
      </w:r>
    </w:p>
    <w:p>
      <w:pPr>
        <w:spacing w:after="120"/>
      </w:pPr>
      <w:r>
        <w:rPr>
          <w:rFonts w:ascii="Times New Roman" w:cs="Times New Roman" w:eastAsia="Times New Roman" w:hAnsi="Times New Roman"/>
          <w:b w:val="false"/>
          <w:bCs w:val="false"/>
          <w:color w:val="1F2937"/>
          <w:sz w:val="22"/>
          <w:szCs w:val="22"/>
        </w:rPr>
        <w:t xml:space="preserve">Point de vigilance : cet exercice sert TON apprentissage, pas à étiqueter l'autre. Les conclusions restent dans ton journal. L'ennéagramme n'est pas un outil de classification externe.</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b w:val="false"/>
          <w:bCs w:val="false"/>
          <w:color w:val="1F2937"/>
          <w:sz w:val="22"/>
          <w:szCs w:val="22"/>
        </w:rPr>
        <w:t xml:space="preserve">En tant que chef de service, tu gères des situations de stress récurrentes : conflits d'équipe, décisions difficiles en situation de crise, surcharge en période d'évaluation HAS. Connaître ta propre flèche de désintégration te permet d'anticiper tes propres réactions défensives avant qu'elles impactent tes équipes — et de te rappeler, en temps réel, que tu peux choisir de t'orienter vers ta flèche d'intégration. Ce n'est pas de la gestion émotionnelle en chambre : c'est une compétence pratique de leadership situationnel.</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b w:val="false"/>
          <w:bCs w:val="false"/>
          <w:color w:val="1F2937"/>
          <w:sz w:val="22"/>
          <w:szCs w:val="22"/>
        </w:rPr>
        <w:t xml:space="preserve">Sources consultées et vérifiées pendant cette leçon (toutes retournent HTTP 200) :</w:t>
      </w:r>
    </w:p>
    <w:p>
      <w:pPr>
        <w:pStyle w:val="ListParagraph"/>
        <w:numPr>
          <w:ilvl w:val="0"/>
          <w:numId w:val="1"/>
        </w:numPr>
        <w:spacing w:after="80"/>
      </w:pPr>
      <w:hyperlink w:history="1" r:id="rIddhvb0gt5fraqle8oacvm1">
        <w:r>
          <w:rPr>
            <w:rFonts w:ascii="Times New Roman" w:cs="Times New Roman" w:eastAsia="Times New Roman" w:hAnsi="Times New Roman"/>
            <w:color w:val="1155CC"/>
            <w:sz w:val="22"/>
            <w:szCs w:val="22"/>
            <w:u w:val="single"/>
          </w:rPr>
          <w:t xml:space="preserve">The Enneagram Institute — How the Enneagram System Works (Riso &amp; Hudson)</w:t>
        </w:r>
      </w:hyperlink>
    </w:p>
    <w:p>
      <w:pPr>
        <w:pStyle w:val="ListParagraph"/>
        <w:numPr>
          <w:ilvl w:val="0"/>
          <w:numId w:val="1"/>
        </w:numPr>
        <w:spacing w:after="80"/>
      </w:pPr>
      <w:hyperlink w:history="1" r:id="rIdn_eovxzfucusofvwifpfc">
        <w:r>
          <w:rPr>
            <w:rFonts w:ascii="Times New Roman" w:cs="Times New Roman" w:eastAsia="Times New Roman" w:hAnsi="Times New Roman"/>
            <w:color w:val="1155CC"/>
            <w:sz w:val="22"/>
            <w:szCs w:val="22"/>
            <w:u w:val="single"/>
          </w:rPr>
          <w:t xml:space="preserve">Wikipedia — Enneagram of Personality (structure, lignes, controverses)</w:t>
        </w:r>
      </w:hyperlink>
    </w:p>
    <w:p>
      <w:pPr>
        <w:pStyle w:val="ListParagraph"/>
        <w:numPr>
          <w:ilvl w:val="0"/>
          <w:numId w:val="1"/>
        </w:numPr>
        <w:spacing w:after="80"/>
      </w:pPr>
      <w:hyperlink w:history="1" r:id="rIdghnzqz4no3dfmqxs0fruw">
        <w:r>
          <w:rPr>
            <w:rFonts w:ascii="Times New Roman" w:cs="Times New Roman" w:eastAsia="Times New Roman" w:hAnsi="Times New Roman"/>
            <w:color w:val="1155CC"/>
            <w:sz w:val="22"/>
            <w:szCs w:val="22"/>
            <w:u w:val="single"/>
          </w:rPr>
          <w:t xml:space="preserve">EnneagramTest.com — Enneagram Arrows: Your Growth and Stress Paths Revealed</w:t>
        </w:r>
      </w:hyperlink>
    </w:p>
    <w:p>
      <w:pPr>
        <w:pStyle w:val="ListParagraph"/>
        <w:numPr>
          <w:ilvl w:val="0"/>
          <w:numId w:val="1"/>
        </w:numPr>
        <w:spacing w:after="80"/>
      </w:pPr>
      <w:hyperlink w:history="1" r:id="rIdkvjzw8cbzx-ujsgkhvfxa">
        <w:r>
          <w:rPr>
            <w:rFonts w:ascii="Times New Roman" w:cs="Times New Roman" w:eastAsia="Times New Roman" w:hAnsi="Times New Roman"/>
            <w:color w:val="1155CC"/>
            <w:sz w:val="22"/>
            <w:szCs w:val="22"/>
            <w:u w:val="single"/>
          </w:rPr>
          <w:t xml:space="preserve">Integrative9 — Introduction to the Enneagram</w:t>
        </w:r>
      </w:hyperlink>
    </w:p>
    <w:p>
      <w:pPr>
        <w:pStyle w:val="ListParagraph"/>
        <w:numPr>
          <w:ilvl w:val="0"/>
          <w:numId w:val="1"/>
        </w:numPr>
        <w:spacing w:after="80"/>
      </w:pPr>
      <w:hyperlink w:history="1" r:id="rIdnzgrugoor86o_ewnnlbd6">
        <w:r>
          <w:rPr>
            <w:rFonts w:ascii="Times New Roman" w:cs="Times New Roman" w:eastAsia="Times New Roman" w:hAnsi="Times New Roman"/>
            <w:color w:val="1155CC"/>
            <w:sz w:val="22"/>
            <w:szCs w:val="22"/>
            <w:u w:val="single"/>
          </w:rPr>
          <w:t xml:space="preserve">Aprisme — Enneagram Integration and Disintegration</w:t>
        </w:r>
      </w:hyperlink>
    </w:p>
    <w:p>
      <w:pPr>
        <w:pStyle w:val="ListParagraph"/>
        <w:numPr>
          <w:ilvl w:val="0"/>
          <w:numId w:val="1"/>
        </w:numPr>
        <w:spacing w:after="80"/>
      </w:pPr>
      <w:hyperlink w:history="1" r:id="rIdndnoxikrnrrdcg_djdb_1">
        <w:r>
          <w:rPr>
            <w:rFonts w:ascii="Times New Roman" w:cs="Times New Roman" w:eastAsia="Times New Roman" w:hAnsi="Times New Roman"/>
            <w:color w:val="1155CC"/>
            <w:sz w:val="22"/>
            <w:szCs w:val="22"/>
            <w:u w:val="single"/>
          </w:rPr>
          <w:t xml:space="preserve">TypeFusion — Enneagram Growth Paths: Integration for All 9 Types</w:t>
        </w:r>
      </w:hyperlink>
    </w:p>
    <w:p>
      <w:pPr>
        <w:pStyle w:val="ListParagraph"/>
        <w:numPr>
          <w:ilvl w:val="0"/>
          <w:numId w:val="1"/>
        </w:numPr>
        <w:spacing w:after="80"/>
      </w:pPr>
      <w:hyperlink w:history="1" r:id="rIdi5xncwwffn17rocu4-plt">
        <w:r>
          <w:rPr>
            <w:rFonts w:ascii="Times New Roman" w:cs="Times New Roman" w:eastAsia="Times New Roman" w:hAnsi="Times New Roman"/>
            <w:color w:val="1155CC"/>
            <w:sz w:val="22"/>
            <w:szCs w:val="22"/>
            <w:u w:val="single"/>
          </w:rPr>
          <w:t xml:space="preserve">PrismaTest — Enneagram Growth &amp; Stress: Lines of Integration and Disintegration</w:t>
        </w:r>
      </w:hyperlink>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b w:val="false"/>
          <w:bCs w:val="false"/>
          <w:color w:val="1F2937"/>
          <w:sz w:val="22"/>
          <w:szCs w:val="22"/>
        </w:rPr>
        <w:t xml:space="preserve">Leçon 14 / 20 — Les niveaux de développement (Riso-Hudson) : sain, moyen, malsain</w:t>
      </w:r>
    </w:p>
    <w:p>
      <w:pPr>
        <w:spacing w:after="120"/>
      </w:pPr>
      <w:r>
        <w:rPr>
          <w:rFonts w:ascii="Times New Roman" w:cs="Times New Roman" w:eastAsia="Times New Roman" w:hAnsi="Times New Roman"/>
          <w:b w:val="false"/>
          <w:bCs w:val="false"/>
          <w:color w:val="1F2937"/>
          <w:sz w:val="22"/>
          <w:szCs w:val="22"/>
        </w:rPr>
        <w:t xml:space="preserve">Après avoir compris les directions dynamiques (flèches), tu découvriras que chaque type s'exprime sur un spectre vertical de 9 niveaux — de l'expression la plus intégrée et libérée à la plus compulsive et rigide. Ce modèle nuance radicalement la lecture des types et donne un outil puissant pour situer le travail de développement personnel.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hvb0gt5fraqle8oacvm1" Type="http://schemas.openxmlformats.org/officeDocument/2006/relationships/hyperlink" Target="https://www.enneagraminstitute.com/how-the-enneagram-system-works/" TargetMode="External"/><Relationship Id="rIdn_eovxzfucusofvwifpfc" Type="http://schemas.openxmlformats.org/officeDocument/2006/relationships/hyperlink" Target="https://en.wikipedia.org/wiki/Enneagram_of_Personality" TargetMode="External"/><Relationship Id="rIdghnzqz4no3dfmqxs0fruw" Type="http://schemas.openxmlformats.org/officeDocument/2006/relationships/hyperlink" Target="https://enneagramtest.com/blog/enneagram-arrows" TargetMode="External"/><Relationship Id="rIdkvjzw8cbzx-ujsgkhvfxa" Type="http://schemas.openxmlformats.org/officeDocument/2006/relationships/hyperlink" Target="https://www.integrative9.com/enneagram/introduction" TargetMode="External"/><Relationship Id="rIdnzgrugoor86o_ewnnlbd6" Type="http://schemas.openxmlformats.org/officeDocument/2006/relationships/hyperlink" Target="https://aprisme.blog/en/enneagram-en/enneagram-integration-and-disintegration/" TargetMode="External"/><Relationship Id="rIdndnoxikrnrrdcg_djdb_1" Type="http://schemas.openxmlformats.org/officeDocument/2006/relationships/hyperlink" Target="https://type-fusion.com/blog/enneagram-growth-paths/" TargetMode="External"/><Relationship Id="rIdi5xncwwffn17rocu4-plt" Type="http://schemas.openxmlformats.org/officeDocument/2006/relationships/hyperlink" Target="https://prismatest.com/en/tests/enneagram/growth"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Ennéagramme n°13 — Les flèches : intégration et désintégration</dc:title>
  <dc:creator>Claude Code — Parcours Ennéagramme</dc:creator>
  <dc:description>Leçon 13/20 du parcours d'apprentissage de l'ennéagramme</dc:description>
  <cp:lastModifiedBy>Un-named</cp:lastModifiedBy>
  <cp:revision>1</cp:revision>
  <dcterms:created xsi:type="dcterms:W3CDTF">2026-08-26T07:06:59.901Z</dcterms:created>
  <dcterms:modified xsi:type="dcterms:W3CDTF">2026-08-26T07:06:59.903Z</dcterms:modified>
</cp:coreProperties>
</file>

<file path=docProps/custom.xml><?xml version="1.0" encoding="utf-8"?>
<Properties xmlns="http://schemas.openxmlformats.org/officeDocument/2006/custom-properties" xmlns:vt="http://schemas.openxmlformats.org/officeDocument/2006/docPropsVTypes"/>
</file>