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color w:val="1B3A6B"/>
          <w:sz w:val="52"/>
          <w:szCs w:val="52"/>
        </w:rPr>
        <w:t xml:space="preserve">Leçon Entretien Motivationnel n°04 — Les compétences OARS</w:t>
      </w:r>
    </w:p>
    <w:p>
      <w:pPr>
        <w:spacing w:after="240"/>
        <w:jc w:val="center"/>
      </w:pPr>
      <w:r>
        <w:rPr>
          <w:rFonts w:ascii="Times New Roman" w:cs="Times New Roman" w:eastAsia="Times New Roman" w:hAnsi="Times New Roman"/>
          <w:b w:val="false"/>
          <w:bCs w:val="false"/>
          <w:i/>
          <w:iCs/>
          <w:color w:val="1B3A6B"/>
          <w:sz w:val="22"/>
          <w:szCs w:val="22"/>
        </w:rPr>
        <w:t xml:space="preserve">13 juillet 2026 · Module Fondamental — leçon 04</w:t>
      </w:r>
    </w:p>
    <w:p>
      <w:pPr>
        <w:spacing w:after="120" w:before="260"/>
      </w:pPr>
      <w:r>
        <w:rPr>
          <w:rFonts w:ascii="Times New Roman" w:cs="Times New Roman" w:eastAsia="Times New Roman" w:hAnsi="Times New Roman"/>
          <w:b/>
          <w:bCs/>
          <w:i w:val="false"/>
          <w:iCs w:val="false"/>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maîtriseras les quatre compétences fondamentales de l'EM, résumées par OARS : questions Ouvertes, Affirmation/valorisation, Reflets (écoute reflective), Synthèses/résumés.</w:t>
      </w:r>
    </w:p>
    <w:p>
      <w:pPr>
        <w:spacing w:after="120"/>
      </w:pPr>
      <w:r>
        <w:rPr>
          <w:rFonts w:ascii="Times New Roman" w:cs="Times New Roman" w:eastAsia="Times New Roman" w:hAnsi="Times New Roman"/>
          <w:b w:val="false"/>
          <w:bCs w:val="false"/>
          <w:i w:val="false"/>
          <w:iCs w:val="false"/>
          <w:color w:val="1F2937"/>
          <w:sz w:val="22"/>
          <w:szCs w:val="22"/>
        </w:rPr>
        <w:t xml:space="preserve">Rappel de continuité : </w:t>
      </w:r>
      <w:r>
        <w:rPr>
          <w:rFonts w:ascii="Times New Roman" w:cs="Times New Roman" w:eastAsia="Times New Roman" w:hAnsi="Times New Roman"/>
          <w:b w:val="false"/>
          <w:bCs w:val="false"/>
          <w:i w:val="false"/>
          <w:iCs w:val="false"/>
          <w:color w:val="1F2937"/>
          <w:sz w:val="22"/>
          <w:szCs w:val="22"/>
        </w:rPr>
        <w:t xml:space="preserve">la leçon n°03 a donné la structure (les quatre processus). OARS en est la </w:t>
      </w:r>
      <w:r>
        <w:rPr>
          <w:rFonts w:ascii="Times New Roman" w:cs="Times New Roman" w:eastAsia="Times New Roman" w:hAnsi="Times New Roman"/>
          <w:b/>
          <w:bCs/>
          <w:i w:val="false"/>
          <w:iCs w:val="false"/>
          <w:color w:val="1F2937"/>
          <w:sz w:val="22"/>
          <w:szCs w:val="22"/>
        </w:rPr>
        <w:t xml:space="preserve">boîte à outils concrète</w:t>
      </w:r>
      <w:r>
        <w:rPr>
          <w:rFonts w:ascii="Times New Roman" w:cs="Times New Roman" w:eastAsia="Times New Roman" w:hAnsi="Times New Roman"/>
          <w:b w:val="false"/>
          <w:bCs w:val="false"/>
          <w:i w:val="false"/>
          <w:iCs w:val="false"/>
          <w:color w:val="1F2937"/>
          <w:sz w:val="22"/>
          <w:szCs w:val="22"/>
        </w:rPr>
        <w:t xml:space="preserve"> : ce sont ces micro-compétences qui font vivre l'engagement et l'évocation.</w:t>
      </w:r>
    </w:p>
    <w:p>
      <w:pPr>
        <w:spacing w:after="120" w:before="260"/>
      </w:pPr>
      <w:r>
        <w:rPr>
          <w:rFonts w:ascii="Times New Roman" w:cs="Times New Roman" w:eastAsia="Times New Roman" w:hAnsi="Times New Roman"/>
          <w:b/>
          <w:bCs/>
          <w:i w:val="false"/>
          <w:iCs w:val="false"/>
          <w:color w:val="1B3A6B"/>
          <w:sz w:val="30"/>
          <w:szCs w:val="30"/>
        </w:rPr>
        <w:t xml:space="preserve">🔬 Théorie (20%)</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O — Questions ouvertes : </w:t>
      </w:r>
      <w:r>
        <w:rPr>
          <w:rFonts w:ascii="Times New Roman" w:cs="Times New Roman" w:eastAsia="Times New Roman" w:hAnsi="Times New Roman"/>
          <w:b w:val="false"/>
          <w:bCs w:val="false"/>
          <w:i w:val="false"/>
          <w:iCs w:val="false"/>
          <w:color w:val="1F2937"/>
          <w:sz w:val="22"/>
          <w:szCs w:val="22"/>
        </w:rPr>
        <w:t xml:space="preserve">elles invitent à développer (« Comment… ? », « Qu'est-ce qui… ? ») plutôt qu'à répondre par oui/non. Elles ouvrent l'exploration.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A — Affirmation (valorisation) : </w:t>
      </w:r>
      <w:r>
        <w:rPr>
          <w:rFonts w:ascii="Times New Roman" w:cs="Times New Roman" w:eastAsia="Times New Roman" w:hAnsi="Times New Roman"/>
          <w:b w:val="false"/>
          <w:bCs w:val="false"/>
          <w:i w:val="false"/>
          <w:iCs w:val="false"/>
          <w:color w:val="1F2937"/>
          <w:sz w:val="22"/>
          <w:szCs w:val="22"/>
        </w:rPr>
        <w:t xml:space="preserve">souligner sincèrement une force, un effort, une intention positive. Renforce l'engagement et le sentiment d'auto-efficacité.</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R — Reflets (écoute reflective) : </w:t>
      </w:r>
      <w:r>
        <w:rPr>
          <w:rFonts w:ascii="Times New Roman" w:cs="Times New Roman" w:eastAsia="Times New Roman" w:hAnsi="Times New Roman"/>
          <w:b w:val="false"/>
          <w:bCs w:val="false"/>
          <w:i w:val="false"/>
          <w:iCs w:val="false"/>
          <w:color w:val="1F2937"/>
          <w:sz w:val="22"/>
          <w:szCs w:val="22"/>
        </w:rPr>
        <w:t xml:space="preserve">reformuler ce que la personne exprime. Reflet simple (paraphrase) ou complexe (on ajoute le sens/l'émotion sous-jacente). C'est l'outil le plus puissant et le plus sous-utilisé.</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S — Synthèses (résumés) : </w:t>
      </w:r>
      <w:r>
        <w:rPr>
          <w:rFonts w:ascii="Times New Roman" w:cs="Times New Roman" w:eastAsia="Times New Roman" w:hAnsi="Times New Roman"/>
          <w:b w:val="false"/>
          <w:bCs w:val="false"/>
          <w:i w:val="false"/>
          <w:iCs w:val="false"/>
          <w:color w:val="1F2937"/>
          <w:sz w:val="22"/>
          <w:szCs w:val="22"/>
        </w:rPr>
        <w:t xml:space="preserve">rassembler les propos, notamment le discours-changement, pour faire le point et relancer.</w:t>
      </w:r>
    </w:p>
    <w:p>
      <w:pPr>
        <w:pBdr>
          <w:left w:val="single" w:color="1B3A6B" w:sz="18" w:space="8"/>
        </w:pBdr>
        <w:shd w:fill="EEF2F7"/>
        <w:spacing w:after="140" w:before="100"/>
        <w:ind w:left="360"/>
      </w:pPr>
      <w:r>
        <w:rPr>
          <w:rFonts w:ascii="Times New Roman" w:cs="Times New Roman" w:eastAsia="Times New Roman" w:hAnsi="Times New Roman"/>
          <w:b w:val="false"/>
          <w:bCs w:val="false"/>
          <w:i/>
          <w:iCs/>
          <w:color w:val="1B3A6B"/>
          <w:sz w:val="22"/>
          <w:szCs w:val="22"/>
        </w:rPr>
        <w:t xml:space="preserve">Le reflet n'est pas une question déguisée : c'est une hypothèse sur le sens, offerte à la personne, qu'elle peut confirmer ou corriger.</w:t>
      </w:r>
      <w:r>
        <w:rPr>
          <w:rFonts w:ascii="Times New Roman" w:cs="Times New Roman" w:eastAsia="Times New Roman" w:hAnsi="Times New Roman"/>
          <w:b w:val="false"/>
          <w:bCs w:val="false"/>
          <w:i/>
          <w:iCs/>
          <w:color w:val="1B3A6B"/>
          <w:sz w:val="20"/>
          <w:szCs w:val="20"/>
        </w:rPr>
        <w:t xml:space="preserve">  — Écoute reflective (OARS)</w:t>
      </w:r>
    </w:p>
    <w:p>
      <w:pPr>
        <w:spacing w:after="120"/>
      </w:pPr>
      <w:r>
        <w:rPr>
          <w:rFonts w:ascii="Times New Roman" w:cs="Times New Roman" w:eastAsia="Times New Roman" w:hAnsi="Times New Roman"/>
          <w:b w:val="false"/>
          <w:bCs w:val="false"/>
          <w:i w:val="false"/>
          <w:iCs w:val="false"/>
          <w:color w:val="1F2937"/>
          <w:sz w:val="22"/>
          <w:szCs w:val="22"/>
        </w:rPr>
        <w:t xml:space="preserve">En version francophone, OARS est parfois rendu par « OuVER » (Ouvertes, Valoriser, Écoute reflective, Résumer).</w:t>
      </w:r>
    </w:p>
    <w:p>
      <w:pPr>
        <w:spacing w:after="120" w:before="260"/>
      </w:pPr>
      <w:r>
        <w:rPr>
          <w:rFonts w:ascii="Times New Roman" w:cs="Times New Roman" w:eastAsia="Times New Roman" w:hAnsi="Times New Roman"/>
          <w:b/>
          <w:bCs/>
          <w:i w:val="false"/>
          <w:iCs w:val="false"/>
          <w:color w:val="1B3A6B"/>
          <w:sz w:val="30"/>
          <w:szCs w:val="30"/>
        </w:rPr>
        <w:t xml:space="preserve">🛠️ Pratique (80%)</w:t>
      </w:r>
    </w:p>
    <w:p>
      <w:pPr>
        <w:spacing w:after="80" w:before="160"/>
      </w:pPr>
      <w:r>
        <w:rPr>
          <w:rFonts w:ascii="Times New Roman" w:cs="Times New Roman" w:eastAsia="Times New Roman" w:hAnsi="Times New Roman"/>
          <w:b/>
          <w:bCs/>
          <w:i w:val="false"/>
          <w:iCs w:val="false"/>
          <w:color w:val="1F2937"/>
          <w:sz w:val="26"/>
          <w:szCs w:val="26"/>
        </w:rPr>
        <w:t xml:space="preserve">Exercice 1 — Ouvrir les questions fermées</w:t>
      </w:r>
    </w:p>
    <w:p>
      <w:pPr>
        <w:spacing w:after="120"/>
      </w:pPr>
      <w:r>
        <w:rPr>
          <w:rFonts w:ascii="Times New Roman" w:cs="Times New Roman" w:eastAsia="Times New Roman" w:hAnsi="Times New Roman"/>
          <w:b w:val="false"/>
          <w:bCs w:val="false"/>
          <w:i w:val="false"/>
          <w:iCs w:val="false"/>
          <w:color w:val="1F2937"/>
          <w:sz w:val="22"/>
          <w:szCs w:val="22"/>
        </w:rPr>
        <w:t xml:space="preserve">Transforme 8 questions fermées en questions ouvertes (« Vous allez mieux ? » → « Qu'est-ce qui a changé pour vous ces derniers jours ? »). Note la différence de matière obtenue.</w:t>
      </w:r>
    </w:p>
    <w:p>
      <w:pPr>
        <w:spacing w:after="80" w:before="160"/>
      </w:pPr>
      <w:r>
        <w:rPr>
          <w:rFonts w:ascii="Times New Roman" w:cs="Times New Roman" w:eastAsia="Times New Roman" w:hAnsi="Times New Roman"/>
          <w:b/>
          <w:bCs/>
          <w:i w:val="false"/>
          <w:iCs w:val="false"/>
          <w:color w:val="1F2937"/>
          <w:sz w:val="26"/>
          <w:szCs w:val="26"/>
        </w:rPr>
        <w:t xml:space="preserve">Exercice 2 — S'entraîner aux reflets</w:t>
      </w:r>
    </w:p>
    <w:p>
      <w:pPr>
        <w:spacing w:after="120"/>
      </w:pPr>
      <w:r>
        <w:rPr>
          <w:rFonts w:ascii="Times New Roman" w:cs="Times New Roman" w:eastAsia="Times New Roman" w:hAnsi="Times New Roman"/>
          <w:b w:val="false"/>
          <w:bCs w:val="false"/>
          <w:i w:val="false"/>
          <w:iCs w:val="false"/>
          <w:color w:val="1F2937"/>
          <w:sz w:val="22"/>
          <w:szCs w:val="22"/>
        </w:rPr>
        <w:t xml:space="preserve">À partir de 5 énoncés d'une personne, écris pour chacun un reflet simple ET un reflet complexe. Le reflet complexe ajoute l'émotion ou la valeur implicite (« Vous en avez assez de courir, et vous aimeriez retrouver du souffle. »). Évite de finir par un point d'interrogation.</w:t>
      </w:r>
    </w:p>
    <w:p>
      <w:pPr>
        <w:spacing w:after="80" w:before="160"/>
      </w:pPr>
      <w:r>
        <w:rPr>
          <w:rFonts w:ascii="Times New Roman" w:cs="Times New Roman" w:eastAsia="Times New Roman" w:hAnsi="Times New Roman"/>
          <w:b/>
          <w:bCs/>
          <w:i w:val="false"/>
          <w:iCs w:val="false"/>
          <w:color w:val="1F2937"/>
          <w:sz w:val="26"/>
          <w:szCs w:val="26"/>
        </w:rPr>
        <w:t xml:space="preserve">Exercice 3 — Le résumé qui relance</w:t>
      </w:r>
    </w:p>
    <w:p>
      <w:pPr>
        <w:spacing w:after="120"/>
      </w:pPr>
      <w:r>
        <w:rPr>
          <w:rFonts w:ascii="Times New Roman" w:cs="Times New Roman" w:eastAsia="Times New Roman" w:hAnsi="Times New Roman"/>
          <w:b w:val="false"/>
          <w:bCs w:val="false"/>
          <w:i w:val="false"/>
          <w:iCs w:val="false"/>
          <w:color w:val="1F2937"/>
          <w:sz w:val="22"/>
          <w:szCs w:val="22"/>
        </w:rPr>
        <w:t xml:space="preserve">Rédige un court résumé (4-5 lignes) d'un échange fictif, en mettant en avant les propos de changement de la personne et en terminant par une question ouverte de relance. Tu verras comment un bon résumé « range » la conversation et fait avancer.</w:t>
      </w:r>
    </w:p>
    <w:p>
      <w:pPr>
        <w:spacing w:after="120" w:before="260"/>
      </w:pPr>
      <w:r>
        <w:rPr>
          <w:rFonts w:ascii="Times New Roman" w:cs="Times New Roman" w:eastAsia="Times New Roman" w:hAnsi="Times New Roman"/>
          <w:b/>
          <w:bCs/>
          <w:i w:val="false"/>
          <w:iCs w:val="false"/>
          <w:color w:val="1B3A6B"/>
          <w:sz w:val="30"/>
          <w:szCs w:val="30"/>
        </w:rPr>
        <w:t xml:space="preserve">🎯 Challenge</w:t>
      </w:r>
    </w:p>
    <w:p>
      <w:pPr>
        <w:spacing w:after="120"/>
      </w:pPr>
      <w:r>
        <w:rPr>
          <w:rFonts w:ascii="Times New Roman" w:cs="Times New Roman" w:eastAsia="Times New Roman" w:hAnsi="Times New Roman"/>
          <w:b w:val="false"/>
          <w:bCs w:val="false"/>
          <w:i w:val="false"/>
          <w:iCs w:val="false"/>
          <w:color w:val="1F2937"/>
          <w:sz w:val="22"/>
          <w:szCs w:val="22"/>
        </w:rPr>
        <w:t xml:space="preserve">Dialogue écrit de 10 répliques où TU n'utilises QUE des interventions OARS (aucune affirmation directive, aucun conseil non sollicité). Annote chaque réplique par sa lettre (O/A/R/S). Compte : combien de reflets pour une question ? Vise un ratio d'au moins 2 reflets pour 1 question.</w:t>
      </w:r>
    </w:p>
    <w:p>
      <w:pPr>
        <w:spacing w:after="120" w:before="260"/>
      </w:pPr>
      <w:r>
        <w:rPr>
          <w:rFonts w:ascii="Times New Roman" w:cs="Times New Roman" w:eastAsia="Times New Roman" w:hAnsi="Times New Roman"/>
          <w:b/>
          <w:bCs/>
          <w:i w:val="false"/>
          <w:iCs w:val="false"/>
          <w:color w:val="1B3A6B"/>
          <w:sz w:val="30"/>
          <w:szCs w:val="30"/>
        </w:rPr>
        <w:t xml:space="preserve">🌉 Pont pro (ESSMS)</w:t>
      </w:r>
    </w:p>
    <w:p>
      <w:pPr>
        <w:spacing w:after="120"/>
      </w:pPr>
      <w:r>
        <w:rPr>
          <w:rFonts w:ascii="Times New Roman" w:cs="Times New Roman" w:eastAsia="Times New Roman" w:hAnsi="Times New Roman"/>
          <w:b w:val="false"/>
          <w:bCs w:val="false"/>
          <w:i w:val="false"/>
          <w:iCs w:val="false"/>
          <w:color w:val="1F2937"/>
          <w:sz w:val="22"/>
          <w:szCs w:val="22"/>
        </w:rPr>
        <w:t xml:space="preserve">OARS est directement transposable aux entretiens d'équipe et aux temps d'accompagnement : questions ouvertes et reflets désamorcent la défensive, la valorisation soutient la motivation, le résumé sécurise la compréhension mutuelle. Ce sont des compétences de posture, pas des techniques de manipulation.</w:t>
      </w:r>
    </w:p>
    <w:p>
      <w:pPr>
        <w:spacing w:after="120" w:before="260"/>
      </w:pPr>
      <w:r>
        <w:rPr>
          <w:rFonts w:ascii="Times New Roman" w:cs="Times New Roman" w:eastAsia="Times New Roman" w:hAnsi="Times New Roman"/>
          <w:b/>
          <w:bCs/>
          <w:i w:val="false"/>
          <w:iCs w:val="false"/>
          <w:color w:val="1B3A6B"/>
          <w:sz w:val="30"/>
          <w:szCs w:val="30"/>
        </w:rPr>
        <w:t xml:space="preserve">📚 Ressources cliquables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qjkx46vn2xdwusympqm_u">
        <w:r>
          <w:rPr>
            <w:rFonts w:ascii="Times New Roman" w:cs="Times New Roman" w:eastAsia="Times New Roman" w:hAnsi="Times New Roman"/>
            <w:b w:val="false"/>
            <w:bCs w:val="false"/>
            <w:i w:val="false"/>
            <w:iCs w:val="false"/>
            <w:color w:val="1155CC"/>
            <w:sz w:val="22"/>
            <w:szCs w:val="22"/>
            <w:u w:val="single"/>
          </w:rPr>
          <w:t xml:space="preserve">Motivational interviewing — Wikipedia</w:t>
        </w:r>
      </w:hyperlink>
      <w:r>
        <w:rPr>
          <w:rFonts w:ascii="Times New Roman" w:cs="Times New Roman" w:eastAsia="Times New Roman" w:hAnsi="Times New Roman"/>
          <w:b w:val="false"/>
          <w:bCs w:val="false"/>
          <w:i w:val="false"/>
          <w:iCs w:val="false"/>
          <w:color w:val="1F2937"/>
          <w:sz w:val="22"/>
          <w:szCs w:val="22"/>
        </w:rPr>
        <w:t xml:space="preserve"> — vue d'ensemble : esprit, processus, OARS (EN)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gsb5s3qra4bdqpq18f4o6">
        <w:r>
          <w:rPr>
            <w:rFonts w:ascii="Times New Roman" w:cs="Times New Roman" w:eastAsia="Times New Roman" w:hAnsi="Times New Roman"/>
            <w:b w:val="false"/>
            <w:bCs w:val="false"/>
            <w:i w:val="false"/>
            <w:iCs w:val="false"/>
            <w:color w:val="1155CC"/>
            <w:sz w:val="22"/>
            <w:szCs w:val="22"/>
            <w:u w:val="single"/>
          </w:rPr>
          <w:t xml:space="preserve">MINT — Glossary of Motivational Interviewing Terms (PDF)</w:t>
        </w:r>
      </w:hyperlink>
      <w:r>
        <w:rPr>
          <w:rFonts w:ascii="Times New Roman" w:cs="Times New Roman" w:eastAsia="Times New Roman" w:hAnsi="Times New Roman"/>
          <w:b w:val="false"/>
          <w:bCs w:val="false"/>
          <w:i w:val="false"/>
          <w:iCs w:val="false"/>
          <w:color w:val="1F2937"/>
          <w:sz w:val="22"/>
          <w:szCs w:val="22"/>
        </w:rPr>
        <w:t xml:space="preserve"> — définitions de référence</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rnckqawepujyk31lxubih">
        <w:r>
          <w:rPr>
            <w:rFonts w:ascii="Times New Roman" w:cs="Times New Roman" w:eastAsia="Times New Roman" w:hAnsi="Times New Roman"/>
            <w:b w:val="false"/>
            <w:bCs w:val="false"/>
            <w:i w:val="false"/>
            <w:iCs w:val="false"/>
            <w:color w:val="1155CC"/>
            <w:sz w:val="22"/>
            <w:szCs w:val="22"/>
            <w:u w:val="single"/>
          </w:rPr>
          <w:t xml:space="preserve">MINT — réseau officiel des formateurs</w:t>
        </w:r>
      </w:hyperlink>
      <w:r>
        <w:rPr>
          <w:rFonts w:ascii="Times New Roman" w:cs="Times New Roman" w:eastAsia="Times New Roman" w:hAnsi="Times New Roman"/>
          <w:b w:val="false"/>
          <w:bCs w:val="false"/>
          <w:i w:val="false"/>
          <w:iCs w:val="false"/>
          <w:color w:val="1F2937"/>
          <w:sz w:val="22"/>
          <w:szCs w:val="22"/>
        </w:rPr>
        <w:t xml:space="preserve"> — ressources et formation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q7tzsbafhwvnyyawcyrul">
        <w:r>
          <w:rPr>
            <w:rFonts w:ascii="Times New Roman" w:cs="Times New Roman" w:eastAsia="Times New Roman" w:hAnsi="Times New Roman"/>
            <w:b w:val="false"/>
            <w:bCs w:val="false"/>
            <w:i w:val="false"/>
            <w:iCs w:val="false"/>
            <w:color w:val="1155CC"/>
            <w:sz w:val="22"/>
            <w:szCs w:val="22"/>
            <w:u w:val="single"/>
          </w:rPr>
          <w:t xml:space="preserve">AFDEM — ressources francophones sur l'EM</w:t>
        </w:r>
      </w:hyperlink>
      <w:r>
        <w:rPr>
          <w:rFonts w:ascii="Times New Roman" w:cs="Times New Roman" w:eastAsia="Times New Roman" w:hAnsi="Times New Roman"/>
          <w:b w:val="false"/>
          <w:bCs w:val="false"/>
          <w:i w:val="false"/>
          <w:iCs w:val="false"/>
          <w:color w:val="1F2937"/>
          <w:sz w:val="22"/>
          <w:szCs w:val="22"/>
        </w:rPr>
        <w:t xml:space="preserve"> — association francophone</w:t>
      </w:r>
      <w:r>
        <w:rPr>
          <w:rFonts w:ascii="Times New Roman" w:cs="Times New Roman" w:eastAsia="Times New Roman" w:hAnsi="Times New Roman"/>
          <w:i/>
          <w:iCs/>
          <w:color w:val="6B7280"/>
          <w:sz w:val="20"/>
          <w:szCs w:val="20"/>
        </w:rPr>
        <w:t xml:space="preserve">   [Corrigé le 25/10/2026 : adresse d'origine « https://www.entretienmotivationnel.org/ » ; son certificat est celui de l'hébergement mutualisé OVH, « cluster110.hosting.ovh.net » renouvelé le 19/10/2026, et AUCUN nom alternatif n'y couvre le domaine — curl exit 60, « no alternative certificate subject name matches target host name ». Mais le site, lui, est VIVANT : http://www.entretienmotivationnel.org/ rend HTTP 200 et 13 403 caractères utiles, où « AFDEM » et « Association Francophone de Diffusion de l'Entretien Motivationnel » figurent littéralement (mesuré le 25/10/2026) — l'hyperlien passe donc à http://, faute de mieux : l'Internet Archive n'offre pas de recours : son dernier instantané de ce site date du 12/12/2019, sept ans avant la lecture. Détail au journal.]</w:t>
      </w:r>
    </w:p>
    <w:p>
      <w:pPr>
        <w:spacing w:after="120" w:before="260"/>
      </w:pPr>
      <w:r>
        <w:rPr>
          <w:rFonts w:ascii="Times New Roman" w:cs="Times New Roman" w:eastAsia="Times New Roman" w:hAnsi="Times New Roman"/>
          <w:b/>
          <w:bCs/>
          <w:i w:val="false"/>
          <w:iCs w:val="false"/>
          <w:color w:val="1B3A6B"/>
          <w:sz w:val="30"/>
          <w:szCs w:val="30"/>
        </w:rPr>
        <w:t xml:space="preserve">🔜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Leçon n°05 — Faire émerger et renforcer le discours-changement (DARN-CAT) et répondre au discours-maintien.</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Adresse de l'AFDEM — l'hyperlien passe de https:// à http://, et ce n'est pas une page morte mais un certificat. Mesuré le 25/10/2026 : son certificat est celui de l'hébergement mutualisé OVH, « cluster110.hosting.ovh.net » renouvelé le 19/10/2026, et AUCUN nom alternatif n'y couvre le domaine — curl exit 60, « no alternative certificate subject name matches target host name ». En revanche le site, lui, est VIVANT : http://www.entretienmotivationnel.org/ rend HTTP 200 et 13 403 caractères utiles, où « AFDEM » et « Association Francophone de Diffusion de l'Entretien Motivationnel » figurent littéralement (mesuré le 25/10/2026).</w:t>
      </w:r>
    </w:p>
    <w:p>
      <w:pPr>
        <w:spacing w:after="80"/>
      </w:pPr>
      <w:r>
        <w:rPr>
          <w:rFonts w:ascii="Times New Roman" w:cs="Times New Roman" w:eastAsia="Times New Roman" w:hAnsi="Times New Roman"/>
          <w:color w:val="1F2937"/>
          <w:sz w:val="22"/>
          <w:szCs w:val="22"/>
        </w:rPr>
        <w:t xml:space="preserve">Pourquoi http:// plutôt qu'une archive : l'Internet Archive n'offre pas de recours : son dernier instantané de ce site date du 12/12/2019, sept ans avant la lecture, et une page d'actualités de 2019 ne serait plus la ressource que ce libellé annonce. Pourquoi http:// plutôt qu'un lien laissé cassé : la règle du dépôt veut qu'un lecteur qui clique arrive quelque part, et cette adresse-là répond. ⚠️ Le coût est dit : http:// n'est pas chiffré, et un navigateur réglé en « HTTPS d'abord » peut tenter https:// et échouer. C'est la seule voie qui mène aujourd'hui au site réel.</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jkx46vn2xdwusympqm_u" Type="http://schemas.openxmlformats.org/officeDocument/2006/relationships/hyperlink" Target="https://en.wikipedia.org/wiki/Motivational_interviewing" TargetMode="External"/><Relationship Id="rIdgsb5s3qra4bdqpq18f4o6" Type="http://schemas.openxmlformats.org/officeDocument/2006/relationships/hyperlink" Target="https://motivationalinterviewing.org/sites/default/files/glossary_of_mi_terms-1.pdf" TargetMode="External"/><Relationship Id="rIdrnckqawepujyk31lxubih" Type="http://schemas.openxmlformats.org/officeDocument/2006/relationships/hyperlink" Target="https://motivationalinterviewing.org/" TargetMode="External"/><Relationship Id="rIdq7tzsbafhwvnyyawcyrul" Type="http://schemas.openxmlformats.org/officeDocument/2006/relationships/hyperlink" Target="http://www.entretienmotivationnel.or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2026-07-13T08:41:42.312Z</dcterms:created>
  <dcterms:modified xsi:type="dcterms:W3CDTF">2026-07-13T08:41:42.312Z</dcterms:modified>
</cp:coreProperties>
</file>

<file path=docProps/custom.xml><?xml version="1.0" encoding="utf-8"?>
<Properties xmlns="http://schemas.openxmlformats.org/officeDocument/2006/custom-properties" xmlns:vt="http://schemas.openxmlformats.org/officeDocument/2006/docPropsVTypes"/>
</file>