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Entretien Motivationnel n°07 — Intégration &amp; entraînement (fidélité, MITI)</w:t>
      </w:r>
    </w:p>
    <w:p>
      <w:pPr>
        <w:spacing w:after="240"/>
        <w:jc w:val="center"/>
      </w:pPr>
      <w:r>
        <w:rPr>
          <w:rFonts w:ascii="Times New Roman" w:cs="Times New Roman" w:eastAsia="Times New Roman" w:hAnsi="Times New Roman"/>
          <w:b w:val="false"/>
          <w:bCs w:val="false"/>
          <w:i/>
          <w:iCs/>
          <w:color w:val="1B3A6B"/>
          <w:sz w:val="22"/>
          <w:szCs w:val="22"/>
        </w:rPr>
        <w:t xml:space="preserve">14 juillet 2026 · Module Fondamental (clôture) — leçon 07 · dernier jour intensif</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ce qu'est la fidélité à l'EM et comment on l'évalue (aperçu du MITI), tu disposeras d'un plan de pratique personnel, et tu comprendras ce qu'implique une posture motivationnelle en équipe. Cette leçon clôt le module fondamental et ouvre l'entraînement durable.</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les leçons n°01→06 ont posé l'esprit (PACE), l'ambivalence, les quatre processus, OARS, le discours-changement (DARN-CAT) et la discordance. Cette leçon n°07 </w:t>
      </w:r>
      <w:r>
        <w:rPr>
          <w:rFonts w:ascii="Times New Roman" w:cs="Times New Roman" w:eastAsia="Times New Roman" w:hAnsi="Times New Roman"/>
          <w:b/>
          <w:bCs/>
          <w:i w:val="false"/>
          <w:iCs w:val="false"/>
          <w:color w:val="1F2937"/>
          <w:sz w:val="22"/>
          <w:szCs w:val="22"/>
        </w:rPr>
        <w:t xml:space="preserve">intègre</w:t>
      </w:r>
      <w:r>
        <w:rPr>
          <w:rFonts w:ascii="Times New Roman" w:cs="Times New Roman" w:eastAsia="Times New Roman" w:hAnsi="Times New Roman"/>
          <w:b w:val="false"/>
          <w:bCs w:val="false"/>
          <w:i w:val="false"/>
          <w:iCs w:val="false"/>
          <w:color w:val="1F2937"/>
          <w:sz w:val="22"/>
          <w:szCs w:val="22"/>
        </w:rPr>
        <w:t xml:space="preserve"> le tout : passer des connaissances à une pratique fidèle et entraînée. C'est aussi la dernière leçon de la semaine intensive ; le parcours passe ensuite en rythme hebdomadaire (jeudi).</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La fidélité : faire de l'EM, vraiment</w:t>
      </w:r>
    </w:p>
    <w:p>
      <w:pPr>
        <w:spacing w:after="120"/>
      </w:pPr>
      <w:r>
        <w:rPr>
          <w:rFonts w:ascii="Times New Roman" w:cs="Times New Roman" w:eastAsia="Times New Roman" w:hAnsi="Times New Roman"/>
          <w:b w:val="false"/>
          <w:bCs w:val="false"/>
          <w:i w:val="false"/>
          <w:iCs w:val="false"/>
          <w:color w:val="1F2937"/>
          <w:sz w:val="22"/>
          <w:szCs w:val="22"/>
        </w:rPr>
        <w:t xml:space="preserve">Connaître l'EM ne garantit pas de le pratiquer : on peut poser des questions ouvertes tout en glissant des conseils non sollicités (réflexe correcteur). La « fidélité » (treatment integrity) désigne le degré auquel une pratique correspond réellement à l'EM. C'est un garde-fou honnête contre l'illusion de compétence.</w:t>
      </w:r>
    </w:p>
    <w:p>
      <w:pPr>
        <w:spacing w:after="80" w:before="160"/>
      </w:pPr>
      <w:r>
        <w:rPr>
          <w:rFonts w:ascii="Times New Roman" w:cs="Times New Roman" w:eastAsia="Times New Roman" w:hAnsi="Times New Roman"/>
          <w:b/>
          <w:bCs/>
          <w:i w:val="false"/>
          <w:iCs w:val="false"/>
          <w:color w:val="1F2937"/>
          <w:sz w:val="26"/>
          <w:szCs w:val="26"/>
        </w:rPr>
        <w:t xml:space="preserve">Le MITI en survol</w:t>
      </w:r>
    </w:p>
    <w:p>
      <w:pPr>
        <w:spacing w:after="120"/>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bCs/>
          <w:i w:val="false"/>
          <w:iCs w:val="false"/>
          <w:color w:val="1F2937"/>
          <w:sz w:val="22"/>
          <w:szCs w:val="22"/>
        </w:rPr>
        <w:t xml:space="preserve">MITI</w:t>
      </w:r>
      <w:r>
        <w:rPr>
          <w:rFonts w:ascii="Times New Roman" w:cs="Times New Roman" w:eastAsia="Times New Roman" w:hAnsi="Times New Roman"/>
          <w:b w:val="false"/>
          <w:bCs w:val="false"/>
          <w:i w:val="false"/>
          <w:iCs w:val="false"/>
          <w:color w:val="1F2937"/>
          <w:sz w:val="22"/>
          <w:szCs w:val="22"/>
        </w:rPr>
        <w:t xml:space="preserve"> (Motivational Interviewing Treatment Integrity, version 4.2.1) est le système de codage le plus utilisé pour évaluer la fidélité d'un entretien à partir d'un enregistrement. Il combine deux volets : des </w:t>
      </w:r>
      <w:r>
        <w:rPr>
          <w:rFonts w:ascii="Times New Roman" w:cs="Times New Roman" w:eastAsia="Times New Roman" w:hAnsi="Times New Roman"/>
          <w:b/>
          <w:bCs/>
          <w:i w:val="false"/>
          <w:iCs w:val="false"/>
          <w:color w:val="1F2937"/>
          <w:sz w:val="22"/>
          <w:szCs w:val="22"/>
        </w:rPr>
        <w:t xml:space="preserve">scores globaux</w:t>
      </w:r>
      <w:r>
        <w:rPr>
          <w:rFonts w:ascii="Times New Roman" w:cs="Times New Roman" w:eastAsia="Times New Roman" w:hAnsi="Times New Roman"/>
          <w:b w:val="false"/>
          <w:bCs w:val="false"/>
          <w:i w:val="false"/>
          <w:iCs w:val="false"/>
          <w:color w:val="1F2937"/>
          <w:sz w:val="22"/>
          <w:szCs w:val="22"/>
        </w:rPr>
        <w:t xml:space="preserve"> (ex. cultiver le discours-changement, adoucir le discours-maintien, partenariat, empathie) et des </w:t>
      </w:r>
      <w:r>
        <w:rPr>
          <w:rFonts w:ascii="Times New Roman" w:cs="Times New Roman" w:eastAsia="Times New Roman" w:hAnsi="Times New Roman"/>
          <w:b/>
          <w:bCs/>
          <w:i w:val="false"/>
          <w:iCs w:val="false"/>
          <w:color w:val="1F2937"/>
          <w:sz w:val="22"/>
          <w:szCs w:val="22"/>
        </w:rPr>
        <w:t xml:space="preserve">comptages de comportements</w:t>
      </w:r>
      <w:r>
        <w:rPr>
          <w:rFonts w:ascii="Times New Roman" w:cs="Times New Roman" w:eastAsia="Times New Roman" w:hAnsi="Times New Roman"/>
          <w:b w:val="false"/>
          <w:bCs w:val="false"/>
          <w:i w:val="false"/>
          <w:iCs w:val="false"/>
          <w:color w:val="1F2937"/>
          <w:sz w:val="22"/>
          <w:szCs w:val="22"/>
        </w:rPr>
        <w:t xml:space="preserve"> (questions, reflets, informations, etc.). Un indicateur clé : le </w:t>
      </w:r>
      <w:r>
        <w:rPr>
          <w:rFonts w:ascii="Times New Roman" w:cs="Times New Roman" w:eastAsia="Times New Roman" w:hAnsi="Times New Roman"/>
          <w:b/>
          <w:bCs/>
          <w:i w:val="false"/>
          <w:iCs w:val="false"/>
          <w:color w:val="1F2937"/>
          <w:sz w:val="22"/>
          <w:szCs w:val="22"/>
        </w:rPr>
        <w:t xml:space="preserve">ratio reflets/questions</w:t>
      </w:r>
      <w:r>
        <w:rPr>
          <w:rFonts w:ascii="Times New Roman" w:cs="Times New Roman" w:eastAsia="Times New Roman" w:hAnsi="Times New Roman"/>
          <w:b w:val="false"/>
          <w:bCs w:val="false"/>
          <w:i w:val="false"/>
          <w:iCs w:val="false"/>
          <w:color w:val="1F2937"/>
          <w:sz w:val="22"/>
          <w:szCs w:val="22"/>
        </w:rPr>
        <w:t xml:space="preserve"> (viser au moins 1, idéalement 2).</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Malgré une formation et une supervision approfondies, la plupart des praticiens n'atteignent pas d'emblée un bon niveau de compétence en EM : la fidélité s'acquiert par la pratique enregistrée et le feedback.</w:t>
      </w:r>
      <w:r>
        <w:rPr>
          <w:rFonts w:ascii="Times New Roman" w:cs="Times New Roman" w:eastAsia="Times New Roman" w:hAnsi="Times New Roman"/>
          <w:b w:val="false"/>
          <w:bCs w:val="false"/>
          <w:i/>
          <w:iCs/>
          <w:color w:val="1B3A6B"/>
          <w:sz w:val="20"/>
          <w:szCs w:val="20"/>
        </w:rPr>
        <w:t xml:space="preserve">  — Constat des études de fidélité (MITI)</w:t>
      </w:r>
    </w:p>
    <w:p>
      <w:pPr>
        <w:spacing w:after="80" w:before="160"/>
      </w:pPr>
      <w:r>
        <w:rPr>
          <w:rFonts w:ascii="Times New Roman" w:cs="Times New Roman" w:eastAsia="Times New Roman" w:hAnsi="Times New Roman"/>
          <w:b/>
          <w:bCs/>
          <w:i w:val="false"/>
          <w:iCs w:val="false"/>
          <w:color w:val="1F2937"/>
          <w:sz w:val="26"/>
          <w:szCs w:val="26"/>
        </w:rPr>
        <w:t xml:space="preserve">Practice makes fidelity</w:t>
      </w:r>
    </w:p>
    <w:p>
      <w:pPr>
        <w:spacing w:after="120"/>
      </w:pPr>
      <w:r>
        <w:rPr>
          <w:rFonts w:ascii="Times New Roman" w:cs="Times New Roman" w:eastAsia="Times New Roman" w:hAnsi="Times New Roman"/>
          <w:b w:val="false"/>
          <w:bCs w:val="false"/>
          <w:i w:val="false"/>
          <w:iCs w:val="false"/>
          <w:color w:val="1F2937"/>
          <w:sz w:val="22"/>
          <w:szCs w:val="22"/>
        </w:rPr>
        <w:t xml:space="preserve">La leçon des recherches est claire : la lecture ne suffit pas. Ce qui fait progresser, c'est la pratique délibérée + le feedback (idéalement supervisé, via enregistrements codés). D'où l'importance d'un plan de pratique réaliste et régulier.</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Auto-codage simplifié</w:t>
      </w:r>
    </w:p>
    <w:p>
      <w:pPr>
        <w:spacing w:after="120"/>
      </w:pPr>
      <w:r>
        <w:rPr>
          <w:rFonts w:ascii="Times New Roman" w:cs="Times New Roman" w:eastAsia="Times New Roman" w:hAnsi="Times New Roman"/>
          <w:b w:val="false"/>
          <w:bCs w:val="false"/>
          <w:i w:val="false"/>
          <w:iCs w:val="false"/>
          <w:color w:val="1F2937"/>
          <w:sz w:val="22"/>
          <w:szCs w:val="22"/>
        </w:rPr>
        <w:t xml:space="preserve">Reprends un des dialogues écrits des leçons précédentes (ou écris-en un de 12 répliques). Compte tes interventions : questions vs reflets. Calcule ton ratio reflets/questions. Repère aussi chaque « conseil non sollicité » (réflexe correcteur). Objectif : mesurer, pas juger — le chiffre éclaire la marge de progrès.</w:t>
      </w:r>
    </w:p>
    <w:p>
      <w:pPr>
        <w:spacing w:after="80" w:before="160"/>
      </w:pPr>
      <w:r>
        <w:rPr>
          <w:rFonts w:ascii="Times New Roman" w:cs="Times New Roman" w:eastAsia="Times New Roman" w:hAnsi="Times New Roman"/>
          <w:b/>
          <w:bCs/>
          <w:i w:val="false"/>
          <w:iCs w:val="false"/>
          <w:color w:val="1F2937"/>
          <w:sz w:val="26"/>
          <w:szCs w:val="26"/>
        </w:rPr>
        <w:t xml:space="preserve">Exercice 2 — Bâtir mon plan de pratique (8 semaines)</w:t>
      </w:r>
    </w:p>
    <w:p>
      <w:pPr>
        <w:spacing w:after="120"/>
      </w:pPr>
      <w:r>
        <w:rPr>
          <w:rFonts w:ascii="Times New Roman" w:cs="Times New Roman" w:eastAsia="Times New Roman" w:hAnsi="Times New Roman"/>
          <w:b w:val="false"/>
          <w:bCs w:val="false"/>
          <w:i w:val="false"/>
          <w:iCs w:val="false"/>
          <w:color w:val="1F2937"/>
          <w:sz w:val="22"/>
          <w:szCs w:val="22"/>
        </w:rPr>
        <w:t xml:space="preserve">Écris un plan concret : (a) une micro-compétence par semaine (ex. S1 reflets simples, S2 reflets complexes, S3 questions évocatrices…) ; (b) un support d'entraînement (jeux de rôle écrits, échanges réels avec accord, auto-enregistrement) ; (c) un rituel de feedback (relire, auto-coder, ou solliciter un pair). Réaliste avant tout : 15 min, 3 fois/semaine, vaut mieux qu'un plan ambitieux abandonné.</w:t>
      </w:r>
    </w:p>
    <w:p>
      <w:pPr>
        <w:spacing w:after="80" w:before="160"/>
      </w:pPr>
      <w:r>
        <w:rPr>
          <w:rFonts w:ascii="Times New Roman" w:cs="Times New Roman" w:eastAsia="Times New Roman" w:hAnsi="Times New Roman"/>
          <w:b/>
          <w:bCs/>
          <w:i w:val="false"/>
          <w:iCs w:val="false"/>
          <w:color w:val="1F2937"/>
          <w:sz w:val="26"/>
          <w:szCs w:val="26"/>
        </w:rPr>
        <w:t xml:space="preserve">Exercice 3 — EM en posture d'équipe</w:t>
      </w:r>
    </w:p>
    <w:p>
      <w:pPr>
        <w:spacing w:after="120"/>
      </w:pPr>
      <w:r>
        <w:rPr>
          <w:rFonts w:ascii="Times New Roman" w:cs="Times New Roman" w:eastAsia="Times New Roman" w:hAnsi="Times New Roman"/>
          <w:b w:val="false"/>
          <w:bCs w:val="false"/>
          <w:i w:val="false"/>
          <w:iCs w:val="false"/>
          <w:color w:val="1F2937"/>
          <w:sz w:val="22"/>
          <w:szCs w:val="22"/>
        </w:rPr>
        <w:t xml:space="preserve">Identifie 2 situations de ton quotidien professionnel où une posture motivationnelle (écouter l'ambivalence, évoquer, respecter l'autonomie) serait plus utile qu'une posture directive. Pour chacune, écris une phrase d'ouverture « EM-cohérente ». Rappel déontologique : diffuser l'EM en équipe suppose formation et supervision — ici, tu prépares ta propre posture.</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Enregistre-toi (ou écris intégralement) un entretien simulé de 15 répliques mobilisant tout le parcours : engager → focaliser → évoquer (DARN-CAT) → répondre à la discordance → amorcer un plan. Puis auto-évalue avec 4 critères MITI simplifiés (partenariat, empathie, évocation du changement, ratio reflets/questions ≥ 1). Note un point fort et un axe de travail pour tes 8 prochaines semaines.</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La notion de fidélité est transposable au management : une pratique affichée (« on fait de la bientraitance / de la participation ») ne vaut que si elle est réellement mise en œuvre et vérifiée. S'auto-observer honnêtement — comme le MITI l'exige — est une compétence de chef de service autant qu'une compétence clinique.</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6uok9wmccl7kx7zerzjng">
        <w:r>
          <w:rPr>
            <w:rFonts w:ascii="Times New Roman" w:cs="Times New Roman" w:eastAsia="Times New Roman" w:hAnsi="Times New Roman"/>
            <w:b w:val="false"/>
            <w:bCs w:val="false"/>
            <w:i w:val="false"/>
            <w:iCs w:val="false"/>
            <w:color w:val="1155CC"/>
            <w:sz w:val="22"/>
            <w:szCs w:val="22"/>
            <w:u w:val="single"/>
          </w:rPr>
          <w:t xml:space="preserve">MINT — Coding &amp; MITI (fidelity coding)</w:t>
        </w:r>
      </w:hyperlink>
      <w:r>
        <w:rPr>
          <w:rFonts w:ascii="Times New Roman" w:cs="Times New Roman" w:eastAsia="Times New Roman" w:hAnsi="Times New Roman"/>
          <w:b w:val="false"/>
          <w:bCs w:val="false"/>
          <w:i w:val="false"/>
          <w:iCs w:val="false"/>
          <w:color w:val="1F2937"/>
          <w:sz w:val="22"/>
          <w:szCs w:val="22"/>
        </w:rPr>
        <w:t xml:space="preserve"> — formation et manuel de codage MITI 4.2.1</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iumopxifq96i4dlshgvls">
        <w:r>
          <w:rPr>
            <w:rFonts w:ascii="Times New Roman" w:cs="Times New Roman" w:eastAsia="Times New Roman" w:hAnsi="Times New Roman"/>
            <w:b w:val="false"/>
            <w:bCs w:val="false"/>
            <w:i w:val="false"/>
            <w:iCs w:val="false"/>
            <w:color w:val="1155CC"/>
            <w:sz w:val="22"/>
            <w:szCs w:val="22"/>
            <w:u w:val="single"/>
          </w:rPr>
          <w:t xml:space="preserve">Motivational interviewing — Wikipedia</w:t>
        </w:r>
      </w:hyperlink>
      <w:r>
        <w:rPr>
          <w:rFonts w:ascii="Times New Roman" w:cs="Times New Roman" w:eastAsia="Times New Roman" w:hAnsi="Times New Roman"/>
          <w:b w:val="false"/>
          <w:bCs w:val="false"/>
          <w:i w:val="false"/>
          <w:iCs w:val="false"/>
          <w:color w:val="1F2937"/>
          <w:sz w:val="22"/>
          <w:szCs w:val="22"/>
        </w:rPr>
        <w:t xml:space="preserve"> — vue d'ensemble, fidélité et efficacité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fk7eaqpdjs0tdnft2stpi">
        <w:r>
          <w:rPr>
            <w:rFonts w:ascii="Times New Roman" w:cs="Times New Roman" w:eastAsia="Times New Roman" w:hAnsi="Times New Roman"/>
            <w:b w:val="false"/>
            <w:bCs w:val="false"/>
            <w:i w:val="false"/>
            <w:iCs w:val="false"/>
            <w:color w:val="1155CC"/>
            <w:sz w:val="22"/>
            <w:szCs w:val="22"/>
            <w:u w:val="single"/>
          </w:rPr>
          <w:t xml:space="preserve">MINT — réseau officiel des formateurs</w:t>
        </w:r>
      </w:hyperlink>
      <w:r>
        <w:rPr>
          <w:rFonts w:ascii="Times New Roman" w:cs="Times New Roman" w:eastAsia="Times New Roman" w:hAnsi="Times New Roman"/>
          <w:b w:val="false"/>
          <w:bCs w:val="false"/>
          <w:i w:val="false"/>
          <w:iCs w:val="false"/>
          <w:color w:val="1F2937"/>
          <w:sz w:val="22"/>
          <w:szCs w:val="22"/>
        </w:rPr>
        <w:t xml:space="preserve"> — trouver une formation/supervision certifiée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in2sroldx9i-j5ueaqpa">
        <w:r>
          <w:rPr>
            <w:rFonts w:ascii="Times New Roman" w:cs="Times New Roman" w:eastAsia="Times New Roman" w:hAnsi="Times New Roman"/>
            <w:b w:val="false"/>
            <w:bCs w:val="false"/>
            <w:i w:val="false"/>
            <w:iCs w:val="false"/>
            <w:color w:val="1155CC"/>
            <w:sz w:val="22"/>
            <w:szCs w:val="22"/>
            <w:u w:val="single"/>
          </w:rPr>
          <w:t xml:space="preserve">AFDEM — ressources francophones sur l'EM</w:t>
        </w:r>
      </w:hyperlink>
      <w:r>
        <w:rPr>
          <w:rFonts w:ascii="Times New Roman" w:cs="Times New Roman" w:eastAsia="Times New Roman" w:hAnsi="Times New Roman"/>
          <w:b w:val="false"/>
          <w:bCs w:val="false"/>
          <w:i w:val="false"/>
          <w:iCs w:val="false"/>
          <w:color w:val="1F2937"/>
          <w:sz w:val="22"/>
          <w:szCs w:val="22"/>
        </w:rPr>
        <w:t xml:space="preserve"> — formation et pratique en français</w:t>
      </w:r>
      <w:r>
        <w:rPr>
          <w:rFonts w:ascii="Times New Roman" w:cs="Times New Roman" w:eastAsia="Times New Roman" w:hAnsi="Times New Roman"/>
          <w:i/>
          <w:iCs/>
          <w:color w:val="6B7280"/>
          <w:sz w:val="20"/>
          <w:szCs w:val="20"/>
        </w:rPr>
        <w:t xml:space="preserve">   [Corrigé le 25/10/2026 : adresse d'origine « https://www.entretienmotivationnel.org/ » ; son certificat est celui de l'hébergement mutualisé OVH, « cluster110.hosting.ovh.net » renouvelé le 19/10/2026, et AUCUN nom alternatif n'y couvre le domaine — curl exit 60, « no alternative certificate subject name matches target host name ». Mais le site, lui, est VIVANT : http://www.entretienmotivationnel.org/ rend HTTP 200 et 13 403 caractères utiles, où « AFDEM » et « Association Francophone de Diffusion de l'Entretien Motivationnel » figurent littéralement (mesuré le 25/10/2026) — l'hyperlien passe donc à http://, faute de mieux : l'Internet Archive n'offre pas de recours : son dernier instantané de ce site date du 12/12/2019, sept ans avant la lecture. Détail au journal.]</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n°08 (rythme hebdomadaire, jeudi) — L'écoute reflective approfondie : reflets simples vs complexes, doubles reflets. On affine l'outil le plus puissant de l'EM.</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Adresse de l'AFDEM — l'hyperlien passe de https:// à http://, et ce n'est pas une page morte mais un certificat. Mesuré le 25/10/2026 : son certificat est celui de l'hébergement mutualisé OVH, « cluster110.hosting.ovh.net » renouvelé le 19/10/2026, et AUCUN nom alternatif n'y couvre le domaine — curl exit 60, « no alternative certificate subject name matches target host name ». En revanche le site, lui, est VIVANT : http://www.entretienmotivationnel.org/ rend HTTP 200 et 13 403 caractères utiles, où « AFDEM » et « Association Francophone de Diffusion de l'Entretien Motivationnel » figurent littéralement (mesuré le 25/10/2026).</w:t>
      </w:r>
    </w:p>
    <w:p>
      <w:pPr>
        <w:spacing w:after="80"/>
      </w:pPr>
      <w:r>
        <w:rPr>
          <w:rFonts w:ascii="Times New Roman" w:cs="Times New Roman" w:eastAsia="Times New Roman" w:hAnsi="Times New Roman"/>
          <w:color w:val="1F2937"/>
          <w:sz w:val="22"/>
          <w:szCs w:val="22"/>
        </w:rPr>
        <w:t xml:space="preserve">Pourquoi http:// plutôt qu'une archive : l'Internet Archive n'offre pas de recours : son dernier instantané de ce site date du 12/12/2019, sept ans avant la lecture, et une page d'actualités de 2019 ne serait plus la ressource que ce libellé annonce. Pourquoi http:// plutôt qu'un lien laissé cassé : la règle du dépôt veut qu'un lecteur qui clique arrive quelque part, et cette adresse-là répond. ⚠️ Le coût est dit : http:// n'est pas chiffré, et un navigateur réglé en « HTTPS d'abord » peut tenter https:// et échouer. C'est la seule voie qui mène aujourd'hui au site réel.</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uok9wmccl7kx7zerzjng" Type="http://schemas.openxmlformats.org/officeDocument/2006/relationships/hyperlink" Target="https://motivationalinterviewing.org/category/eventcategorytitle/coding" TargetMode="External"/><Relationship Id="rIdiumopxifq96i4dlshgvls" Type="http://schemas.openxmlformats.org/officeDocument/2006/relationships/hyperlink" Target="https://en.wikipedia.org/wiki/Motivational_interviewing" TargetMode="External"/><Relationship Id="rIdfk7eaqpdjs0tdnft2stpi" Type="http://schemas.openxmlformats.org/officeDocument/2006/relationships/hyperlink" Target="https://motivationalinterviewing.org/" TargetMode="External"/><Relationship Id="rId-in2sroldx9i-j5ueaqpa" Type="http://schemas.openxmlformats.org/officeDocument/2006/relationships/hyperlink" Target="http://www.entretienmotivationnel.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2026-07-14T09:41:39.132Z</dcterms:created>
  <dcterms:modified xsi:type="dcterms:W3CDTF">2026-07-14T09:41:39.132Z</dcterms:modified>
</cp:coreProperties>
</file>

<file path=docProps/custom.xml><?xml version="1.0" encoding="utf-8"?>
<Properties xmlns="http://schemas.openxmlformats.org/officeDocument/2006/custom-properties" xmlns:vt="http://schemas.openxmlformats.org/officeDocument/2006/docPropsVTypes"/>
</file>