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jc w:val="center"/>
      </w:pPr>
      <w:r>
        <w:rPr>
          <w:rFonts w:ascii="Times New Roman" w:cs="Times New Roman" w:eastAsia="Times New Roman" w:hAnsi="Times New Roman"/>
          <w:b/>
          <w:bCs/>
          <w:color w:val="1B3A6B"/>
          <w:sz w:val="52"/>
          <w:szCs w:val="52"/>
        </w:rPr>
        <w:t xml:space="preserve">Leçon Psychopathologie clinique n°08</w:t>
      </w:r>
    </w:p>
    <w:p>
      <w:pPr>
        <w:pStyle w:val="Heading1"/>
        <w:spacing w:after="200" w:before="300"/>
        <w:jc w:val="center"/>
      </w:pPr>
      <w:r>
        <w:rPr>
          <w:rFonts w:ascii="Times New Roman" w:cs="Times New Roman" w:eastAsia="Times New Roman" w:hAnsi="Times New Roman"/>
          <w:b/>
          <w:bCs/>
          <w:color w:val="1B3A6B"/>
          <w:sz w:val="52"/>
          <w:szCs w:val="52"/>
        </w:rPr>
        <w:t xml:space="preserve">Les troubles de la personnalité</w:t>
      </w:r>
    </w:p>
    <w:p>
      <w:pPr>
        <w:spacing w:after="100"/>
      </w:pPr>
      <w:r>
        <w:rPr>
          <w:rFonts w:ascii="Times New Roman" w:cs="Times New Roman" w:eastAsia="Times New Roman" w:hAnsi="Times New Roman"/>
          <w:b/>
          <w:bCs/>
          <w:i w:val="false"/>
          <w:iCs w:val="false"/>
          <w:color w:val="1B3A6B"/>
          <w:sz w:val="22"/>
          <w:szCs w:val="22"/>
        </w:rPr>
        <w:t xml:space="preserve">Clusters A, B, C et trouble borderline en détail</w:t>
      </w:r>
    </w:p>
    <w:p>
      <w:pPr>
        <w:spacing w:after="100"/>
      </w:pPr>
      <w:r>
        <w:rPr>
          <w:rFonts w:ascii="Times New Roman" w:cs="Times New Roman" w:eastAsia="Times New Roman" w:hAnsi="Times New Roman"/>
          <w:b w:val="false"/>
          <w:bCs w:val="false"/>
          <w:i/>
          <w:iCs/>
          <w:color w:val="1F2937"/>
          <w:sz w:val="22"/>
          <w:szCs w:val="22"/>
        </w:rPr>
        <w:t xml:space="preserve">Date : 4 août 2026  |  Parcours fondamental — leçon 08 / 20</w:t>
      </w:r>
    </w:p>
    <w:p>
      <w:pPr>
        <w:shd w:fill="FFF4E5" w:color="auto" w:val="clear"/>
        <w:spacing w:after="80" w:before="80"/>
        <w:ind w:left="288" w:right="288"/>
      </w:pPr>
      <w:r>
        <w:rPr>
          <w:rFonts w:ascii="Times New Roman" w:cs="Times New Roman" w:eastAsia="Times New Roman" w:hAnsi="Times New Roman"/>
          <w:i/>
          <w:iCs/>
          <w:color w:val="92400E"/>
          <w:sz w:val="20"/>
          <w:szCs w:val="20"/>
        </w:rPr>
        <w:t xml:space="preserve">⚠️ Corrigé le 06/09/2026 — cette leçon annonçait un parcours de 16 leçons (« 8/16 »). Le parcours a été étendu de 16 à 20 leçons entre le 10 et le 14 août 2026 : les leçons 01 à 09 portaient encore l’ancien total, les leçons 10 et suivantes le nouveau. Seul le dénominateur a été repris ici ; le contenu de cette leçon n’a pas été relu à cette occasion.</w:t>
      </w:r>
    </w:p>
    <w:p>
      <w:pPr>
        <w:spacing w:after="100"/>
      </w:pPr>
      <w:r>
        <w:rPr>
          <w:rFonts w:ascii="Times New Roman" w:cs="Times New Roman" w:eastAsia="Times New Roman" w:hAnsi="Times New Roman"/>
          <w:b w:val="false"/>
          <w:bCs w:val="false"/>
          <w:i/>
          <w:iCs/>
          <w:color w:val="1F2937"/>
          <w:sz w:val="22"/>
          <w:szCs w:val="22"/>
        </w:rPr>
        <w:t xml:space="preserve">Domaine : Psychopathologie clinique — du fondamental à l'avancé</w:t>
      </w:r>
    </w:p>
    <w:p>
      <w:pPr>
        <w:pBdr>
          <w:bottom w:val="single" w:color="CCCCCC" w:sz="2"/>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100"/>
      </w:pPr>
      <w:r>
        <w:rPr>
          <w:rFonts w:ascii="Times New Roman" w:cs="Times New Roman" w:eastAsia="Times New Roman" w:hAnsi="Times New Roman"/>
          <w:b w:val="false"/>
          <w:bCs w:val="false"/>
          <w:i w:val="false"/>
          <w:iCs w:val="false"/>
          <w:color w:val="1F2937"/>
          <w:sz w:val="22"/>
          <w:szCs w:val="22"/>
        </w:rPr>
        <w:t xml:space="preserve">À la fin de cette leçon, tu seras capable de :</w:t>
      </w:r>
    </w:p>
    <w:p>
      <w:pPr>
        <w:pStyle w:val="ListParagraph"/>
        <w:numPr>
          <w:ilvl w:val="0"/>
          <w:numId w:val="1"/>
        </w:numPr>
        <w:spacing w:after="60"/>
      </w:pPr>
      <w:r>
        <w:rPr>
          <w:rFonts w:ascii="Times New Roman" w:cs="Times New Roman" w:eastAsia="Times New Roman" w:hAnsi="Times New Roman"/>
          <w:color w:val="1F2937"/>
          <w:sz w:val="22"/>
          <w:szCs w:val="22"/>
        </w:rPr>
        <w:t xml:space="preserve">Nommer et distinguer les dix troubles de personnalité du DSM-5 et leur cluster d'appartenance (A, B, C)</w:t>
      </w:r>
    </w:p>
    <w:p>
      <w:pPr>
        <w:pStyle w:val="ListParagraph"/>
        <w:numPr>
          <w:ilvl w:val="0"/>
          <w:numId w:val="1"/>
        </w:numPr>
        <w:spacing w:after="60"/>
      </w:pPr>
      <w:r>
        <w:rPr>
          <w:rFonts w:ascii="Times New Roman" w:cs="Times New Roman" w:eastAsia="Times New Roman" w:hAnsi="Times New Roman"/>
          <w:color w:val="1F2937"/>
          <w:sz w:val="22"/>
          <w:szCs w:val="22"/>
        </w:rPr>
        <w:t xml:space="preserve">Décrire les critères diagnostiques généraux d'un trouble de la personnalité et repérer les traits pathologiques dans une vignette clinique</w:t>
      </w:r>
    </w:p>
    <w:p>
      <w:pPr>
        <w:pStyle w:val="ListParagraph"/>
        <w:numPr>
          <w:ilvl w:val="0"/>
          <w:numId w:val="1"/>
        </w:numPr>
        <w:spacing w:after="60"/>
      </w:pPr>
      <w:r>
        <w:rPr>
          <w:rFonts w:ascii="Times New Roman" w:cs="Times New Roman" w:eastAsia="Times New Roman" w:hAnsi="Times New Roman"/>
          <w:color w:val="1F2937"/>
          <w:sz w:val="22"/>
          <w:szCs w:val="22"/>
        </w:rPr>
        <w:t xml:space="preserve">Expliquer le modèle dimensionnel de la CIM-11 et le comparer à l'approche catégorielle du DSM-5</w:t>
      </w:r>
    </w:p>
    <w:p>
      <w:pPr>
        <w:pStyle w:val="ListParagraph"/>
        <w:numPr>
          <w:ilvl w:val="0"/>
          <w:numId w:val="1"/>
        </w:numPr>
        <w:spacing w:after="60"/>
      </w:pPr>
      <w:r>
        <w:rPr>
          <w:rFonts w:ascii="Times New Roman" w:cs="Times New Roman" w:eastAsia="Times New Roman" w:hAnsi="Times New Roman"/>
          <w:color w:val="1F2937"/>
          <w:sz w:val="22"/>
          <w:szCs w:val="22"/>
        </w:rPr>
        <w:t xml:space="preserve">Présenter les principaux axes thérapeutiques pour le trouble borderline (TCD, MBT)</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Lien avec la leçon précédente (n°07 — Troubles psychotiques) : tu as appris à repérer symptômes positifs, négatifs et désorganisation dans la schizophrénie. Ici, on change de registre : les troubles de la personnalité ne sont pas des épisodes discrets mais des patterns stables, persistants, inscrits dans la manière d'être de la personne. Le lien existe néanmoins : certains traits schizotypiques (cluster A) s'inscrivent dans un continuum avec la vulnérabilité psychotique.</w:t>
      </w:r>
    </w:p>
    <w:p>
      <w:pPr>
        <w:pBdr>
          <w:bottom w:val="single" w:color="CCCCCC" w:sz="2"/>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Théorie (20 %) — Qu'est-ce qu'un trouble de la personnalité ?</w:t>
      </w:r>
    </w:p>
    <w:p>
      <w:pPr>
        <w:pStyle w:val="Heading3"/>
        <w:spacing w:after="80" w:before="200"/>
      </w:pPr>
      <w:r>
        <w:rPr>
          <w:rFonts w:ascii="Times New Roman" w:cs="Times New Roman" w:eastAsia="Times New Roman" w:hAnsi="Times New Roman"/>
          <w:b/>
          <w:bCs/>
          <w:color w:val="1F2937"/>
          <w:sz w:val="26"/>
          <w:szCs w:val="26"/>
        </w:rPr>
        <w:t xml:space="preserve">1. Définition générale</w:t>
      </w:r>
    </w:p>
    <w:p>
      <w:pPr>
        <w:spacing w:after="100"/>
      </w:pPr>
      <w:r>
        <w:rPr>
          <w:rFonts w:ascii="Times New Roman" w:cs="Times New Roman" w:eastAsia="Times New Roman" w:hAnsi="Times New Roman"/>
          <w:b w:val="false"/>
          <w:bCs w:val="false"/>
          <w:i w:val="false"/>
          <w:iCs w:val="false"/>
          <w:color w:val="1F2937"/>
          <w:sz w:val="22"/>
          <w:szCs w:val="22"/>
        </w:rPr>
        <w:t xml:space="preserve">Un trouble de la personnalité se définit comme un ensemble de traits cognitifs, affectifs, relationnels et comportementaux rigides, envahissants et inadaptés, présents depuis l'adolescence ou le début de l'âge adulte, stables dans le temps et à travers les situations, et entraînant une souffrance cliniquement significative ou une altération du fonctionnement social et professionnel.</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val="false"/>
          <w:iCs w:val="false"/>
          <w:color w:val="1F2937"/>
          <w:sz w:val="22"/>
          <w:szCs w:val="22"/>
        </w:rPr>
        <w:t xml:space="preserve">Quatre domaines sont impliqués (DSM-5-TR) :</w:t>
      </w:r>
    </w:p>
    <w:p>
      <w:pPr>
        <w:pStyle w:val="ListParagraph"/>
        <w:numPr>
          <w:ilvl w:val="0"/>
          <w:numId w:val="1"/>
        </w:numPr>
        <w:spacing w:after="60"/>
      </w:pPr>
      <w:r>
        <w:rPr>
          <w:rFonts w:ascii="Times New Roman" w:cs="Times New Roman" w:eastAsia="Times New Roman" w:hAnsi="Times New Roman"/>
          <w:color w:val="1F2937"/>
          <w:sz w:val="22"/>
          <w:szCs w:val="22"/>
        </w:rPr>
        <w:t xml:space="preserve">La cognition : manière de percevoir et d'interpréter soi-même, les autres, les événements</w:t>
      </w:r>
    </w:p>
    <w:p>
      <w:pPr>
        <w:pStyle w:val="ListParagraph"/>
        <w:numPr>
          <w:ilvl w:val="0"/>
          <w:numId w:val="1"/>
        </w:numPr>
        <w:spacing w:after="60"/>
      </w:pPr>
      <w:r>
        <w:rPr>
          <w:rFonts w:ascii="Times New Roman" w:cs="Times New Roman" w:eastAsia="Times New Roman" w:hAnsi="Times New Roman"/>
          <w:color w:val="1F2937"/>
          <w:sz w:val="22"/>
          <w:szCs w:val="22"/>
        </w:rPr>
        <w:t xml:space="preserve">L'affectivité : nature, intensité, labilité et adéquation de la réponse émotionnelle</w:t>
      </w:r>
    </w:p>
    <w:p>
      <w:pPr>
        <w:pStyle w:val="ListParagraph"/>
        <w:numPr>
          <w:ilvl w:val="0"/>
          <w:numId w:val="1"/>
        </w:numPr>
        <w:spacing w:after="60"/>
      </w:pPr>
      <w:r>
        <w:rPr>
          <w:rFonts w:ascii="Times New Roman" w:cs="Times New Roman" w:eastAsia="Times New Roman" w:hAnsi="Times New Roman"/>
          <w:color w:val="1F2937"/>
          <w:sz w:val="22"/>
          <w:szCs w:val="22"/>
        </w:rPr>
        <w:t xml:space="preserve">Le fonctionnement interpersonnel : qualité des relations, empathie, réciprocité</w:t>
      </w:r>
    </w:p>
    <w:p>
      <w:pPr>
        <w:pStyle w:val="ListParagraph"/>
        <w:numPr>
          <w:ilvl w:val="0"/>
          <w:numId w:val="1"/>
        </w:numPr>
        <w:spacing w:after="60"/>
      </w:pPr>
      <w:r>
        <w:rPr>
          <w:rFonts w:ascii="Times New Roman" w:cs="Times New Roman" w:eastAsia="Times New Roman" w:hAnsi="Times New Roman"/>
          <w:color w:val="1F2937"/>
          <w:sz w:val="22"/>
          <w:szCs w:val="22"/>
        </w:rPr>
        <w:t xml:space="preserve">Le contrôle des impulsions : régulation des comportements et de l'agir</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pBdr>
          <w:left w:val="single" w:color="1B3A6B" w:sz="8"/>
        </w:pBdr>
        <w:shd w:fill="F3F4F6" w:val="clear"/>
        <w:spacing w:after="120" w:before="120"/>
        <w:ind w:left="576"/>
      </w:pPr>
      <w:r>
        <w:rPr>
          <w:rFonts w:ascii="Times New Roman" w:cs="Times New Roman" w:eastAsia="Times New Roman" w:hAnsi="Times New Roman"/>
          <w:i/>
          <w:iCs/>
          <w:color w:val="1B3A6B"/>
          <w:sz w:val="22"/>
          <w:szCs w:val="22"/>
        </w:rPr>
        <w:t xml:space="preserve">⚠️ Cadre déontologique : les troubles de la personnalité constituent des catégories diagnostiques réservées aux médecins psychiatres et psychologues cliniciens. En tant que professionnel éducatif, ton rôle est d'observer et de décrire des comportements, d'alerter les équipes soignantes, et d'adapter l'accompagnement — en aucun cas de poser ou d'avancer un diagnostic.</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2. Critères diagnostiques formels (DSM-5-TR)</w:t>
      </w:r>
    </w:p>
    <w:p>
      <w:pPr>
        <w:spacing w:after="100"/>
      </w:pPr>
      <w:r>
        <w:rPr>
          <w:rFonts w:ascii="Times New Roman" w:cs="Times New Roman" w:eastAsia="Times New Roman" w:hAnsi="Times New Roman"/>
          <w:b w:val="false"/>
          <w:bCs w:val="false"/>
          <w:i w:val="false"/>
          <w:iCs w:val="false"/>
          <w:color w:val="1F2937"/>
          <w:sz w:val="22"/>
          <w:szCs w:val="22"/>
        </w:rPr>
        <w:t xml:space="preserve">Pour être diagnostiqué, le pattern doit répondre à l'ensemble des critères suivants :</w:t>
      </w:r>
    </w:p>
    <w:p>
      <w:pPr>
        <w:pStyle w:val="ListParagraph"/>
        <w:numPr>
          <w:ilvl w:val="0"/>
          <w:numId w:val="1"/>
        </w:numPr>
        <w:spacing w:after="60"/>
      </w:pPr>
      <w:r>
        <w:rPr>
          <w:rFonts w:ascii="Times New Roman" w:cs="Times New Roman" w:eastAsia="Times New Roman" w:hAnsi="Times New Roman"/>
          <w:color w:val="1F2937"/>
          <w:sz w:val="22"/>
          <w:szCs w:val="22"/>
        </w:rPr>
        <w:t xml:space="preserve">S'écarter notablement des attentes culturelles dans au moins deux domaines (cognition, affectivité, fonctionnement interpersonnel, contrôle des impulsions)</w:t>
      </w:r>
    </w:p>
    <w:p>
      <w:pPr>
        <w:pStyle w:val="ListParagraph"/>
        <w:numPr>
          <w:ilvl w:val="0"/>
          <w:numId w:val="1"/>
        </w:numPr>
        <w:spacing w:after="60"/>
      </w:pPr>
      <w:r>
        <w:rPr>
          <w:rFonts w:ascii="Times New Roman" w:cs="Times New Roman" w:eastAsia="Times New Roman" w:hAnsi="Times New Roman"/>
          <w:color w:val="1F2937"/>
          <w:sz w:val="22"/>
          <w:szCs w:val="22"/>
        </w:rPr>
        <w:t xml:space="preserve">Être envahissant et rigide : apparaître dans une large palette de situations personnelles et sociales</w:t>
      </w:r>
    </w:p>
    <w:p>
      <w:pPr>
        <w:pStyle w:val="ListParagraph"/>
        <w:numPr>
          <w:ilvl w:val="0"/>
          <w:numId w:val="1"/>
        </w:numPr>
        <w:spacing w:after="60"/>
      </w:pPr>
      <w:r>
        <w:rPr>
          <w:rFonts w:ascii="Times New Roman" w:cs="Times New Roman" w:eastAsia="Times New Roman" w:hAnsi="Times New Roman"/>
          <w:color w:val="1F2937"/>
          <w:sz w:val="22"/>
          <w:szCs w:val="22"/>
        </w:rPr>
        <w:t xml:space="preserve">Entraîner une souffrance ou une altération significative du fonctionnement</w:t>
      </w:r>
    </w:p>
    <w:p>
      <w:pPr>
        <w:pStyle w:val="ListParagraph"/>
        <w:numPr>
          <w:ilvl w:val="0"/>
          <w:numId w:val="1"/>
        </w:numPr>
        <w:spacing w:after="60"/>
      </w:pPr>
      <w:r>
        <w:rPr>
          <w:rFonts w:ascii="Times New Roman" w:cs="Times New Roman" w:eastAsia="Times New Roman" w:hAnsi="Times New Roman"/>
          <w:color w:val="1F2937"/>
          <w:sz w:val="22"/>
          <w:szCs w:val="22"/>
        </w:rPr>
        <w:t xml:space="preserve">Être stable et de longue durée : débuter au plus tard à l'adolescence ou au début de l'âge adulte</w:t>
      </w:r>
    </w:p>
    <w:p>
      <w:pPr>
        <w:pStyle w:val="ListParagraph"/>
        <w:numPr>
          <w:ilvl w:val="0"/>
          <w:numId w:val="1"/>
        </w:numPr>
        <w:spacing w:after="60"/>
      </w:pPr>
      <w:r>
        <w:rPr>
          <w:rFonts w:ascii="Times New Roman" w:cs="Times New Roman" w:eastAsia="Times New Roman" w:hAnsi="Times New Roman"/>
          <w:color w:val="1F2937"/>
          <w:sz w:val="22"/>
          <w:szCs w:val="22"/>
        </w:rPr>
        <w:t xml:space="preserve">Ne pas être imputable à un autre trouble mental, à une substance ou à une affection médicale</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3. L'approche catégorielle DSM-5 : les trois clusters</w:t>
      </w:r>
    </w:p>
    <w:p>
      <w:pPr>
        <w:spacing w:after="100"/>
      </w:pPr>
      <w:r>
        <w:rPr>
          <w:rFonts w:ascii="Times New Roman" w:cs="Times New Roman" w:eastAsia="Times New Roman" w:hAnsi="Times New Roman"/>
          <w:b w:val="false"/>
          <w:bCs w:val="false"/>
          <w:i w:val="false"/>
          <w:iCs w:val="false"/>
          <w:color w:val="1F2937"/>
          <w:sz w:val="22"/>
          <w:szCs w:val="22"/>
        </w:rPr>
        <w:t xml:space="preserve">Le DSM-5 distingue dix troubles de la personnalité regroupés en trois clusters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Cluster</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Qualificatif</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Troubles inclus</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Fil conducteur</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Étrange / excentrique</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Paranoïaque, Schizoïde, Schizotypique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Retrait social, méfiance, pensée idiosyncrasique ; continuum avec le spectre psychotique</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B</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Dramatique / émotionnel / impulsif</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Antisociale, Borderline, Histrionique, Narcissique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Régulation émotionnelle défaillante, impulsivité, instabilité relationnelle</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C</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Anxieux / craintif</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Évitante, Dépendante, Obsessionnelle-compulsive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Peur, inhibition, besoin de contrôle ou de protection</w:t>
            </w:r>
          </w:p>
        </w:tc>
      </w:tr>
    </w:tbl>
    <w:p>
      <w:pPr>
        <w:spacing w:after="10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4. La révolution CIM-11 : vers un modèle dimensionnel</w:t>
      </w:r>
    </w:p>
    <w:p>
      <w:pPr>
        <w:spacing w:after="100"/>
      </w:pPr>
      <w:r>
        <w:rPr>
          <w:rFonts w:ascii="Times New Roman" w:cs="Times New Roman" w:eastAsia="Times New Roman" w:hAnsi="Times New Roman"/>
          <w:b w:val="false"/>
          <w:bCs w:val="false"/>
          <w:i w:val="false"/>
          <w:iCs w:val="false"/>
          <w:color w:val="1F2937"/>
          <w:sz w:val="22"/>
          <w:szCs w:val="22"/>
        </w:rPr>
        <w:t xml:space="preserve">La CIM-11 (OMS, 2022) rompt avec l'approche catégorielle. Elle propose un seul diagnostic de « Trouble de la personnalité » assorti de deux axes :</w:t>
      </w:r>
    </w:p>
    <w:p>
      <w:pPr>
        <w:pStyle w:val="ListParagraph"/>
        <w:numPr>
          <w:ilvl w:val="0"/>
          <w:numId w:val="1"/>
        </w:numPr>
        <w:spacing w:after="60"/>
      </w:pPr>
      <w:r>
        <w:rPr>
          <w:rFonts w:ascii="Times New Roman" w:cs="Times New Roman" w:eastAsia="Times New Roman" w:hAnsi="Times New Roman"/>
          <w:color w:val="1F2937"/>
          <w:sz w:val="22"/>
          <w:szCs w:val="22"/>
        </w:rPr>
        <w:t xml:space="preserve">Sévérité : légère, modérée, sévère (basée sur le retentissement fonctionnel)</w:t>
      </w:r>
    </w:p>
    <w:p>
      <w:pPr>
        <w:pStyle w:val="ListParagraph"/>
        <w:numPr>
          <w:ilvl w:val="0"/>
          <w:numId w:val="1"/>
        </w:numPr>
        <w:spacing w:after="60"/>
      </w:pPr>
      <w:r>
        <w:rPr>
          <w:rFonts w:ascii="Times New Roman" w:cs="Times New Roman" w:eastAsia="Times New Roman" w:hAnsi="Times New Roman"/>
          <w:color w:val="1F2937"/>
          <w:sz w:val="22"/>
          <w:szCs w:val="22"/>
        </w:rPr>
        <w:t xml:space="preserve">Qualificateurs de traits — ils sont CINQ : négativisme affectif, détachement, dissocialité, désinhibition, anankastie (le domaine qui correspond à la personnalité obsessionnelle-compulsive du cluster C). ⚠️ Corrigé le 06/09/2026, deux points. ① Le « borderline » figurait ici comme un sixième trait ; ce n'en est pas un. La source écrit : « In addition to the traits, a Borderline pattern […] may be specified » — c'est un SPÉCIFICATEUR DISTINCT, qui s'ajoute aux traits. Le tableau de l'exercice 3 de cette leçon l'écrivait correctement, « qualificateur spécifique “borderline pattern” ». ② L'anankastie était présentée comme « ancêtre du cluster C OCD » : la CIM-11 est POSTÉRIEURE au DSM-5, elle n'en est pas l'ancêtre. À noter enfin, et la leçon ne le disait pas : la CIM-11 sort le trouble schizotypique des troubles de la personnalité pour le classer parmi les troubles psychotiques primaires.</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Cette approche dimensionnelle reflète mieux la réalité clinique — la comorbidité entre troubles de la personnalité est la règle plutôt que l'exception — et évite la prolifération de catégories artificiellement distinctes.</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5. Le trouble de la personnalité borderline (TPB) — Focus</w:t>
      </w:r>
    </w:p>
    <w:p>
      <w:pPr>
        <w:spacing w:after="100"/>
      </w:pPr>
      <w:r>
        <w:rPr>
          <w:rFonts w:ascii="Times New Roman" w:cs="Times New Roman" w:eastAsia="Times New Roman" w:hAnsi="Times New Roman"/>
          <w:b w:val="false"/>
          <w:bCs w:val="false"/>
          <w:i w:val="false"/>
          <w:iCs w:val="false"/>
          <w:color w:val="1F2937"/>
          <w:sz w:val="22"/>
          <w:szCs w:val="22"/>
        </w:rPr>
        <w:t xml:space="preserve">Le TPB (ou trouble de la personnalité limite) est le plus étudié cliniquement et le plus souvent rencontré en pratique. Il se caractérise par une instabilité envahissante touchant les émotions, l'identité et les relations interpersonnelles.</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val="false"/>
          <w:iCs w:val="false"/>
          <w:color w:val="1F2937"/>
          <w:sz w:val="22"/>
          <w:szCs w:val="22"/>
        </w:rPr>
        <w:t xml:space="preserve">Critères : au moins 5 des 9 signes suivants. ⚠️ Précision ajoutée le 06/09/2026 — la leçon annonçait « Critères DSM-5 », mais la source utilisée (Wikipédia FR) présente cette liste sous l'intitulé « Selon le DSM-IV », et sa section porte un bandeau « à actualiser (juin 2022) ». Le contenu des neuf critères est effectivement quasi inchangé entre DSM-IV et DSM-5 pour ce trouble, mais aucune source consultée ici ne l'atteste : à vérifier dans le DSM-5-TR avant tout usage de l'attribution.</w:t>
      </w:r>
    </w:p>
    <w:p>
      <w:pPr>
        <w:pStyle w:val="ListParagraph"/>
        <w:numPr>
          <w:ilvl w:val="0"/>
          <w:numId w:val="1"/>
        </w:numPr>
        <w:spacing w:after="60"/>
      </w:pPr>
      <w:r>
        <w:rPr>
          <w:rFonts w:ascii="Times New Roman" w:cs="Times New Roman" w:eastAsia="Times New Roman" w:hAnsi="Times New Roman"/>
          <w:color w:val="1F2937"/>
          <w:sz w:val="22"/>
          <w:szCs w:val="22"/>
        </w:rPr>
        <w:t xml:space="preserve">1. Efforts effrénés pour éviter les abandons réels ou imaginaires</w:t>
      </w:r>
    </w:p>
    <w:p>
      <w:pPr>
        <w:pStyle w:val="ListParagraph"/>
        <w:numPr>
          <w:ilvl w:val="0"/>
          <w:numId w:val="1"/>
        </w:numPr>
        <w:spacing w:after="60"/>
      </w:pPr>
      <w:r>
        <w:rPr>
          <w:rFonts w:ascii="Times New Roman" w:cs="Times New Roman" w:eastAsia="Times New Roman" w:hAnsi="Times New Roman"/>
          <w:color w:val="1F2937"/>
          <w:sz w:val="22"/>
          <w:szCs w:val="22"/>
        </w:rPr>
        <w:t xml:space="preserve">2. Relations interpersonnelles instables alternant entre idéalisation et dévalorisation (clivage)</w:t>
      </w:r>
    </w:p>
    <w:p>
      <w:pPr>
        <w:pStyle w:val="ListParagraph"/>
        <w:numPr>
          <w:ilvl w:val="0"/>
          <w:numId w:val="1"/>
        </w:numPr>
        <w:spacing w:after="60"/>
      </w:pPr>
      <w:r>
        <w:rPr>
          <w:rFonts w:ascii="Times New Roman" w:cs="Times New Roman" w:eastAsia="Times New Roman" w:hAnsi="Times New Roman"/>
          <w:color w:val="1F2937"/>
          <w:sz w:val="22"/>
          <w:szCs w:val="22"/>
        </w:rPr>
        <w:t xml:space="preserve">3. Perturbation de l'identité : instabilité marquée et persistante de l'image ou de la notion de soi. ⚠️ Corrigé le 06/09/2026 : ce critère portait ici la mention « sentiment chronique de vide », qui appartient au critère 7 et à lui seul. Un même signe pouvait donc être compté DEUX FOIS dans une liste dont le seuil est « au moins 5 sur 9 » — et faire franchir ce seuil à tort. Le corrigé de l'exercice 2 de cette leçon employait, lui, la bonne version.</w:t>
      </w:r>
    </w:p>
    <w:p>
      <w:pPr>
        <w:pStyle w:val="ListParagraph"/>
        <w:numPr>
          <w:ilvl w:val="0"/>
          <w:numId w:val="1"/>
        </w:numPr>
        <w:spacing w:after="60"/>
      </w:pPr>
      <w:r>
        <w:rPr>
          <w:rFonts w:ascii="Times New Roman" w:cs="Times New Roman" w:eastAsia="Times New Roman" w:hAnsi="Times New Roman"/>
          <w:color w:val="1F2937"/>
          <w:sz w:val="22"/>
          <w:szCs w:val="22"/>
        </w:rPr>
        <w:t xml:space="preserve">4. Impulsivité dans au moins deux domaines potentiellement dommageables (dépenses, sexualité, substances, conduite)</w:t>
      </w:r>
    </w:p>
    <w:p>
      <w:pPr>
        <w:pStyle w:val="ListParagraph"/>
        <w:numPr>
          <w:ilvl w:val="0"/>
          <w:numId w:val="1"/>
        </w:numPr>
        <w:spacing w:after="60"/>
      </w:pPr>
      <w:r>
        <w:rPr>
          <w:rFonts w:ascii="Times New Roman" w:cs="Times New Roman" w:eastAsia="Times New Roman" w:hAnsi="Times New Roman"/>
          <w:color w:val="1F2937"/>
          <w:sz w:val="22"/>
          <w:szCs w:val="22"/>
        </w:rPr>
        <w:t xml:space="preserve">5. Comportements, gestes ou menaces suicidaires récurrents, ou automutilation</w:t>
      </w:r>
    </w:p>
    <w:p>
      <w:pPr>
        <w:pStyle w:val="ListParagraph"/>
        <w:numPr>
          <w:ilvl w:val="0"/>
          <w:numId w:val="1"/>
        </w:numPr>
        <w:spacing w:after="60"/>
      </w:pPr>
      <w:r>
        <w:rPr>
          <w:rFonts w:ascii="Times New Roman" w:cs="Times New Roman" w:eastAsia="Times New Roman" w:hAnsi="Times New Roman"/>
          <w:color w:val="1F2937"/>
          <w:sz w:val="22"/>
          <w:szCs w:val="22"/>
        </w:rPr>
        <w:t xml:space="preserve">6. Instabilité affective : réactivité marquée de l'humeur (dysphorie, irritabilité, anxiété) en général de quelques heures à quelques jours</w:t>
      </w:r>
    </w:p>
    <w:p>
      <w:pPr>
        <w:pStyle w:val="ListParagraph"/>
        <w:numPr>
          <w:ilvl w:val="0"/>
          <w:numId w:val="1"/>
        </w:numPr>
        <w:spacing w:after="60"/>
      </w:pPr>
      <w:r>
        <w:rPr>
          <w:rFonts w:ascii="Times New Roman" w:cs="Times New Roman" w:eastAsia="Times New Roman" w:hAnsi="Times New Roman"/>
          <w:color w:val="1F2937"/>
          <w:sz w:val="22"/>
          <w:szCs w:val="22"/>
        </w:rPr>
        <w:t xml:space="preserve">7. Sentiment chronique de vide</w:t>
      </w:r>
    </w:p>
    <w:p>
      <w:pPr>
        <w:pStyle w:val="ListParagraph"/>
        <w:numPr>
          <w:ilvl w:val="0"/>
          <w:numId w:val="1"/>
        </w:numPr>
        <w:spacing w:after="60"/>
      </w:pPr>
      <w:r>
        <w:rPr>
          <w:rFonts w:ascii="Times New Roman" w:cs="Times New Roman" w:eastAsia="Times New Roman" w:hAnsi="Times New Roman"/>
          <w:color w:val="1F2937"/>
          <w:sz w:val="22"/>
          <w:szCs w:val="22"/>
        </w:rPr>
        <w:t xml:space="preserve">8. Colères intenses et inadaptées, difficile à contrôler</w:t>
      </w:r>
    </w:p>
    <w:p>
      <w:pPr>
        <w:pStyle w:val="ListParagraph"/>
        <w:numPr>
          <w:ilvl w:val="0"/>
          <w:numId w:val="1"/>
        </w:numPr>
        <w:spacing w:after="60"/>
      </w:pPr>
      <w:r>
        <w:rPr>
          <w:rFonts w:ascii="Times New Roman" w:cs="Times New Roman" w:eastAsia="Times New Roman" w:hAnsi="Times New Roman"/>
          <w:color w:val="1F2937"/>
          <w:sz w:val="22"/>
          <w:szCs w:val="22"/>
        </w:rPr>
        <w:t xml:space="preserve">9. Survenue transitoire, en situation de stress, d'une idéation persécutoire ou de symptômes dissociatifs SÉVÈRES (le qualificatif « sévères », présent dans la source, avait été supprimé — rétabli le 06/09/2026)</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Données épidémiologiques. ⚠️ Mise au point du 06/09/2026 : les valeurs qui figuraient ici — 0,5 à 5,9 % de la population générale, 10 % des patients ambulatoires, 15 à 25 % des patients hospitalisés — ne proviennent D'AUCUNE des six sources de cette leçon. La mention « (synthèse, non citation) » disait qu'il ne s'agissait pas d'une citation, pas qu'il ne s'agissait pas d'une source. Elles sont retirées. Ce qui EST sourcé, sur le Merck Manual cité en ressources : environ 9 % de la population générale et jusqu'à la moitié des patients suivis en unité psychiatrique présentent UN trouble de la personnalité — toutes catégories confondues, et non le seul trouble borderline. Le risque suicidaire dans le TPB est par ailleurs élevé : la page de Wikipédia FR citée en ressources indique qu'au moins 75 % des personnes concernées font une tentative et que 10 % en meurent.</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6. Étiologie : une compréhension bio-psycho-sociale</w:t>
      </w:r>
    </w:p>
    <w:p>
      <w:pPr>
        <w:pStyle w:val="ListParagraph"/>
        <w:numPr>
          <w:ilvl w:val="0"/>
          <w:numId w:val="1"/>
        </w:numPr>
        <w:spacing w:after="60"/>
      </w:pPr>
      <w:r>
        <w:rPr>
          <w:rFonts w:ascii="Times New Roman" w:cs="Times New Roman" w:eastAsia="Times New Roman" w:hAnsi="Times New Roman"/>
          <w:color w:val="1F2937"/>
          <w:sz w:val="22"/>
          <w:szCs w:val="22"/>
        </w:rPr>
        <w:t xml:space="preserve">Facteurs biologiques : anomalies de régulation de l'amygdale et du cortex préfrontal, dysrégulation sérotoninergique, héritabilité estimée entre 46 % et 69 %</w:t>
      </w:r>
    </w:p>
    <w:p>
      <w:pPr>
        <w:pStyle w:val="ListParagraph"/>
        <w:numPr>
          <w:ilvl w:val="0"/>
          <w:numId w:val="1"/>
        </w:numPr>
        <w:spacing w:after="60"/>
      </w:pPr>
      <w:r>
        <w:rPr>
          <w:rFonts w:ascii="Times New Roman" w:cs="Times New Roman" w:eastAsia="Times New Roman" w:hAnsi="Times New Roman"/>
          <w:color w:val="1F2937"/>
          <w:sz w:val="22"/>
          <w:szCs w:val="22"/>
        </w:rPr>
        <w:t xml:space="preserve">Facteurs psychosociaux : expériences traumatiques précoces, attachement insécure, environnement invalidant — le modèle biosocial de Linehan souligne l'interaction entre vulnérabilité émotionnelle biologique et environnement invalidant</w:t>
      </w:r>
    </w:p>
    <w:p>
      <w:pPr>
        <w:pStyle w:val="ListParagraph"/>
        <w:numPr>
          <w:ilvl w:val="0"/>
          <w:numId w:val="1"/>
        </w:numPr>
        <w:spacing w:after="60"/>
      </w:pPr>
      <w:r>
        <w:rPr>
          <w:rFonts w:ascii="Times New Roman" w:cs="Times New Roman" w:eastAsia="Times New Roman" w:hAnsi="Times New Roman"/>
          <w:color w:val="1F2937"/>
          <w:sz w:val="22"/>
          <w:szCs w:val="22"/>
        </w:rPr>
        <w:t xml:space="preserve">Approche psychanalytique : les travaux sur l'organisation limite de la personnalité (Kernberg) insistent sur le mécanisme de clivage comme défense centrale</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7. Traitements : l'accent sur la psychothérapie</w:t>
      </w:r>
    </w:p>
    <w:p>
      <w:pPr>
        <w:spacing w:after="100"/>
      </w:pPr>
      <w:r>
        <w:rPr>
          <w:rFonts w:ascii="Times New Roman" w:cs="Times New Roman" w:eastAsia="Times New Roman" w:hAnsi="Times New Roman"/>
          <w:b w:val="false"/>
          <w:bCs w:val="false"/>
          <w:i w:val="false"/>
          <w:iCs w:val="false"/>
          <w:color w:val="1F2937"/>
          <w:sz w:val="22"/>
          <w:szCs w:val="22"/>
        </w:rPr>
        <w:t xml:space="preserve">Les médicaments n'ont pas d'indication spécifique dans le TROUBLE BORDERLINE (recommandations du NICE britannique, 2009, citées par la source Wikipédia FR) ; ils peuvent cibler des symptômes associés (anxiété, dépression). ⚠️ Corrigé le 06/09/2026 : la leçon étendait cette recommandation à L'ENSEMBLE des troubles de la personnalité, alors qu'elle porte sur le seul trouble borderline, et elle ne la datait pas. Le Merck Manual, lui, écrit que la psychothérapie est le traitement de référence des troubles de la personnalité et que les médicaments servent « parfois » sur des symptômes spécifiques ou des troubles associés.</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val="false"/>
          <w:iCs w:val="false"/>
          <w:color w:val="1F2937"/>
          <w:sz w:val="22"/>
          <w:szCs w:val="22"/>
        </w:rPr>
        <w:t xml:space="preserve">Psychothérapies recommandées :</w:t>
      </w:r>
    </w:p>
    <w:p>
      <w:pPr>
        <w:pStyle w:val="ListParagraph"/>
        <w:numPr>
          <w:ilvl w:val="0"/>
          <w:numId w:val="1"/>
        </w:numPr>
        <w:spacing w:after="60"/>
      </w:pPr>
      <w:r>
        <w:rPr>
          <w:rFonts w:ascii="Times New Roman" w:cs="Times New Roman" w:eastAsia="Times New Roman" w:hAnsi="Times New Roman"/>
          <w:color w:val="1F2937"/>
          <w:sz w:val="22"/>
          <w:szCs w:val="22"/>
        </w:rPr>
        <w:t xml:space="preserve">TCD (Thérapie Comportementale Dialectique, Linehan) : développée spécifiquement pour le TPB ; combine psychothérapie individuelle, groupe d'entraînement aux compétences (pleine conscience, régulation émotionnelle, efficacité interpersonnelle, tolérance à la détresse) ; efficacité rapportée sur les comportements auto-dommageables et les hospitalisations. ⚠️ Réserve ajoutée le 06/09/2026 : cette affirmation d'efficacité s'appuie, dans cette leçon, sur dbt-france.com — un cabinet qui pratique et enseigne la TCD, donc juge et partie — et sur une page associative aujourd'hui hors service. Aucune revue systématique, aucune source institutionnelle française n'a été consultée. L'affirmation est courante dans la littérature, mais elle n'est pas étayée ici au rang qu'elle mérite</w:t>
      </w:r>
    </w:p>
    <w:p>
      <w:pPr>
        <w:pStyle w:val="ListParagraph"/>
        <w:numPr>
          <w:ilvl w:val="0"/>
          <w:numId w:val="1"/>
        </w:numPr>
        <w:spacing w:after="60"/>
      </w:pPr>
      <w:r>
        <w:rPr>
          <w:rFonts w:ascii="Times New Roman" w:cs="Times New Roman" w:eastAsia="Times New Roman" w:hAnsi="Times New Roman"/>
          <w:color w:val="1F2937"/>
          <w:sz w:val="22"/>
          <w:szCs w:val="22"/>
        </w:rPr>
        <w:t xml:space="preserve">MBT (Mentalization-Based Treatment, Fonagy &amp; Bateman) : travaille la capacité à se représenter ses propres états mentaux et ceux d'autrui</w:t>
      </w:r>
    </w:p>
    <w:p>
      <w:pPr>
        <w:pStyle w:val="ListParagraph"/>
        <w:numPr>
          <w:ilvl w:val="0"/>
          <w:numId w:val="1"/>
        </w:numPr>
        <w:spacing w:after="60"/>
      </w:pPr>
      <w:r>
        <w:rPr>
          <w:rFonts w:ascii="Times New Roman" w:cs="Times New Roman" w:eastAsia="Times New Roman" w:hAnsi="Times New Roman"/>
          <w:color w:val="1F2937"/>
          <w:sz w:val="22"/>
          <w:szCs w:val="22"/>
        </w:rPr>
        <w:t xml:space="preserve">TCC standard et schémathérapie (Young) : identification et modification des schémas précoces inadaptés</w:t>
      </w:r>
    </w:p>
    <w:p>
      <w:pPr>
        <w:pStyle w:val="ListParagraph"/>
        <w:numPr>
          <w:ilvl w:val="0"/>
          <w:numId w:val="1"/>
        </w:numPr>
        <w:spacing w:after="60"/>
      </w:pPr>
      <w:r>
        <w:rPr>
          <w:rFonts w:ascii="Times New Roman" w:cs="Times New Roman" w:eastAsia="Times New Roman" w:hAnsi="Times New Roman"/>
          <w:color w:val="1F2937"/>
          <w:sz w:val="22"/>
          <w:szCs w:val="22"/>
        </w:rPr>
        <w:t xml:space="preserve">Thérapie psychodynamique aménagée</w:t>
      </w:r>
    </w:p>
    <w:p>
      <w:pPr>
        <w:pBdr>
          <w:bottom w:val="single" w:color="CCCCCC" w:sz="2"/>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Pratique (80 %) —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Cartographie des clusters (compréhension active)</w:t>
      </w:r>
    </w:p>
    <w:p>
      <w:pPr>
        <w:spacing w:after="100"/>
      </w:pPr>
      <w:r>
        <w:rPr>
          <w:rFonts w:ascii="Times New Roman" w:cs="Times New Roman" w:eastAsia="Times New Roman" w:hAnsi="Times New Roman"/>
          <w:b w:val="false"/>
          <w:bCs w:val="false"/>
          <w:i w:val="false"/>
          <w:iCs w:val="false"/>
          <w:color w:val="1F2937"/>
          <w:sz w:val="22"/>
          <w:szCs w:val="22"/>
        </w:rPr>
        <w:t xml:space="preserve">Objectif : consolider la mémorisation de la structure en clusters en passant de la théorie à la représentation visuelle.</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val="false"/>
          <w:iCs w:val="false"/>
          <w:color w:val="1F2937"/>
          <w:sz w:val="22"/>
          <w:szCs w:val="22"/>
        </w:rPr>
        <w:t xml:space="preserve">Consigne :</w:t>
      </w:r>
    </w:p>
    <w:p>
      <w:pPr>
        <w:spacing w:after="100"/>
      </w:pPr>
      <w:r>
        <w:rPr>
          <w:rFonts w:ascii="Times New Roman" w:cs="Times New Roman" w:eastAsia="Times New Roman" w:hAnsi="Times New Roman"/>
          <w:b w:val="false"/>
          <w:bCs w:val="false"/>
          <w:i w:val="false"/>
          <w:iCs w:val="false"/>
          <w:color w:val="1F2937"/>
          <w:sz w:val="22"/>
          <w:szCs w:val="22"/>
        </w:rPr>
        <w:t xml:space="preserve">Sur une feuille, dessine trois colonnes (A / B / C). Sans regarder tes notes, place chacun des dix troubles dans la bonne colonne en notant pour chacun : son nom, son trait dominant (une phrase courte), et un exemple de comportement observable.</w:t>
      </w:r>
    </w:p>
    <w:p>
      <w:pPr>
        <w:spacing w:after="100"/>
      </w:pPr>
      <w:r>
        <w:rPr>
          <w:rFonts w:ascii="Times New Roman" w:cs="Times New Roman" w:eastAsia="Times New Roman" w:hAnsi="Times New Roman"/>
          <w:b w:val="false"/>
          <w:bCs w:val="false"/>
          <w:i w:val="false"/>
          <w:iCs w:val="false"/>
          <w:color w:val="1F2937"/>
          <w:sz w:val="22"/>
          <w:szCs w:val="22"/>
        </w:rPr>
        <w:t xml:space="preserve">Puis corrige à partir de la théorie ci-dessus.</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iCs/>
          <w:color w:val="1F2937"/>
          <w:sz w:val="22"/>
          <w:szCs w:val="22"/>
        </w:rPr>
        <w:t xml:space="preserve">Corrigé attendu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Trouble</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Cluster</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Trait dominant</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Exemple observable</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Paranoïaque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Méfiance généralisée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Interprète une remarque neutre comme une attaque</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Schizoïde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Retrait affectif et social</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Préfère toujours être seul, n'exprime pas d'émotions</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Schizotypique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Pensée magique, idiosyncrasique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Croit percevoir des signes dans les événements du quotidien</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Antisociale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B</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Mépris des droits d'autrui</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Ment de façon répétée pour son profit sans remords</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Borderline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B</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Instabilité émotionnelle, relationnelle, identitaire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Passage rapide de l'idéalisation à la dévalorisation d'une même personne</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Histrionique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B</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Quête d'attention, dramatisation</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Se sent mal à l'aise quand elle n'est pas au centre de l'attention</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Narcissique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B</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Grandiosité, manque d'empathie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S'attend à être reconnu comme supérieur sans mérites proportionnels</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Évitante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C</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Inhibition, peur du rejet</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Refuse toute activité de groupe par peur d'être ridiculisé</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Dépendante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C</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Besoin excessif d'être pris en charge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 besoin d'une réassurance constante pour prendre les décisions les plus banales</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Obsessionnelle-compulsive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C</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Perfectionnisme, rigidité, contrôle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Ne peut déléguer aucune tâche, de peur qu'elle ne soit pas faite parfaitement</w:t>
            </w:r>
          </w:p>
        </w:tc>
      </w:tr>
    </w:tbl>
    <w:p>
      <w:pPr>
        <w:spacing w:after="10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Vignette clinique : qui est Nadia ?</w:t>
      </w:r>
    </w:p>
    <w:p>
      <w:pPr>
        <w:spacing w:after="100"/>
      </w:pPr>
      <w:r>
        <w:rPr>
          <w:rFonts w:ascii="Times New Roman" w:cs="Times New Roman" w:eastAsia="Times New Roman" w:hAnsi="Times New Roman"/>
          <w:b w:val="false"/>
          <w:bCs w:val="false"/>
          <w:i w:val="false"/>
          <w:iCs w:val="false"/>
          <w:color w:val="1F2937"/>
          <w:sz w:val="22"/>
          <w:szCs w:val="22"/>
        </w:rPr>
        <w:t xml:space="preserve">Objectif : appliquer les critères DSM-5 à une situation concrète et identifier le cluster probable.</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val="false"/>
          <w:iCs w:val="false"/>
          <w:color w:val="1F2937"/>
          <w:sz w:val="22"/>
          <w:szCs w:val="22"/>
        </w:rPr>
        <w:t xml:space="preserve">Vignette :</w:t>
      </w:r>
    </w:p>
    <w:p>
      <w:pPr>
        <w:pBdr>
          <w:left w:val="single" w:color="1B3A6B" w:sz="8"/>
        </w:pBdr>
        <w:shd w:fill="F3F4F6" w:val="clear"/>
        <w:spacing w:after="120" w:before="120"/>
        <w:ind w:left="576"/>
      </w:pPr>
      <w:r>
        <w:rPr>
          <w:rFonts w:ascii="Times New Roman" w:cs="Times New Roman" w:eastAsia="Times New Roman" w:hAnsi="Times New Roman"/>
          <w:i/>
          <w:iCs/>
          <w:color w:val="1B3A6B"/>
          <w:sz w:val="22"/>
          <w:szCs w:val="22"/>
        </w:rPr>
        <w:t xml:space="preserve">Nadia, 29 ans, est accompagnée dans un SAVS depuis 8 mois. Les éducateurs décrivent des allers-retours spectaculaires : une semaine elle idéalise son référent (« le seul qui me comprend vraiment »), la semaine suivante elle l'accuse de la négliger et exige de changer de référent. Elle a appelé l'astreinte 4 fois en une semaine pour des « crises » qui s'avèrent difficiles à objectiver. Elle présente des traces de coupures sur les avant-bras qu'elle explique par une « douleur insupportable à l'intérieur ». Elle dit ne « jamais savoir qui elle est » et cherche en permanence quelqu'un pour la rassurer sur le fait qu'on ne va pas l'abandonner.</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val="false"/>
          <w:iCs w:val="false"/>
          <w:color w:val="1F2937"/>
          <w:sz w:val="22"/>
          <w:szCs w:val="22"/>
        </w:rPr>
        <w:t xml:space="preserve">Questions :</w:t>
      </w:r>
    </w:p>
    <w:p>
      <w:pPr>
        <w:pStyle w:val="ListParagraph"/>
        <w:numPr>
          <w:ilvl w:val="0"/>
          <w:numId w:val="1"/>
        </w:numPr>
        <w:spacing w:after="60"/>
      </w:pPr>
      <w:r>
        <w:rPr>
          <w:rFonts w:ascii="Times New Roman" w:cs="Times New Roman" w:eastAsia="Times New Roman" w:hAnsi="Times New Roman"/>
          <w:color w:val="1F2937"/>
          <w:sz w:val="22"/>
          <w:szCs w:val="22"/>
        </w:rPr>
        <w:t xml:space="preserve">1. Combien de critères DSM-5 du TPB identifies-tu dans cette vignette ? Lesquels ?</w:t>
      </w:r>
    </w:p>
    <w:p>
      <w:pPr>
        <w:pStyle w:val="ListParagraph"/>
        <w:numPr>
          <w:ilvl w:val="0"/>
          <w:numId w:val="1"/>
        </w:numPr>
        <w:spacing w:after="60"/>
      </w:pPr>
      <w:r>
        <w:rPr>
          <w:rFonts w:ascii="Times New Roman" w:cs="Times New Roman" w:eastAsia="Times New Roman" w:hAnsi="Times New Roman"/>
          <w:color w:val="1F2937"/>
          <w:sz w:val="22"/>
          <w:szCs w:val="22"/>
        </w:rPr>
        <w:t xml:space="preserve">2. À quel cluster appartient ce trouble et pourquoi ?</w:t>
      </w:r>
    </w:p>
    <w:p>
      <w:pPr>
        <w:pStyle w:val="ListParagraph"/>
        <w:numPr>
          <w:ilvl w:val="0"/>
          <w:numId w:val="1"/>
        </w:numPr>
        <w:spacing w:after="60"/>
      </w:pPr>
      <w:r>
        <w:rPr>
          <w:rFonts w:ascii="Times New Roman" w:cs="Times New Roman" w:eastAsia="Times New Roman" w:hAnsi="Times New Roman"/>
          <w:color w:val="1F2937"/>
          <w:sz w:val="22"/>
          <w:szCs w:val="22"/>
        </w:rPr>
        <w:t xml:space="preserve">3. Quelle posture d'accompagnement ce profil appelle-t-il (sans diagnostic) ?</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iCs/>
          <w:color w:val="1F2937"/>
          <w:sz w:val="22"/>
          <w:szCs w:val="22"/>
        </w:rPr>
        <w:t xml:space="preserve">Corrigé :</w:t>
      </w:r>
    </w:p>
    <w:p>
      <w:pPr>
        <w:spacing w:after="100"/>
      </w:pPr>
      <w:r>
        <w:rPr>
          <w:rFonts w:ascii="Times New Roman" w:cs="Times New Roman" w:eastAsia="Times New Roman" w:hAnsi="Times New Roman"/>
          <w:b w:val="false"/>
          <w:bCs w:val="false"/>
          <w:i w:val="false"/>
          <w:iCs w:val="false"/>
          <w:color w:val="1F2937"/>
          <w:sz w:val="22"/>
          <w:szCs w:val="22"/>
        </w:rPr>
        <w:t xml:space="preserve">1. On identifie au moins 5 critères :</w:t>
      </w:r>
    </w:p>
    <w:p>
      <w:pPr>
        <w:pStyle w:val="ListParagraph"/>
        <w:numPr>
          <w:ilvl w:val="0"/>
          <w:numId w:val="1"/>
        </w:numPr>
        <w:spacing w:after="60"/>
      </w:pPr>
      <w:r>
        <w:rPr>
          <w:rFonts w:ascii="Times New Roman" w:cs="Times New Roman" w:eastAsia="Times New Roman" w:hAnsi="Times New Roman"/>
          <w:color w:val="1F2937"/>
          <w:sz w:val="22"/>
          <w:szCs w:val="22"/>
        </w:rPr>
        <w:t xml:space="preserve">Clivage idéalisation/dévalorisation (critère 2) : le passage brutal d'une semaine à l'autre entre idéalisation et dévalorisation du référent</w:t>
      </w:r>
    </w:p>
    <w:p>
      <w:pPr>
        <w:pStyle w:val="ListParagraph"/>
        <w:numPr>
          <w:ilvl w:val="0"/>
          <w:numId w:val="1"/>
        </w:numPr>
        <w:spacing w:after="60"/>
      </w:pPr>
      <w:r>
        <w:rPr>
          <w:rFonts w:ascii="Times New Roman" w:cs="Times New Roman" w:eastAsia="Times New Roman" w:hAnsi="Times New Roman"/>
          <w:color w:val="1F2937"/>
          <w:sz w:val="22"/>
          <w:szCs w:val="22"/>
        </w:rPr>
        <w:t xml:space="preserve">Peurs d'abandon (critère 1) : la recherche permanente de réassurance sur la peur d'être abandonnée</w:t>
      </w:r>
    </w:p>
    <w:p>
      <w:pPr>
        <w:pStyle w:val="ListParagraph"/>
        <w:numPr>
          <w:ilvl w:val="0"/>
          <w:numId w:val="1"/>
        </w:numPr>
        <w:spacing w:after="60"/>
      </w:pPr>
      <w:r>
        <w:rPr>
          <w:rFonts w:ascii="Times New Roman" w:cs="Times New Roman" w:eastAsia="Times New Roman" w:hAnsi="Times New Roman"/>
          <w:color w:val="1F2937"/>
          <w:sz w:val="22"/>
          <w:szCs w:val="22"/>
        </w:rPr>
        <w:t xml:space="preserve">Automutilation (critère 5) : les traces de coupures associées à une souffrance émotionnelle aiguë</w:t>
      </w:r>
    </w:p>
    <w:p>
      <w:pPr>
        <w:pStyle w:val="ListParagraph"/>
        <w:numPr>
          <w:ilvl w:val="0"/>
          <w:numId w:val="1"/>
        </w:numPr>
        <w:spacing w:after="60"/>
      </w:pPr>
      <w:r>
        <w:rPr>
          <w:rFonts w:ascii="Times New Roman" w:cs="Times New Roman" w:eastAsia="Times New Roman" w:hAnsi="Times New Roman"/>
          <w:color w:val="1F2937"/>
          <w:sz w:val="22"/>
          <w:szCs w:val="22"/>
        </w:rPr>
        <w:t xml:space="preserve">Instabilité affective avec crises répétées (critère 6)</w:t>
      </w:r>
    </w:p>
    <w:p>
      <w:pPr>
        <w:pStyle w:val="ListParagraph"/>
        <w:numPr>
          <w:ilvl w:val="0"/>
          <w:numId w:val="1"/>
        </w:numPr>
        <w:spacing w:after="60"/>
      </w:pPr>
      <w:r>
        <w:rPr>
          <w:rFonts w:ascii="Times New Roman" w:cs="Times New Roman" w:eastAsia="Times New Roman" w:hAnsi="Times New Roman"/>
          <w:color w:val="1F2937"/>
          <w:sz w:val="22"/>
          <w:szCs w:val="22"/>
        </w:rPr>
        <w:t xml:space="preserve">Instabilité identitaire, sentiment de ne pas savoir qui elle est (critère 3)</w:t>
      </w:r>
    </w:p>
    <w:p>
      <w:pPr>
        <w:spacing w:after="100"/>
      </w:pPr>
      <w:r>
        <w:rPr>
          <w:rFonts w:ascii="Times New Roman" w:cs="Times New Roman" w:eastAsia="Times New Roman" w:hAnsi="Times New Roman"/>
          <w:b w:val="false"/>
          <w:bCs w:val="false"/>
          <w:i w:val="false"/>
          <w:iCs w:val="false"/>
          <w:color w:val="1F2937"/>
          <w:sz w:val="22"/>
          <w:szCs w:val="22"/>
        </w:rPr>
        <w:t xml:space="preserve">Nota : le corrigé se limite à ce qui est explicitement observable dans la vignette — on ne « complète » pas avec des inférences non fondées sur le texte.</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2. Cluster B : le fil conducteur est l'instabilité émotionnelle, relationnelle et identitaire, et l'impulsivité.</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3. Posture adaptée (sans poser de diagnostic) : cohérence de l'équipe et prévisibilité du cadre (lutter contre le clivage), limites claires et stables sur les contacts (ni trop ni trop peu), psychoéducation sur la régulation émotionnelle si une thérapie adaptée est en cours, orientation vers le psychiatre ou le psychologue en cas d'automutilation récurrente ou d'idées suicidaires.</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Comparaison DSM-5 / CIM-11 (tableau à compléter)</w:t>
      </w:r>
    </w:p>
    <w:p>
      <w:pPr>
        <w:spacing w:after="100"/>
      </w:pPr>
      <w:r>
        <w:rPr>
          <w:rFonts w:ascii="Times New Roman" w:cs="Times New Roman" w:eastAsia="Times New Roman" w:hAnsi="Times New Roman"/>
          <w:b w:val="false"/>
          <w:bCs w:val="false"/>
          <w:i w:val="false"/>
          <w:iCs w:val="false"/>
          <w:color w:val="1F2937"/>
          <w:sz w:val="22"/>
          <w:szCs w:val="22"/>
        </w:rPr>
        <w:t xml:space="preserve">Objectif : comprendre en quoi le passage à la CIM-11 change la façon de penser les troubles de la personnalité.</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Consigne : à partir de la théorie, complète le tableau suivant — d'abord de mémoire, puis corrige.</w:t>
      </w:r>
    </w:p>
    <w:p>
      <w:pPr>
        <w:spacing w:after="100"/>
      </w:pPr>
      <w:r>
        <w:rPr>
          <w:rFonts w:ascii="Times New Roman" w:cs="Times New Roman" w:eastAsia="Times New Roman" w:hAnsi="Times New Roman"/>
          <w:b w:val="false"/>
          <w:bCs w:val="false"/>
          <w:i w:val="false"/>
          <w:iCs w:val="false"/>
          <w:color w:val="1F293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Dimension</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DSM-5</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CIM-11</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Approche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Catégorielle : 10 diagnostics distincts</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Dimensionnelle : un seul diagnostic + sévérité + qualificateurs de traits</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Sévérité</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Non évaluée de manière transversale</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Axe central : légère / modérée / sévère</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Comorbidité</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Plusieurs diagnostics possibles simultanément (fréquent)</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Mieux intégrée : un diagnostic, plusieurs traits qualificateurs</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Borderline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Catégorie distincte (Cluster B)</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Qualificateur spécifique « borderline pattern »</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Utilité clinique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Précision diagnostique catégorielle</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Meilleure continuité avec la pratique réelle ; réduit l'étiquetage</w:t>
            </w:r>
          </w:p>
        </w:tc>
      </w:tr>
    </w:tbl>
    <w:p>
      <w:pPr>
        <w:spacing w:after="100"/>
      </w:pPr>
      <w:r>
        <w:rPr>
          <w:rFonts w:ascii="Times New Roman" w:cs="Times New Roman" w:eastAsia="Times New Roman" w:hAnsi="Times New Roman"/>
          <w:b w:val="false"/>
          <w:bCs w:val="false"/>
          <w:i w:val="false"/>
          <w:iCs w:val="false"/>
          <w:color w:val="1F2937"/>
          <w:sz w:val="22"/>
          <w:szCs w:val="22"/>
        </w:rPr>
        <w:t xml:space="preserve"/>
      </w:r>
    </w:p>
    <w:p>
      <w:pPr>
        <w:pBdr>
          <w:left w:val="single" w:color="1B3A6B" w:sz="8"/>
        </w:pBdr>
        <w:shd w:fill="F3F4F6" w:val="clear"/>
        <w:spacing w:after="120" w:before="120"/>
        <w:ind w:left="576"/>
      </w:pPr>
      <w:r>
        <w:rPr>
          <w:rFonts w:ascii="Times New Roman" w:cs="Times New Roman" w:eastAsia="Times New Roman" w:hAnsi="Times New Roman"/>
          <w:i/>
          <w:iCs/>
          <w:color w:val="1B3A6B"/>
          <w:sz w:val="22"/>
          <w:szCs w:val="22"/>
        </w:rPr>
        <w:t xml:space="preserve">Réflexion personnelle : le passage à la CIM-11 illustre l'évolution du champ vers une vision moins stigmatisante et plus nuancée de la personnalité pathologique. Pour toi en tant qu'accompagnant, cela rappelle que les « étiquettes » sont des outils de communication clinique, pas des identités.</w:t>
      </w:r>
    </w:p>
    <w:p>
      <w:pPr>
        <w:pBdr>
          <w:bottom w:val="single" w:color="CCCCCC" w:sz="2"/>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Challenge — Synthèse intégrative</w:t>
      </w:r>
    </w:p>
    <w:p>
      <w:pPr>
        <w:spacing w:after="100"/>
      </w:pPr>
      <w:r>
        <w:rPr>
          <w:rFonts w:ascii="Times New Roman" w:cs="Times New Roman" w:eastAsia="Times New Roman" w:hAnsi="Times New Roman"/>
          <w:b w:val="false"/>
          <w:bCs w:val="false"/>
          <w:i w:val="false"/>
          <w:iCs w:val="false"/>
          <w:color w:val="1F2937"/>
          <w:sz w:val="22"/>
          <w:szCs w:val="22"/>
        </w:rPr>
        <w:t xml:space="preserve">Objectif : mobiliser l'ensemble de la leçon dans un exercice de transfert exigeant.</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val="false"/>
          <w:iCs w:val="false"/>
          <w:color w:val="1F2937"/>
          <w:sz w:val="22"/>
          <w:szCs w:val="22"/>
        </w:rPr>
        <w:t xml:space="preserve">Consigne :</w:t>
      </w:r>
    </w:p>
    <w:p>
      <w:pPr>
        <w:spacing w:after="100"/>
      </w:pPr>
      <w:r>
        <w:rPr>
          <w:rFonts w:ascii="Times New Roman" w:cs="Times New Roman" w:eastAsia="Times New Roman" w:hAnsi="Times New Roman"/>
          <w:b w:val="false"/>
          <w:bCs w:val="false"/>
          <w:i w:val="false"/>
          <w:iCs w:val="false"/>
          <w:color w:val="1F2937"/>
          <w:sz w:val="22"/>
          <w:szCs w:val="22"/>
        </w:rPr>
        <w:t xml:space="preserve">Imagine que tu dois expliquer à un nouveau collègue éducateur spécialisé, sans jargon excessif, pourquoi la TCD (Thérapie Comportementale Dialectique) est particulièrement adaptée au TPB et comment son modèle théorique (biosocial de Linehan) s'articule avec les symptômes clés du trouble.</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Rédige une explication en 10 à 15 lignes, en évitant toute citation inventée. Utilise des formulations indirectes du type : « Linehan a développé... », « la TCD repose sur l'idée que... ».</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iCs/>
          <w:color w:val="1F2937"/>
          <w:sz w:val="22"/>
          <w:szCs w:val="22"/>
        </w:rPr>
        <w:t xml:space="preserve">Éléments-clés attendus dans ta réponse :</w:t>
      </w:r>
    </w:p>
    <w:p>
      <w:pPr>
        <w:pStyle w:val="ListParagraph"/>
        <w:numPr>
          <w:ilvl w:val="0"/>
          <w:numId w:val="1"/>
        </w:numPr>
        <w:spacing w:after="60"/>
      </w:pPr>
      <w:r>
        <w:rPr>
          <w:rFonts w:ascii="Times New Roman" w:cs="Times New Roman" w:eastAsia="Times New Roman" w:hAnsi="Times New Roman"/>
          <w:color w:val="1F2937"/>
          <w:sz w:val="22"/>
          <w:szCs w:val="22"/>
        </w:rPr>
        <w:t xml:space="preserve">Le modèle biosocial : vulnérabilité émotionnelle biologique + environnement invalidant → dérégulation émotionnelle</w:t>
      </w:r>
    </w:p>
    <w:p>
      <w:pPr>
        <w:pStyle w:val="ListParagraph"/>
        <w:numPr>
          <w:ilvl w:val="0"/>
          <w:numId w:val="1"/>
        </w:numPr>
        <w:spacing w:after="60"/>
      </w:pPr>
      <w:r>
        <w:rPr>
          <w:rFonts w:ascii="Times New Roman" w:cs="Times New Roman" w:eastAsia="Times New Roman" w:hAnsi="Times New Roman"/>
          <w:color w:val="1F2937"/>
          <w:sz w:val="22"/>
          <w:szCs w:val="22"/>
        </w:rPr>
        <w:t xml:space="preserve">La dialectique : tension entre acceptation (« tu souffres vraiment ») et changement (« tu peux apprendre à gérer différemment »)</w:t>
      </w:r>
    </w:p>
    <w:p>
      <w:pPr>
        <w:pStyle w:val="ListParagraph"/>
        <w:numPr>
          <w:ilvl w:val="0"/>
          <w:numId w:val="1"/>
        </w:numPr>
        <w:spacing w:after="60"/>
      </w:pPr>
      <w:r>
        <w:rPr>
          <w:rFonts w:ascii="Times New Roman" w:cs="Times New Roman" w:eastAsia="Times New Roman" w:hAnsi="Times New Roman"/>
          <w:color w:val="1F2937"/>
          <w:sz w:val="22"/>
          <w:szCs w:val="22"/>
        </w:rPr>
        <w:t xml:space="preserve">Les quatre modules d'entraînement aux compétences : pleine conscience, régulation émotionnelle, efficacité interpersonnelle, tolérance à la détresse</w:t>
      </w:r>
    </w:p>
    <w:p>
      <w:pPr>
        <w:pStyle w:val="ListParagraph"/>
        <w:numPr>
          <w:ilvl w:val="0"/>
          <w:numId w:val="1"/>
        </w:numPr>
        <w:spacing w:after="60"/>
      </w:pPr>
      <w:r>
        <w:rPr>
          <w:rFonts w:ascii="Times New Roman" w:cs="Times New Roman" w:eastAsia="Times New Roman" w:hAnsi="Times New Roman"/>
          <w:color w:val="1F2937"/>
          <w:sz w:val="22"/>
          <w:szCs w:val="22"/>
        </w:rPr>
        <w:t xml:space="preserve">Le double format : thérapie individuelle + groupe de compétences</w:t>
      </w:r>
    </w:p>
    <w:p>
      <w:pPr>
        <w:pStyle w:val="ListParagraph"/>
        <w:numPr>
          <w:ilvl w:val="0"/>
          <w:numId w:val="1"/>
        </w:numPr>
        <w:spacing w:after="60"/>
      </w:pPr>
      <w:r>
        <w:rPr>
          <w:rFonts w:ascii="Times New Roman" w:cs="Times New Roman" w:eastAsia="Times New Roman" w:hAnsi="Times New Roman"/>
          <w:color w:val="1F2937"/>
          <w:sz w:val="22"/>
          <w:szCs w:val="22"/>
        </w:rPr>
        <w:t xml:space="preserve">L'adéquation au TPB : réduction des comportements auto-dommageables, de l'impulsivité, des hospitalisations</w:t>
      </w:r>
    </w:p>
    <w:p>
      <w:pPr>
        <w:pStyle w:val="ListParagraph"/>
        <w:numPr>
          <w:ilvl w:val="0"/>
          <w:numId w:val="1"/>
        </w:numPr>
        <w:spacing w:after="60"/>
      </w:pPr>
      <w:r>
        <w:rPr>
          <w:rFonts w:ascii="Times New Roman" w:cs="Times New Roman" w:eastAsia="Times New Roman" w:hAnsi="Times New Roman"/>
          <w:color w:val="1F2937"/>
          <w:sz w:val="22"/>
          <w:szCs w:val="22"/>
        </w:rPr>
        <w:t xml:space="preserve">La posture non stigmatisante : la dérégulation émotionnelle est comprise, non jugée</w:t>
      </w:r>
    </w:p>
    <w:p>
      <w:pPr>
        <w:pBdr>
          <w:bottom w:val="single" w:color="CCCCCC" w:sz="2"/>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Pont professionnel (optionnel)</w:t>
      </w:r>
    </w:p>
    <w:p>
      <w:pPr>
        <w:spacing w:after="100"/>
      </w:pPr>
      <w:r>
        <w:rPr>
          <w:rFonts w:ascii="Times New Roman" w:cs="Times New Roman" w:eastAsia="Times New Roman" w:hAnsi="Times New Roman"/>
          <w:b w:val="false"/>
          <w:bCs w:val="false"/>
          <w:i w:val="false"/>
          <w:iCs w:val="false"/>
          <w:color w:val="1F2937"/>
          <w:sz w:val="22"/>
          <w:szCs w:val="22"/>
        </w:rPr>
        <w:t xml:space="preserve">En tant que chef de service en foyer d'hébergement pour adultes avec handicap mental et psychique, tu peux rencontrer des personnes présentant des traits de personnalité marqués — parfois un TPB avéré, parfois des traits du cluster A ou C intégrés dans le tableau clinique général.</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Ce que tu peux faire concrètement :</w:t>
      </w:r>
    </w:p>
    <w:p>
      <w:pPr>
        <w:pStyle w:val="ListParagraph"/>
        <w:numPr>
          <w:ilvl w:val="0"/>
          <w:numId w:val="1"/>
        </w:numPr>
        <w:spacing w:after="60"/>
      </w:pPr>
      <w:r>
        <w:rPr>
          <w:rFonts w:ascii="Times New Roman" w:cs="Times New Roman" w:eastAsia="Times New Roman" w:hAnsi="Times New Roman"/>
          <w:color w:val="1F2937"/>
          <w:sz w:val="22"/>
          <w:szCs w:val="22"/>
        </w:rPr>
        <w:t xml:space="preserve">Observer et décrire (sans diagnostiquer) les patterns relationnels stables : « lors des changements d'équipe, X présente systématiquement des comportements d'alerte — refus de se lever, appels répétés »</w:t>
      </w:r>
    </w:p>
    <w:p>
      <w:pPr>
        <w:pStyle w:val="ListParagraph"/>
        <w:numPr>
          <w:ilvl w:val="0"/>
          <w:numId w:val="1"/>
        </w:numPr>
        <w:spacing w:after="60"/>
      </w:pPr>
      <w:r>
        <w:rPr>
          <w:rFonts w:ascii="Times New Roman" w:cs="Times New Roman" w:eastAsia="Times New Roman" w:hAnsi="Times New Roman"/>
          <w:color w:val="1F2937"/>
          <w:sz w:val="22"/>
          <w:szCs w:val="22"/>
        </w:rPr>
        <w:t xml:space="preserve">Travailler la cohérence d'équipe : le clivage est une souffrance réelle de la personne, pas une manipulation consciente — le prévenir par des transmissions rigoureuses et des positions communes</w:t>
      </w:r>
    </w:p>
    <w:p>
      <w:pPr>
        <w:pStyle w:val="ListParagraph"/>
        <w:numPr>
          <w:ilvl w:val="0"/>
          <w:numId w:val="1"/>
        </w:numPr>
        <w:spacing w:after="60"/>
      </w:pPr>
      <w:r>
        <w:rPr>
          <w:rFonts w:ascii="Times New Roman" w:cs="Times New Roman" w:eastAsia="Times New Roman" w:hAnsi="Times New Roman"/>
          <w:color w:val="1F2937"/>
          <w:sz w:val="22"/>
          <w:szCs w:val="22"/>
        </w:rPr>
        <w:t xml:space="preserve">Anticiper les périodes de transitions (déménagement, changement de référent, fin de contrat) comme moments de risque accru</w:t>
      </w:r>
    </w:p>
    <w:p>
      <w:pPr>
        <w:pStyle w:val="ListParagraph"/>
        <w:numPr>
          <w:ilvl w:val="0"/>
          <w:numId w:val="1"/>
        </w:numPr>
        <w:spacing w:after="60"/>
      </w:pPr>
      <w:r>
        <w:rPr>
          <w:rFonts w:ascii="Times New Roman" w:cs="Times New Roman" w:eastAsia="Times New Roman" w:hAnsi="Times New Roman"/>
          <w:color w:val="1F2937"/>
          <w:sz w:val="22"/>
          <w:szCs w:val="22"/>
        </w:rPr>
        <w:t xml:space="preserve">Orienter vers les équipes soignantes (psy, psychiatre) dès que les comportements auto-dommageables ou les crises aiguës dépassent le cadre éducatif</w:t>
      </w:r>
    </w:p>
    <w:p>
      <w:pPr>
        <w:pBdr>
          <w:bottom w:val="single" w:color="CCCCCC" w:sz="2"/>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Ressources cliquables pour approfondir</w:t>
      </w:r>
    </w:p>
    <w:p>
      <w:pPr>
        <w:spacing w:after="100"/>
      </w:pPr>
      <w:r>
        <w:rPr>
          <w:rFonts w:ascii="Times New Roman" w:cs="Times New Roman" w:eastAsia="Times New Roman" w:hAnsi="Times New Roman"/>
          <w:b/>
          <w:bCs/>
          <w:i w:val="false"/>
          <w:iCs w:val="false"/>
          <w:color w:val="1F2937"/>
          <w:sz w:val="22"/>
          <w:szCs w:val="22"/>
        </w:rPr>
        <w:t xml:space="preserve">Sources consultées et vérifiées pour cette leçon :</w:t>
      </w:r>
    </w:p>
    <w:p>
      <w:pPr>
        <w:spacing w:after="80"/>
      </w:pPr>
      <w:r>
        <w:rPr>
          <w:rFonts w:ascii="Times New Roman" w:cs="Times New Roman" w:eastAsia="Times New Roman" w:hAnsi="Times New Roman"/>
          <w:b/>
          <w:bCs/>
          <w:color w:val="1F2937"/>
          <w:sz w:val="22"/>
          <w:szCs w:val="22"/>
        </w:rPr>
        <w:t xml:space="preserve">1. </w:t>
      </w:r>
      <w:hyperlink w:history="1" r:id="rIdoaekiz7hn5vc8gjejfssj">
        <w:r>
          <w:rPr>
            <w:rFonts w:ascii="Times New Roman" w:cs="Times New Roman" w:eastAsia="Times New Roman" w:hAnsi="Times New Roman"/>
            <w:color w:val="1155CC"/>
            <w:sz w:val="22"/>
            <w:szCs w:val="22"/>
            <w:u w:val="single"/>
          </w:rPr>
          <w:t xml:space="preserve">Personality disorder — Wikipedia (EN)</w:t>
        </w:r>
      </w:hyperlink>
      <w:r>
        <w:rPr>
          <w:rFonts w:ascii="Times New Roman" w:cs="Times New Roman" w:eastAsia="Times New Roman" w:hAnsi="Times New Roman"/>
          <w:color w:val="1F2937"/>
          <w:sz w:val="20"/>
          <w:szCs w:val="20"/>
        </w:rPr>
        <w:t xml:space="preserve"> — définition, clusters DSM-5, CIM-11, traitements</w:t>
      </w:r>
    </w:p>
    <w:p>
      <w:pPr>
        <w:spacing w:after="80"/>
      </w:pPr>
      <w:r>
        <w:rPr>
          <w:rFonts w:ascii="Times New Roman" w:cs="Times New Roman" w:eastAsia="Times New Roman" w:hAnsi="Times New Roman"/>
          <w:b/>
          <w:bCs/>
          <w:color w:val="1F2937"/>
          <w:sz w:val="22"/>
          <w:szCs w:val="22"/>
        </w:rPr>
        <w:t xml:space="preserve">2. </w:t>
      </w:r>
      <w:hyperlink w:history="1" r:id="rIdoijnhd8wdpi9b4gacohny">
        <w:r>
          <w:rPr>
            <w:rFonts w:ascii="Times New Roman" w:cs="Times New Roman" w:eastAsia="Times New Roman" w:hAnsi="Times New Roman"/>
            <w:color w:val="1155CC"/>
            <w:sz w:val="22"/>
            <w:szCs w:val="22"/>
            <w:u w:val="single"/>
          </w:rPr>
          <w:t xml:space="preserve">Trouble de la personnalité borderline — Wikipédia (FR)</w:t>
        </w:r>
      </w:hyperlink>
      <w:r>
        <w:rPr>
          <w:rFonts w:ascii="Times New Roman" w:cs="Times New Roman" w:eastAsia="Times New Roman" w:hAnsi="Times New Roman"/>
          <w:color w:val="1F2937"/>
          <w:sz w:val="20"/>
          <w:szCs w:val="20"/>
        </w:rPr>
        <w:t xml:space="preserve"> — critères DSM-5, étiologie, traitements, épidémiologie</w:t>
      </w:r>
    </w:p>
    <w:p>
      <w:pPr>
        <w:spacing w:after="80"/>
      </w:pPr>
      <w:r>
        <w:rPr>
          <w:rFonts w:ascii="Times New Roman" w:cs="Times New Roman" w:eastAsia="Times New Roman" w:hAnsi="Times New Roman"/>
          <w:b/>
          <w:bCs/>
          <w:color w:val="1F2937"/>
          <w:sz w:val="22"/>
          <w:szCs w:val="22"/>
        </w:rPr>
        <w:t xml:space="preserve">3. </w:t>
      </w:r>
      <w:hyperlink w:history="1" r:id="rIdvyy_sah40f1w3o6hh_2nc">
        <w:r>
          <w:rPr>
            <w:rFonts w:ascii="Times New Roman" w:cs="Times New Roman" w:eastAsia="Times New Roman" w:hAnsi="Times New Roman"/>
            <w:color w:val="1155CC"/>
            <w:sz w:val="22"/>
            <w:szCs w:val="22"/>
            <w:u w:val="single"/>
          </w:rPr>
          <w:t xml:space="preserve">Thérapie comportementale dialectique — Wikipédia (FR)</w:t>
        </w:r>
      </w:hyperlink>
      <w:r>
        <w:rPr>
          <w:rFonts w:ascii="Times New Roman" w:cs="Times New Roman" w:eastAsia="Times New Roman" w:hAnsi="Times New Roman"/>
          <w:color w:val="1F2937"/>
          <w:sz w:val="20"/>
          <w:szCs w:val="20"/>
        </w:rPr>
        <w:t xml:space="preserve"> — Linehan, modules TCD, efficacité clinique</w:t>
      </w:r>
    </w:p>
    <w:p>
      <w:pPr>
        <w:spacing w:after="80"/>
      </w:pPr>
      <w:r>
        <w:rPr>
          <w:rFonts w:ascii="Times New Roman" w:cs="Times New Roman" w:eastAsia="Times New Roman" w:hAnsi="Times New Roman"/>
          <w:b/>
          <w:bCs/>
          <w:color w:val="1F2937"/>
          <w:sz w:val="22"/>
          <w:szCs w:val="22"/>
        </w:rPr>
        <w:t xml:space="preserve">4. </w:t>
      </w:r>
      <w:hyperlink w:history="1" r:id="rIdzur6ruvs2lsxcokz2cwwz">
        <w:r>
          <w:rPr>
            <w:rFonts w:ascii="Times New Roman" w:cs="Times New Roman" w:eastAsia="Times New Roman" w:hAnsi="Times New Roman"/>
            <w:color w:val="1155CC"/>
            <w:sz w:val="22"/>
            <w:szCs w:val="22"/>
            <w:u w:val="single"/>
          </w:rPr>
          <w:t xml:space="preserve">Overview of Personality Disorders — Merck Manual Professional</w:t>
        </w:r>
      </w:hyperlink>
      <w:r>
        <w:rPr>
          <w:rFonts w:ascii="Times New Roman" w:cs="Times New Roman" w:eastAsia="Times New Roman" w:hAnsi="Times New Roman"/>
          <w:color w:val="1F2937"/>
          <w:sz w:val="20"/>
          <w:szCs w:val="20"/>
        </w:rPr>
        <w:t xml:space="preserve"> — référence clinique (EN) : critères, prévalence (9 % pop. générale, 50 % inpatients), traitement</w:t>
      </w:r>
    </w:p>
    <w:p>
      <w:pPr>
        <w:spacing w:after="80"/>
      </w:pPr>
      <w:r>
        <w:rPr>
          <w:rFonts w:ascii="Times New Roman" w:cs="Times New Roman" w:eastAsia="Times New Roman" w:hAnsi="Times New Roman"/>
          <w:b/>
          <w:bCs/>
          <w:color w:val="1F2937"/>
          <w:sz w:val="22"/>
          <w:szCs w:val="22"/>
        </w:rPr>
        <w:t xml:space="preserve">5. </w:t>
      </w:r>
      <w:hyperlink w:history="1" r:id="rIduvho8sa6fc0jsddt4savu">
        <w:r>
          <w:rPr>
            <w:rFonts w:ascii="Times New Roman" w:cs="Times New Roman" w:eastAsia="Times New Roman" w:hAnsi="Times New Roman"/>
            <w:color w:val="1155CC"/>
            <w:sz w:val="22"/>
            <w:szCs w:val="22"/>
            <w:u w:val="single"/>
          </w:rPr>
          <w:t xml:space="preserve">DBT France — thérapie des troubles de la personnalité borderline</w:t>
        </w:r>
      </w:hyperlink>
      <w:r>
        <w:rPr>
          <w:rFonts w:ascii="Times New Roman" w:cs="Times New Roman" w:eastAsia="Times New Roman" w:hAnsi="Times New Roman"/>
          <w:color w:val="1F2937"/>
          <w:sz w:val="20"/>
          <w:szCs w:val="20"/>
        </w:rPr>
        <w:t xml:space="preserve"> — ressource francophone de référence sur la TCD</w:t>
      </w:r>
    </w:p>
    <w:p>
      <w:pPr>
        <w:spacing w:after="80"/>
      </w:pPr>
      <w:r>
        <w:rPr>
          <w:rFonts w:ascii="Times New Roman" w:cs="Times New Roman" w:eastAsia="Times New Roman" w:hAnsi="Times New Roman"/>
          <w:b/>
          <w:bCs/>
          <w:color w:val="1F2937"/>
          <w:sz w:val="22"/>
          <w:szCs w:val="22"/>
        </w:rPr>
        <w:t xml:space="preserve">6. </w:t>
      </w:r>
      <w:r>
        <w:rPr>
          <w:rFonts w:ascii="Times New Roman" w:cs="Times New Roman" w:eastAsia="Times New Roman" w:hAnsi="Times New Roman"/>
          <w:color w:val="1F2937"/>
          <w:sz w:val="22"/>
          <w:szCs w:val="22"/>
        </w:rPr>
        <w:t xml:space="preserve">AAPEL — Trouble borderline et TCD ⚠️ PAGE MORTE (aapel.org/bdp/BLDBTresumeFR.html , lien retiré)</w:t>
      </w:r>
      <w:r>
        <w:rPr>
          <w:rFonts w:ascii="Times New Roman" w:cs="Times New Roman" w:eastAsia="Times New Roman" w:hAnsi="Times New Roman"/>
          <w:color w:val="1F2937"/>
          <w:sz w:val="20"/>
          <w:szCs w:val="20"/>
        </w:rPr>
        <w:t xml:space="preserve"> — ⚠️ VÉRIFIÉE LE 06/09/2026 : cette adresse répond toujours HTTP 200, mais son contenu intégral est désormais « Account Suspended. This Account has been suspended. » La ressource n'existe plus. Elle est conservée ici, barrée, parce qu'elle illustre ce qu'un code 200 ne prouve pas — et parce qu'elle comptait, avec dbt-france.com, parmi les appuis de l'affirmation d'efficacité de la TCD.</w:t>
      </w:r>
      <w:r>
        <w:rPr>
          <w:rFonts w:ascii="Times New Roman" w:cs="Times New Roman" w:eastAsia="Times New Roman" w:hAnsi="Times New Roman"/>
          <w:i/>
          <w:iCs/>
          <w:color w:val="6B7280"/>
          <w:sz w:val="20"/>
          <w:szCs w:val="20"/>
        </w:rPr>
        <w:t xml:space="preserve">   [Corrigé le 25/10/2026 : hyperlien RETIRÉ, adresse conservée en clair. Ce paragraphe déclarait la page morte depuis le 06/09/2026 mais son lien restait CLIQUABLE : le lecteur était envoyé sur la page qu'on lui annonçait vide. Et l'état a empiré — depuis le 17/10/2026 le certificat de aapel.org est EXPIRÉ (Let's Encrypt, NotAfter 17/10/2026 13:37:55 GMT, curl exit 60), donc l'adresse n'est même plus joignable en https ; en http elle rend toujours 200 avec « Account Suspended », 7 612 octets mesurés le 25/10/2026. Détail au journal.]</w:t>
      </w:r>
    </w:p>
    <w:p>
      <w:pPr>
        <w:spacing w:after="80"/>
      </w:pPr>
      <w:r>
        <w:rPr>
          <w:rFonts w:ascii="Times New Roman" w:cs="Times New Roman" w:eastAsia="Times New Roman" w:hAnsi="Times New Roman"/>
          <w:b/>
          <w:bCs/>
          <w:color w:val="1F2937"/>
          <w:sz w:val="22"/>
          <w:szCs w:val="22"/>
        </w:rPr>
        <w:t xml:space="preserve">7. </w:t>
      </w:r>
      <w:hyperlink w:history="1" r:id="rIddsmapa20260911">
        <w:r>
          <w:rPr>
            <w:rFonts w:ascii="Times New Roman" w:cs="Times New Roman" w:eastAsia="Times New Roman" w:hAnsi="Times New Roman"/>
            <w:color w:val="1155CC"/>
            <w:sz w:val="22"/>
            <w:szCs w:val="22"/>
            <w:u w:val="single"/>
          </w:rPr>
          <w:t xml:space="preserve">DSM-5-TR (American Psychiatric Association) — page officielle du manuel</w:t>
        </w:r>
      </w:hyperlink>
      <w:r>
        <w:rPr>
          <w:rFonts w:ascii="Times New Roman" w:cs="Times New Roman" w:eastAsia="Times New Roman" w:hAnsi="Times New Roman"/>
          <w:color w:val="1F2937"/>
          <w:sz w:val="22"/>
          <w:szCs w:val="22"/>
        </w:rPr>
        <w:t xml:space="preserve"> — l'éditeur du DSM, qui décrit le manuel, ses révisions et la différence entre DSM-5 et DSM-5-TR. Vérifiée le 11/09/2026 : HTTP 200, 21 859 caractères utiles, « DSM-5-TR » y figure 19 fois. AJOUTÉE LE 11/09/2026 : cette classification était nommée dans le corps de la leçon sans aucune adresse.</w:t>
      </w:r>
    </w:p>
    <w:p>
      <w:pPr>
        <w:pBdr>
          <w:bottom w:val="single" w:color="CCCCCC" w:sz="2"/>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Prochaine leçon — n°09</w:t>
      </w:r>
    </w:p>
    <w:p>
      <w:pPr>
        <w:spacing w:after="100"/>
      </w:pPr>
      <w:r>
        <w:rPr>
          <w:rFonts w:ascii="Times New Roman" w:cs="Times New Roman" w:eastAsia="Times New Roman" w:hAnsi="Times New Roman"/>
          <w:b/>
          <w:bCs/>
          <w:i w:val="false"/>
          <w:iCs w:val="false"/>
          <w:color w:val="1F2937"/>
          <w:sz w:val="22"/>
          <w:szCs w:val="22"/>
        </w:rPr>
        <w:t xml:space="preserve">Thème : Les troubles du neurodéveloppement : TSA, TDAH, trouble du développement intellectuel (TDI)</w:t>
      </w:r>
    </w:p>
    <w:p>
      <w:pPr>
        <w:spacing w:after="100"/>
      </w:pPr>
      <w:r>
        <w:rPr>
          <w:rFonts w:ascii="Times New Roman" w:cs="Times New Roman" w:eastAsia="Times New Roman" w:hAnsi="Times New Roman"/>
          <w:b w:val="false"/>
          <w:bCs w:val="false"/>
          <w:i w:val="false"/>
          <w:iCs w:val="false"/>
          <w:color w:val="1F2937"/>
          <w:sz w:val="22"/>
          <w:szCs w:val="22"/>
        </w:rPr>
        <w:t xml:space="preserve">On passera des patterns de personnalité pathologiques aux troubles qui s'inscrivent dans le développement neurologique de la personne — un registre différent, particulièrement central dans le champ du handicap mental et du médico-social.</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pBdr>
          <w:bottom w:val="single" w:color="CCCCCC" w:sz="2"/>
        </w:pBdr>
        <w:spacing w:after="160" w:before="160"/>
      </w:pPr>
    </w:p>
    <w:p>
      <w:pPr>
        <w:spacing w:after="100"/>
      </w:pPr>
      <w:r>
        <w:rPr>
          <w:rFonts w:ascii="Times New Roman" w:cs="Times New Roman" w:eastAsia="Times New Roman" w:hAnsi="Times New Roman"/>
          <w:b w:val="false"/>
          <w:bCs w:val="false"/>
          <w:i/>
          <w:iCs/>
          <w:color w:val="888888"/>
          <w:sz w:val="22"/>
          <w:szCs w:val="22"/>
        </w:rPr>
        <w:t xml:space="preserve">Document produit le 4 août 2026 — Parcours Psychopathologie clinique — Leçon 08/20</w:t>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6 septembre 2026</w:t>
      </w:r>
    </w:p>
    <w:p>
      <w:pPr>
        <w:spacing w:after="80"/>
      </w:pPr>
      <w:r>
        <w:rPr>
          <w:rFonts w:ascii="Times New Roman" w:cs="Times New Roman" w:eastAsia="Times New Roman" w:hAnsi="Times New Roman"/>
          <w:b/>
          <w:bCs/>
          <w:i/>
          <w:iCs/>
          <w:color w:val="1F2937"/>
          <w:sz w:val="22"/>
          <w:szCs w:val="22"/>
        </w:rPr>
        <w:t xml:space="preserve">Leçon produite le 4 août 2026, relue le 06/09/2026 : les six URL répondent 200 — mais l’une d’elles est une page supprimée. Huit corrections. Les formulations d’origine sont conservées ci-dessous.</w:t>
      </w:r>
    </w:p>
    <w:p>
      <w:pPr>
        <w:spacing w:after="80"/>
      </w:pPr>
      <w:r>
        <w:rPr>
          <w:rFonts w:ascii="Times New Roman" w:cs="Times New Roman" w:eastAsia="Times New Roman" w:hAnsi="Times New Roman"/>
          <w:color w:val="1F2937"/>
          <w:sz w:val="22"/>
          <w:szCs w:val="22"/>
        </w:rPr>
        <w:t xml:space="preserve">① Le critère 3 du trouble borderline dupliquait le critère 7 — c’est la correction la plus importante. Version d’origine : « 3. Perturbation de l’identité : image de soi instable, SENTIMENT CHRONIQUE DE VIDE ». La source écrit : « perturbation de l’identité : instabilité marquée et persistante de l’image ou de la notion de soi ». Le sentiment chronique de vide est le critère 7, et lui seul. Dans une liste dont le seuil est « au moins 5 sur 9 », un même signe pouvait être compté deux fois et faire franchir ce seuil à tort — sur un diagnostic qui engage le regard porté sur une personne. À relever : le corrigé de l’exercice 2 de cette même leçon employait la BONNE version du critère 3, sans le vide et sans double comptage. La leçon portait sa propre correction.</w:t>
      </w:r>
    </w:p>
    <w:p>
      <w:pPr>
        <w:spacing w:after="80"/>
      </w:pPr>
      <w:r>
        <w:rPr>
          <w:rFonts w:ascii="Times New Roman" w:cs="Times New Roman" w:eastAsia="Times New Roman" w:hAnsi="Times New Roman"/>
          <w:color w:val="1F2937"/>
          <w:sz w:val="22"/>
          <w:szCs w:val="22"/>
        </w:rPr>
        <w:t xml:space="preserve">② Le modèle de la CIM-11 : le borderline n’est pas un trait. Version d’origine : « Qualificateurs de traits : négativisme affectif, détachement, dissocialité, désinhibition, anankastie (ancêtre du cluster C OCD), borderline » — six items alignés. La source écrit : cinq traits, puis « In addition to the traits, a Borderline pattern […] may be specified ». C’est un spécificateur distinct, qui s’ajoute aux traits. Là encore, le tableau de l’exercice 3 de cette leçon l’écrivait correctement. Corrigé aussi : l’anankastie était dite « ancêtre du cluster C OCD » alors que la CIM-11 est postérieure au DSM-5. Ajouté enfin, car la leçon l’omettait dans une section intitulée « la révolution CIM-11 » : la CIM-11 sort le trouble schizotypique des troubles de la personnalité.</w:t>
      </w:r>
    </w:p>
    <w:p>
      <w:pPr>
        <w:spacing w:after="80"/>
      </w:pPr>
      <w:r>
        <w:rPr>
          <w:rFonts w:ascii="Times New Roman" w:cs="Times New Roman" w:eastAsia="Times New Roman" w:hAnsi="Times New Roman"/>
          <w:color w:val="1F2937"/>
          <w:sz w:val="22"/>
          <w:szCs w:val="22"/>
        </w:rPr>
        <w:t xml:space="preserve">③ Un qualificatif supprimé au critère 9. La source écrit « symptômes dissociatifs SÉVÈRES » ; la leçon avait retiré l’adjectif. Un adjectif retiré est un critère modifié.</w:t>
      </w:r>
    </w:p>
    <w:p>
      <w:pPr>
        <w:spacing w:after="80"/>
      </w:pPr>
      <w:r>
        <w:rPr>
          <w:rFonts w:ascii="Times New Roman" w:cs="Times New Roman" w:eastAsia="Times New Roman" w:hAnsi="Times New Roman"/>
          <w:color w:val="1F2937"/>
          <w:sz w:val="22"/>
          <w:szCs w:val="22"/>
        </w:rPr>
        <w:t xml:space="preserve">④ Une recommandation élargie au-delà de son objet. Version d’origine : « Les médicaments n’ont pas d’indication spécifique pour LES TROUBLES DE LA PERSONNALITÉ (recommandation NICE) ». Les recommandations du NICE citées par la source portent sur le seul trouble borderline, et datent de 2009 — la leçon ne les datait pas. C’est le même geste que dans deux autres leçons du parcours : un énoncé exact rattaché à un ensemble plus large que celui qu’il concerne.</w:t>
      </w:r>
    </w:p>
    <w:p>
      <w:pPr>
        <w:spacing w:after="80"/>
      </w:pPr>
      <w:r>
        <w:rPr>
          <w:rFonts w:ascii="Times New Roman" w:cs="Times New Roman" w:eastAsia="Times New Roman" w:hAnsi="Times New Roman"/>
          <w:color w:val="1F2937"/>
          <w:sz w:val="22"/>
          <w:szCs w:val="22"/>
        </w:rPr>
        <w:t xml:space="preserve">⑤ Une épidémiologie qui ne venait d’aucune source citée. Version d’origine : « le TPB touche entre 0,5 % et 5,9 % de la population générale, 10 % des patients ambulatoires, et jusqu’à 15-25 % des patients hospitalisés en psychiatrie », précédée de la mention « (synthèse, non citation) ». Cette mention dit qu’il ne s’agit pas d’une citation ; elle ne dit pas qu’il ne s’agit pas d’une source. Aucune des six ressources ne porte ces valeurs. Elles sont retirées et remplacées par ce qui EST sourcé : les 9 % et la moitié des patients hospitalisés du Merck Manual, qui portent sur l’ensemble des troubles de la personnalité et non sur le seul borderline.</w:t>
      </w:r>
    </w:p>
    <w:p>
      <w:pPr>
        <w:spacing w:after="80"/>
      </w:pPr>
      <w:r>
        <w:rPr>
          <w:rFonts w:ascii="Times New Roman" w:cs="Times New Roman" w:eastAsia="Times New Roman" w:hAnsi="Times New Roman"/>
          <w:color w:val="1F2937"/>
          <w:sz w:val="22"/>
          <w:szCs w:val="22"/>
        </w:rPr>
        <w:t xml:space="preserve">⑥ Une ressource « consultée et vérifiée » qui n’existe plus. L’adresse aapel.org/bdp/BLDBTresumeFR.html répond HTTP 200, et son contenu intégral est : « Account Suspended. This Account has been suspended. » 123 octets. Elle figurait sous l’intitulé « Sources consultées et vérifiées pour cette leçon ». C’est le cas d’école du code 200 qui ne prouve rien — plus net encore que les pages rendues en JavaScript rencontrées le même jour sur has-sante.fr et icd.who.int, puisque celle-ci est supprimée et non masquée.</w:t>
      </w:r>
    </w:p>
    <w:p>
      <w:pPr>
        <w:spacing w:after="80"/>
      </w:pPr>
      <w:r>
        <w:rPr>
          <w:rFonts w:ascii="Times New Roman" w:cs="Times New Roman" w:eastAsia="Times New Roman" w:hAnsi="Times New Roman"/>
          <w:color w:val="1F2937"/>
          <w:sz w:val="22"/>
          <w:szCs w:val="22"/>
        </w:rPr>
        <w:t xml:space="preserve">⑦ Le rang des sources sur l’affirmation la plus engageante. L’efficacité de la TCD sur les comportements auto-dommageables et les hospitalisations s’appuie ici sur dbt-france.com — cabinet qui pratique et enseigne la TCD, donc juge et partie sur l’efficacité de sa propre méthode — et sur la page associative désormais hors service. Aucune revue systématique, aucune source institutionnelle française. L’affirmation est courante dans la littérature ; elle n’est pas étayée ici au rang qu’elle mérite. Une réserve a été ajoutée à l’endroit où elle est faite.</w:t>
      </w:r>
    </w:p>
    <w:p>
      <w:pPr>
        <w:spacing w:after="80"/>
      </w:pPr>
      <w:r>
        <w:rPr>
          <w:rFonts w:ascii="Times New Roman" w:cs="Times New Roman" w:eastAsia="Times New Roman" w:hAnsi="Times New Roman"/>
          <w:color w:val="1F2937"/>
          <w:sz w:val="22"/>
          <w:szCs w:val="22"/>
        </w:rPr>
        <w:t xml:space="preserve">⑧ L’attribution des neuf critères au DSM-5 n’est pas étayée par la source, qui les présente « Selon le DSM-IV » et dont la section porte un bandeau « à actualiser (juin 2022) ». Le contenu est de fait quasi inchangé entre les deux éditions pour ce trouble, mais l’attribution reste à vérifier dans le DSM-5-TR.</w:t>
      </w:r>
    </w:p>
    <w:p>
      <w:pPr>
        <w:spacing w:after="80"/>
      </w:pPr>
      <w:r>
        <w:rPr>
          <w:rFonts w:ascii="Times New Roman" w:cs="Times New Roman" w:eastAsia="Times New Roman" w:hAnsi="Times New Roman"/>
          <w:color w:val="1F2937"/>
          <w:sz w:val="22"/>
          <w:szCs w:val="22"/>
        </w:rPr>
        <w:t xml:space="preserve">Vérifié lors de la relecture et inchangé : les dix troubles et leurs clusters ; les quatre domaines du DSM-5-TR (cognition, affectivité, fonctionnement interpersonnel, contrôle des impulsions) ; les cinq critères généraux ; l’héritabilité de 46 à 69 %, exacte ; le modèle biosocial de Linehan et l’organisation limite de Kernberg, attribués correctement ; les quatre modules de la TCD ; le tableau comparatif DSM-5 / CIM-11 de l’exercice 3 ; et l’annonce de la leçon suivante, qui a bien porté sur les troubles du neurodéveloppement. Le corrigé de l’exercice 2 mérite d’être signalé : il porte un « Nota » précisant qu’il se limite à ce qui est explicitement observable dans la vignette et ne complète pas par des inférences — c’est la discipline exacte que ce parcours demande. Le pont professionnel n’a pas été touché : il n’invoque aucune autorité, et il contient la phrase la plus juste de la leçon — le clivage est une souffrance réelle de la personne, pas une manipulation consciente.</w:t>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11 septembre 2026</w:t>
      </w:r>
    </w:p>
    <w:p>
      <w:pPr>
        <w:spacing w:after="80"/>
      </w:pPr>
      <w:r>
        <w:rPr>
          <w:rFonts w:ascii="Times New Roman" w:cs="Times New Roman" w:eastAsia="Times New Roman" w:hAnsi="Times New Roman"/>
          <w:b/>
          <w:bCs/>
          <w:color w:val="1F2937"/>
          <w:sz w:val="22"/>
          <w:szCs w:val="22"/>
        </w:rPr>
        <w:t xml:space="preserve">Relue le 11/09/2026 par le test d'attribution des pages, passé sur les 135 leçons du dépôt. UNE correction.</w:t>
      </w:r>
    </w:p>
    <w:p>
      <w:pPr>
        <w:spacing w:after="80"/>
      </w:pPr>
      <w:r>
        <w:rPr>
          <w:rFonts w:ascii="Times New Roman" w:cs="Times New Roman" w:eastAsia="Times New Roman" w:hAnsi="Times New Roman"/>
          <w:color w:val="1F2937"/>
          <w:sz w:val="22"/>
          <w:szCs w:val="22"/>
        </w:rPr>
        <w:t xml:space="preserve">① Une nosographie était nommée sans adresse. Cette leçon invoque DSM-5 / DSM-5-TR dans son corps sans qu'aucune adresse ne figure dans ses ressources. Ce sont pourtant les instruments qui fondent ses catégories : un lecteur voulant savoir laquelle des deux classifications dit quoi — et elles divergent, notamment sur les troubles de la personnalité — devait la chercher lui-même. Le défaut est répandu dans le parcours : HUIT leçons sur quinze nommaient au moins une nosographie sans adresse — DSM-5-TR dans cinq, CIM-11 dans trois, CIM-10 dans deux, DSM-5 dans deux.</w:t>
      </w:r>
    </w:p>
    <w:p>
      <w:pPr>
        <w:spacing w:after="80"/>
      </w:pPr>
      <w:r>
        <w:rPr>
          <w:rFonts w:ascii="Times New Roman" w:cs="Times New Roman" w:eastAsia="Times New Roman" w:hAnsi="Times New Roman"/>
          <w:color w:val="1F2937"/>
          <w:sz w:val="22"/>
          <w:szCs w:val="22"/>
        </w:rPr>
        <w:t xml:space="preserve">À ne pas confondre avec les quatre leçons — 02, 05, 09 et 11 — qui nommaient déjà leur classification dans le LIBELLÉ d'une ressource, à côté du lien : celles-là n'avaient aucun défaut et n'ont pas été touchées. Une première version de ce contrôle les avait signalées à tort, parce qu'elle ne cherchait le nom de la nosographie que dans l'URL — or ni icd.who.int/fr ni l'adresse de l'APA ne contiennent la chaîne cherchée. Le contrôle regarde désormais tout le texte de la section Ressources.</w:t>
      </w:r>
    </w:p>
    <w:p>
      <w:pPr>
        <w:spacing w:after="80"/>
      </w:pPr>
      <w:r>
        <w:rPr>
          <w:rFonts w:ascii="Times New Roman" w:cs="Times New Roman" w:eastAsia="Times New Roman" w:hAnsi="Times New Roman"/>
          <w:color w:val="1F2937"/>
          <w:sz w:val="22"/>
          <w:szCs w:val="22"/>
        </w:rPr>
        <w:t xml:space="preserve">Ce qui a été fait. Les adresses officielles sont ajoutées, testées le 11/09/2026 : icd.who.int/fr pour la CIM-11, icd.who.int/browse10/2019/en pour la CIM-10 (3 612 caractères utiles), psychiatry.org/psychiatrists/practice/dsm pour le DSM (21 859 caractères, où « DSM-5-TR » figure dix-neuf fois). Une réserve écrite plutôt que tue : le navigateur de la CIM-11 est une application rendue côté client, qui ne sert que 808 caractères au téléchargement direct — elle donne accès à la classification, elle ne se cite pas comme une page de contenu.</w:t>
      </w:r>
    </w:p>
    <w:p>
      <w:pPr>
        <w:spacing w:after="80"/>
      </w:pPr>
      <w:r>
        <w:rPr>
          <w:rFonts w:ascii="Times New Roman" w:cs="Times New Roman" w:eastAsia="Times New Roman" w:hAnsi="Times New Roman"/>
          <w:color w:val="1F2937"/>
          <w:sz w:val="22"/>
          <w:szCs w:val="22"/>
        </w:rPr>
        <w:t xml:space="preserve">Ce que cette relecture apprend, et qui n’était apparu dans aucune des quatre précédentes : LA LEÇON CONTENAIT DEUX FOIS SA PROPRE CORRECTION. Le bon critère 3 figurait dans le corrigé de son exercice 2 ; le bon statut du borderline dans le tableau de son exercice 3. Les deux défauts les plus lourds ne demandaient aucune source pour être vus — seulement de relire la théorie à la lumière des exercices qui la suivent.</w:t>
      </w:r>
    </w:p>
    <w:p>
      <w:pPr>
        <w:spacing w:after="120" w:before="320"/>
      </w:pPr>
      <w:r>
        <w:rPr>
          <w:rFonts w:ascii="Times New Roman" w:cs="Times New Roman" w:eastAsia="Times New Roman" w:hAnsi="Times New Roman"/>
          <w:b/>
          <w:bCs/>
          <w:color w:val="1B3A6B"/>
          <w:sz w:val="28"/>
          <w:szCs w:val="28"/>
        </w:rPr>
        <w:t xml:space="preserve">📝 Journal des corrections — 25 octobre 2026</w:t>
      </w:r>
    </w:p>
    <w:p>
      <w:pPr>
        <w:spacing w:after="80"/>
      </w:pPr>
      <w:r>
        <w:rPr>
          <w:rFonts w:ascii="Times New Roman" w:cs="Times New Roman" w:eastAsia="Times New Roman" w:hAnsi="Times New Roman"/>
          <w:color w:val="1F2937"/>
          <w:sz w:val="22"/>
          <w:szCs w:val="22"/>
        </w:rPr>
        <w:t xml:space="preserve">Hyperlien retiré sur la ressource n°6, adresse conservée en clair. Le paragraphe disait juste depuis le 06/09/2026 — « PAGE MORTE », contenu réduit à « Account Suspended » — mais son lien restait cliquable : le lecteur cliquait sur une ligne qui lui annonçait une page vide et y atterrissait. **Détecter un lien mort et le dire n'est pas le retirer** : c'est le défaut relevé sur quatre documents du dépôt le 25/10/2026, et celui-ci en faisait partie.</w:t>
      </w:r>
    </w:p>
    <w:p>
      <w:pPr>
        <w:spacing w:after="80"/>
      </w:pPr>
      <w:r>
        <w:rPr>
          <w:rFonts w:ascii="Times New Roman" w:cs="Times New Roman" w:eastAsia="Times New Roman" w:hAnsi="Times New Roman"/>
          <w:color w:val="1F2937"/>
          <w:sz w:val="22"/>
          <w:szCs w:val="22"/>
        </w:rPr>
        <w:t xml:space="preserve">L'état a empiré depuis, et c'est mesuré le 25/10/2026 : le certificat de aapel.org a EXPIRÉ le 17/10/2026 (Let's Encrypt, chaîne YR2 → Root YR → ISRG Root X1, NotAfter 17/10/2026 13:37:55 GMT), donc l'adresse rend désormais HTTP 000 et curl exit 60 en https. En http elle répond encore 200, avec la même page « Account Suspended » — 7 612 octets, contre les 123 octets relevés le 06/09 : la page de suspension de l'hébergeur a changé, la ressource n'est pas revenue.</w:t>
      </w:r>
    </w:p>
    <w:p>
      <w:pPr>
        <w:spacing w:after="80"/>
      </w:pPr>
      <w:r>
        <w:rPr>
          <w:rFonts w:ascii="Times New Roman" w:cs="Times New Roman" w:eastAsia="Times New Roman" w:hAnsi="Times New Roman"/>
          <w:color w:val="1F2937"/>
          <w:sz w:val="22"/>
          <w:szCs w:val="22"/>
        </w:rPr>
        <w:t xml:space="preserve">La valeur pédagogique du paragraphe est conservée intacte : il reste l'exemple du code 200 qui ne prouve rien. Ce qui change est seulement qu'on n'y envoie plus personne. L'adresse est écrite en clair dans le libellé pour qu'elle reste vérifiable.</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aekiz7hn5vc8gjejfssj" Type="http://schemas.openxmlformats.org/officeDocument/2006/relationships/hyperlink" Target="https://en.wikipedia.org/wiki/Personality_disorder" TargetMode="External"/><Relationship Id="rIdoijnhd8wdpi9b4gacohny" Type="http://schemas.openxmlformats.org/officeDocument/2006/relationships/hyperlink" Target="https://fr.wikipedia.org/wiki/Trouble_de_la_personnalit%C3%A9_borderline" TargetMode="External"/><Relationship Id="rIdvyy_sah40f1w3o6hh_2nc" Type="http://schemas.openxmlformats.org/officeDocument/2006/relationships/hyperlink" Target="https://fr.wikipedia.org/wiki/Th%C3%A9rapie_comportementale_dialectique" TargetMode="External"/><Relationship Id="rIdzur6ruvs2lsxcokz2cwwz" Type="http://schemas.openxmlformats.org/officeDocument/2006/relationships/hyperlink" Target="https://www.merckmanuals.com/professional/psychiatric-disorders/personality-disorders/overview-of-personality-disorders" TargetMode="External"/><Relationship Id="rIduvho8sa6fc0jsddt4savu" Type="http://schemas.openxmlformats.org/officeDocument/2006/relationships/hyperlink" Target="https://dbt-france.com/" TargetMode="External"/><Relationship Id="rIdcu9kibpfcxxsijrzvk_di" Type="http://schemas.openxmlformats.org/officeDocument/2006/relationships/hyperlink" Target="https://aapel.org/bdp/BLDBTresumeFR.html" TargetMode="External"/><Relationship Id="rId13" Type="http://schemas.openxmlformats.org/officeDocument/2006/relationships/fontTable" Target="fontTable.xml"/><Relationship Id="rIddsmapa20260911" Type="http://schemas.openxmlformats.org/officeDocument/2006/relationships/hyperlink" Target="https://www.psychiatry.org/psychiatrists/practice/dsm"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2026-08-03T06:07:48.398Z</dcterms:created>
  <dcterms:modified xsi:type="dcterms:W3CDTF">2026-08-03T06:07:48.420Z</dcterms:modified>
</cp:coreProperties>
</file>

<file path=docProps/custom.xml><?xml version="1.0" encoding="utf-8"?>
<Properties xmlns="http://schemas.openxmlformats.org/officeDocument/2006/custom-properties" xmlns:vt="http://schemas.openxmlformats.org/officeDocument/2006/docPropsVTypes"/>
</file>