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Times New Roman" w:cs="Times New Roman" w:eastAsia="Times New Roman" w:hAnsi="Times New Roman"/>
          <w:b/>
          <w:bCs/>
          <w:color w:val="1B3A6B"/>
          <w:sz w:val="52"/>
          <w:szCs w:val="52"/>
        </w:rPr>
        <w:t xml:space="preserve">Leçon Revenus passifs n°01</w:t>
      </w:r>
    </w:p>
    <w:p>
      <w:pPr>
        <w:spacing w:after="80" w:before="80"/>
        <w:jc w:val="center"/>
      </w:pPr>
      <w:r>
        <w:rPr>
          <w:rFonts w:ascii="Times New Roman" w:cs="Times New Roman" w:eastAsia="Times New Roman" w:hAnsi="Times New Roman"/>
          <w:b/>
          <w:bCs/>
          <w:color w:val="1B3A6B"/>
          <w:sz w:val="36"/>
          <w:szCs w:val="36"/>
        </w:rPr>
        <w:t xml:space="preserve">Qu'est-ce qu'un revenu passif ?</w:t>
      </w:r>
    </w:p>
    <w:p>
      <w:pPr>
        <w:spacing w:after="60" w:before="60"/>
        <w:jc w:val="center"/>
      </w:pPr>
      <w:r>
        <w:rPr>
          <w:rFonts w:ascii="Times New Roman" w:cs="Times New Roman" w:eastAsia="Times New Roman" w:hAnsi="Times New Roman"/>
          <w:i/>
          <w:iCs/>
          <w:color w:val="1F2937"/>
          <w:sz w:val="24"/>
          <w:szCs w:val="24"/>
        </w:rPr>
        <w:t xml:space="preserve">Définition · continuum actif/passif · démontage des mythes fondateurs</w:t>
      </w:r>
    </w:p>
    <w:p>
      <w:pPr>
        <w:spacing w:after="60" w:before="60"/>
        <w:jc w:val="center"/>
      </w:pPr>
      <w:r>
        <w:rPr>
          <w:rFonts w:ascii="Times New Roman" w:cs="Times New Roman" w:eastAsia="Times New Roman" w:hAnsi="Times New Roman"/>
          <w:color w:val="1F2937"/>
          <w:sz w:val="22"/>
          <w:szCs w:val="22"/>
        </w:rPr>
        <w:t xml:space="preserve">Date : 26 juillet 2026  |  Leçon 01 / 10</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Cadre déontologique</w:t>
      </w:r>
    </w:p>
    <w:p>
      <w:pPr>
        <w:pBdr>
          <w:left w:val="single" w:color="D97706" w:sz="12"/>
        </w:pBdr>
        <w:shd w:fill="FFF4E5" w:val="clear"/>
        <w:spacing w:after="100" w:before="100"/>
        <w:ind w:left="288"/>
      </w:pPr>
      <w:r>
        <w:rPr>
          <w:rFonts w:ascii="Times New Roman" w:cs="Times New Roman" w:eastAsia="Times New Roman" w:hAnsi="Times New Roman"/>
          <w:color w:val="1F2937"/>
          <w:sz w:val="22"/>
          <w:szCs w:val="22"/>
        </w:rPr>
        <w:t xml:space="preserve">Ces leçons sont </w:t>
      </w:r>
      <w:r>
        <w:rPr>
          <w:rFonts w:ascii="Times New Roman" w:cs="Times New Roman" w:eastAsia="Times New Roman" w:hAnsi="Times New Roman"/>
          <w:b/>
          <w:bCs/>
          <w:color w:val="D97706"/>
          <w:sz w:val="22"/>
          <w:szCs w:val="22"/>
        </w:rPr>
        <w:t xml:space="preserve">éducatives et généralistes</w:t>
      </w:r>
      <w:r>
        <w:rPr>
          <w:rFonts w:ascii="Times New Roman" w:cs="Times New Roman" w:eastAsia="Times New Roman" w:hAnsi="Times New Roman"/>
          <w:color w:val="1F2937"/>
          <w:sz w:val="22"/>
          <w:szCs w:val="22"/>
        </w:rPr>
        <w:t xml:space="preserve">. Elles n'ont </w:t>
      </w:r>
      <w:r>
        <w:rPr>
          <w:rFonts w:ascii="Times New Roman" w:cs="Times New Roman" w:eastAsia="Times New Roman" w:hAnsi="Times New Roman"/>
          <w:b/>
          <w:bCs/>
          <w:color w:val="1F2937"/>
          <w:sz w:val="22"/>
          <w:szCs w:val="22"/>
        </w:rPr>
        <w:t xml:space="preserve">pas valeur de conseil en investissement</w:t>
      </w:r>
      <w:r>
        <w:rPr>
          <w:rFonts w:ascii="Times New Roman" w:cs="Times New Roman" w:eastAsia="Times New Roman" w:hAnsi="Times New Roman"/>
          <w:color w:val="1F2937"/>
          <w:sz w:val="22"/>
          <w:szCs w:val="22"/>
        </w:rPr>
        <w:t xml:space="preserve"> ni de recommandation personnalisée. En France, le conseil en investissement financier est une activité réglementée (statut CIF, registre ORIAS). Ces leçons n'indiquent pas quoi acheter, quand, ni pour quel montant, ni ne promettent un rendement.</w:t>
      </w:r>
    </w:p>
    <w:p>
      <w:pPr>
        <w:pBdr>
          <w:left w:val="single" w:color="D97706" w:sz="12"/>
        </w:pBdr>
        <w:shd w:fill="FFF4E5" w:val="clear"/>
        <w:spacing w:after="100" w:before="100"/>
        <w:ind w:left="288"/>
      </w:pPr>
      <w:r>
        <w:rPr>
          <w:rFonts w:ascii="Times New Roman" w:cs="Times New Roman" w:eastAsia="Times New Roman" w:hAnsi="Times New Roman"/>
          <w:color w:val="1F2937"/>
          <w:sz w:val="22"/>
          <w:szCs w:val="22"/>
        </w:rPr>
        <w:t xml:space="preserve">Le secteur des « revenus passifs » est saturé de promesses trompeuses et d'arnaques. Chaque leçon expose sans complaisance : taux d'échec, travail réel exigé, coûts, fiscalité, signaux d'alerte. Toute décision relève de l'utilisateur, le cas échéant avec un professionnel agréé.</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C'est la première leçon du parcours : pas de leçon précédente à relier, tout commence ici.</w:t>
      </w:r>
    </w:p>
    <w:p>
      <w:r>
        <w:t xml:space="preserve"/>
      </w:r>
    </w:p>
    <w:p>
      <w:pPr>
        <w:spacing w:after="80" w:before="80"/>
      </w:pPr>
      <w:r>
        <w:rPr>
          <w:rFonts w:ascii="Times New Roman" w:cs="Times New Roman" w:eastAsia="Times New Roman" w:hAnsi="Times New Roman"/>
          <w:b/>
          <w:bCs/>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Donner une définition rigoureuse d'un revenu passif et expliquer pourquoi le terme est souvent utilisé de façon trompeuse.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Situer n'importe quel modèle sur le continuum actif/passif grâce à trois critères simples.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mythes fondateurs du secteur et les contre-arguments factuels associés.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Reconnaître les signaux d'alerte d'une arnaque « revenus passifs » avant d'y avoir investi un euro ou une heure.</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Définition de base</w:t>
      </w:r>
    </w:p>
    <w:p>
      <w:pPr>
        <w:spacing w:after="80" w:before="80"/>
      </w:pPr>
      <w:r>
        <w:rPr>
          <w:rFonts w:ascii="Times New Roman" w:cs="Times New Roman" w:eastAsia="Times New Roman" w:hAnsi="Times New Roman"/>
          <w:color w:val="1F2937"/>
          <w:sz w:val="22"/>
          <w:szCs w:val="22"/>
        </w:rPr>
        <w:t xml:space="preserve">Un revenu passif est un flux de trésorerie qui continue d'arriver sans nécessiter de présence active et continue de sa part. L'effort ou le capital a été mobilisé en amont ; le flux en est la conséquence différée.</w:t>
      </w:r>
    </w:p>
    <w:p>
      <w:r>
        <w:t xml:space="preserve"/>
      </w:r>
    </w:p>
    <w:p>
      <w:pPr>
        <w:spacing w:after="80" w:before="80"/>
      </w:pPr>
      <w:r>
        <w:rPr>
          <w:rFonts w:ascii="Times New Roman" w:cs="Times New Roman" w:eastAsia="Times New Roman" w:hAnsi="Times New Roman"/>
          <w:color w:val="1F2937"/>
          <w:sz w:val="22"/>
          <w:szCs w:val="22"/>
        </w:rPr>
        <w:t xml:space="preserve">Cette définition, courante dans la littérature financière et reprise par les organismes officiels, est juste sur le principe — mais elle masque une réalité : aucun revenu n'est passif à 100 %. Tout flux exige, au minimum, une surveillance périodique, une maintenance ou un réinvestissement. Ce point est développé dans la section suivante.</w:t>
      </w:r>
    </w:p>
    <w:p>
      <w:pPr>
        <w:pStyle w:val="Heading3"/>
        <w:spacing w:after="80" w:before="200"/>
      </w:pPr>
      <w:r>
        <w:rPr>
          <w:rFonts w:ascii="Times New Roman" w:cs="Times New Roman" w:eastAsia="Times New Roman" w:hAnsi="Times New Roman"/>
          <w:b/>
          <w:bCs/>
          <w:color w:val="1F2937"/>
          <w:sz w:val="26"/>
          <w:szCs w:val="26"/>
        </w:rPr>
        <w:t xml:space="preserve">2. Le continuum actif → passif</w:t>
      </w:r>
    </w:p>
    <w:p>
      <w:pPr>
        <w:spacing w:after="80" w:before="80"/>
      </w:pPr>
      <w:r>
        <w:rPr>
          <w:rFonts w:ascii="Times New Roman" w:cs="Times New Roman" w:eastAsia="Times New Roman" w:hAnsi="Times New Roman"/>
          <w:color w:val="1F2937"/>
          <w:sz w:val="22"/>
          <w:szCs w:val="22"/>
        </w:rPr>
        <w:t xml:space="preserve">Il n'existe pas deux catégories (actif / passif) mais un spectre continu à trois axes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Axe</w:t>
            </w:r>
          </w:p>
        </w:tc>
        <w:tc>
          <w:tcPr>
            <w:shd w:fill="1B3A6B" w:val="clear"/>
          </w:tcPr>
          <w:p>
            <w:r>
              <w:rPr>
                <w:rFonts w:ascii="Times New Roman" w:cs="Times New Roman" w:eastAsia="Times New Roman" w:hAnsi="Times New Roman"/>
                <w:b/>
                <w:bCs/>
                <w:color w:val="FFFFFF"/>
                <w:sz w:val="20"/>
                <w:szCs w:val="20"/>
              </w:rPr>
              <w:t xml:space="preserve">Revenu 100 % actif</w:t>
            </w:r>
          </w:p>
        </w:tc>
        <w:tc>
          <w:tcPr>
            <w:shd w:fill="1B3A6B" w:val="clear"/>
          </w:tcPr>
          <w:p>
            <w:r>
              <w:rPr>
                <w:rFonts w:ascii="Times New Roman" w:cs="Times New Roman" w:eastAsia="Times New Roman" w:hAnsi="Times New Roman"/>
                <w:b/>
                <w:bCs/>
                <w:color w:val="FFFFFF"/>
                <w:sz w:val="20"/>
                <w:szCs w:val="20"/>
              </w:rPr>
              <w:t xml:space="preserve">Milieu du spectre</w:t>
            </w:r>
          </w:p>
        </w:tc>
        <w:tc>
          <w:tcPr>
            <w:shd w:fill="1B3A6B" w:val="clear"/>
          </w:tcPr>
          <w:p>
            <w:r>
              <w:rPr>
                <w:rFonts w:ascii="Times New Roman" w:cs="Times New Roman" w:eastAsia="Times New Roman" w:hAnsi="Times New Roman"/>
                <w:b/>
                <w:bCs/>
                <w:color w:val="FFFFFF"/>
                <w:sz w:val="20"/>
                <w:szCs w:val="20"/>
              </w:rPr>
              <w:t xml:space="preserve">Revenu dit « passif »</w:t>
            </w:r>
          </w:p>
        </w:tc>
      </w:tr>
      <w:tr>
        <w:tc>
          <w:tcPr>
            <w:shd w:fill="FFFFFF" w:val="clear"/>
          </w:tcPr>
          <w:p>
            <w:r>
              <w:rPr>
                <w:rFonts w:ascii="Times New Roman" w:cs="Times New Roman" w:eastAsia="Times New Roman" w:hAnsi="Times New Roman"/>
                <w:color w:val="1F2937"/>
                <w:sz w:val="20"/>
                <w:szCs w:val="20"/>
              </w:rPr>
              <w:t xml:space="preserve">Capital requis</w:t>
            </w:r>
          </w:p>
        </w:tc>
        <w:tc>
          <w:tcPr>
            <w:shd w:fill="FFFFFF" w:val="clear"/>
          </w:tcPr>
          <w:p>
            <w:r>
              <w:rPr>
                <w:rFonts w:ascii="Times New Roman" w:cs="Times New Roman" w:eastAsia="Times New Roman" w:hAnsi="Times New Roman"/>
                <w:color w:val="1F2937"/>
                <w:sz w:val="20"/>
                <w:szCs w:val="20"/>
              </w:rPr>
              <w:t xml:space="preserve">Nul (revenu = temps)</w:t>
            </w:r>
          </w:p>
        </w:tc>
        <w:tc>
          <w:tcPr>
            <w:shd w:fill="FFFFFF" w:val="clear"/>
          </w:tcPr>
          <w:p>
            <w:r>
              <w:rPr>
                <w:rFonts w:ascii="Times New Roman" w:cs="Times New Roman" w:eastAsia="Times New Roman" w:hAnsi="Times New Roman"/>
                <w:color w:val="1F2937"/>
                <w:sz w:val="20"/>
                <w:szCs w:val="20"/>
              </w:rPr>
              <w:t xml:space="preserve">Capital modéré + temps initial</w:t>
            </w:r>
          </w:p>
        </w:tc>
        <w:tc>
          <w:tcPr>
            <w:shd w:fill="FFFFFF" w:val="clear"/>
          </w:tcPr>
          <w:p>
            <w:r>
              <w:rPr>
                <w:rFonts w:ascii="Times New Roman" w:cs="Times New Roman" w:eastAsia="Times New Roman" w:hAnsi="Times New Roman"/>
                <w:color w:val="1F2937"/>
                <w:sz w:val="20"/>
                <w:szCs w:val="20"/>
              </w:rPr>
              <w:t xml:space="preserve">Capital élevé ou actif construit</w:t>
            </w:r>
          </w:p>
        </w:tc>
      </w:tr>
      <w:tr>
        <w:tc>
          <w:tcPr>
            <w:shd w:fill="EEF2F7" w:val="clear"/>
          </w:tcPr>
          <w:p>
            <w:r>
              <w:rPr>
                <w:rFonts w:ascii="Times New Roman" w:cs="Times New Roman" w:eastAsia="Times New Roman" w:hAnsi="Times New Roman"/>
                <w:color w:val="1F2937"/>
                <w:sz w:val="20"/>
                <w:szCs w:val="20"/>
              </w:rPr>
              <w:t xml:space="preserve">Effort continu</w:t>
            </w:r>
          </w:p>
        </w:tc>
        <w:tc>
          <w:tcPr>
            <w:shd w:fill="EEF2F7" w:val="clear"/>
          </w:tcPr>
          <w:p>
            <w:r>
              <w:rPr>
                <w:rFonts w:ascii="Times New Roman" w:cs="Times New Roman" w:eastAsia="Times New Roman" w:hAnsi="Times New Roman"/>
                <w:color w:val="1F2937"/>
                <w:sz w:val="20"/>
                <w:szCs w:val="20"/>
              </w:rPr>
              <w:t xml:space="preserve">Maximal (heure → €)</w:t>
            </w:r>
          </w:p>
        </w:tc>
        <w:tc>
          <w:tcPr>
            <w:shd w:fill="EEF2F7" w:val="clear"/>
          </w:tcPr>
          <w:p>
            <w:r>
              <w:rPr>
                <w:rFonts w:ascii="Times New Roman" w:cs="Times New Roman" w:eastAsia="Times New Roman" w:hAnsi="Times New Roman"/>
                <w:color w:val="1F2937"/>
                <w:sz w:val="20"/>
                <w:szCs w:val="20"/>
              </w:rPr>
              <w:t xml:space="preserve">Décroissant après phase de lancement</w:t>
            </w:r>
          </w:p>
        </w:tc>
        <w:tc>
          <w:tcPr>
            <w:shd w:fill="EEF2F7" w:val="clear"/>
          </w:tcPr>
          <w:p>
            <w:r>
              <w:rPr>
                <w:rFonts w:ascii="Times New Roman" w:cs="Times New Roman" w:eastAsia="Times New Roman" w:hAnsi="Times New Roman"/>
                <w:color w:val="1F2937"/>
                <w:sz w:val="20"/>
                <w:szCs w:val="20"/>
              </w:rPr>
              <w:t xml:space="preserve">Minimal en régime de croisière</w:t>
            </w:r>
          </w:p>
        </w:tc>
      </w:tr>
      <w:tr>
        <w:tc>
          <w:tcPr>
            <w:shd w:fill="FFFFFF" w:val="clear"/>
          </w:tcPr>
          <w:p>
            <w:r>
              <w:rPr>
                <w:rFonts w:ascii="Times New Roman" w:cs="Times New Roman" w:eastAsia="Times New Roman" w:hAnsi="Times New Roman"/>
                <w:color w:val="1F2937"/>
                <w:sz w:val="20"/>
                <w:szCs w:val="20"/>
              </w:rPr>
              <w:t xml:space="preserve">Maintenance</w:t>
            </w:r>
          </w:p>
        </w:tc>
        <w:tc>
          <w:tcPr>
            <w:shd w:fill="FFFFFF" w:val="clear"/>
          </w:tcPr>
          <w:p>
            <w:r>
              <w:rPr>
                <w:rFonts w:ascii="Times New Roman" w:cs="Times New Roman" w:eastAsia="Times New Roman" w:hAnsi="Times New Roman"/>
                <w:color w:val="1F2937"/>
                <w:sz w:val="20"/>
                <w:szCs w:val="20"/>
              </w:rPr>
              <w:t xml:space="preserve">Permanente</w:t>
            </w:r>
          </w:p>
        </w:tc>
        <w:tc>
          <w:tcPr>
            <w:shd w:fill="FFFFFF" w:val="clear"/>
          </w:tcPr>
          <w:p>
            <w:r>
              <w:rPr>
                <w:rFonts w:ascii="Times New Roman" w:cs="Times New Roman" w:eastAsia="Times New Roman" w:hAnsi="Times New Roman"/>
                <w:color w:val="1F2937"/>
                <w:sz w:val="20"/>
                <w:szCs w:val="20"/>
              </w:rPr>
              <w:t xml:space="preserve">Périodique (hebdo/mensuel)</w:t>
            </w:r>
          </w:p>
        </w:tc>
        <w:tc>
          <w:tcPr>
            <w:shd w:fill="FFFFFF" w:val="clear"/>
          </w:tcPr>
          <w:p>
            <w:r>
              <w:rPr>
                <w:rFonts w:ascii="Times New Roman" w:cs="Times New Roman" w:eastAsia="Times New Roman" w:hAnsi="Times New Roman"/>
                <w:color w:val="1F2937"/>
                <w:sz w:val="20"/>
                <w:szCs w:val="20"/>
              </w:rPr>
              <w:t xml:space="preserve">Ponctuelle (annuel, surveillance)</w:t>
            </w:r>
          </w:p>
        </w:tc>
      </w:tr>
      <w:tr>
        <w:tc>
          <w:tcPr>
            <w:shd w:fill="EEF2F7" w:val="clear"/>
          </w:tcPr>
          <w:p>
            <w:r>
              <w:rPr>
                <w:rFonts w:ascii="Times New Roman" w:cs="Times New Roman" w:eastAsia="Times New Roman" w:hAnsi="Times New Roman"/>
                <w:color w:val="1F2937"/>
                <w:sz w:val="20"/>
                <w:szCs w:val="20"/>
              </w:rPr>
              <w:t xml:space="preserve">Exemples typiques</w:t>
            </w:r>
          </w:p>
        </w:tc>
        <w:tc>
          <w:tcPr>
            <w:shd w:fill="EEF2F7" w:val="clear"/>
          </w:tcPr>
          <w:p>
            <w:r>
              <w:rPr>
                <w:rFonts w:ascii="Times New Roman" w:cs="Times New Roman" w:eastAsia="Times New Roman" w:hAnsi="Times New Roman"/>
                <w:color w:val="1F2937"/>
                <w:sz w:val="20"/>
                <w:szCs w:val="20"/>
              </w:rPr>
              <w:t xml:space="preserve">Salaire, freelance, consulting</w:t>
            </w:r>
          </w:p>
        </w:tc>
        <w:tc>
          <w:tcPr>
            <w:shd w:fill="EEF2F7" w:val="clear"/>
          </w:tcPr>
          <w:p>
            <w:r>
              <w:rPr>
                <w:rFonts w:ascii="Times New Roman" w:cs="Times New Roman" w:eastAsia="Times New Roman" w:hAnsi="Times New Roman"/>
                <w:color w:val="1F2937"/>
                <w:sz w:val="20"/>
                <w:szCs w:val="20"/>
              </w:rPr>
              <w:t xml:space="preserve">Cours en ligne, affiliation, SCPI</w:t>
            </w:r>
          </w:p>
        </w:tc>
        <w:tc>
          <w:tcPr>
            <w:shd w:fill="EEF2F7" w:val="clear"/>
          </w:tcPr>
          <w:p>
            <w:r>
              <w:rPr>
                <w:rFonts w:ascii="Times New Roman" w:cs="Times New Roman" w:eastAsia="Times New Roman" w:hAnsi="Times New Roman"/>
                <w:color w:val="1F2937"/>
                <w:sz w:val="20"/>
                <w:szCs w:val="20"/>
              </w:rPr>
              <w:t xml:space="preserve">Dividendes d'actions, obligations</w:t>
            </w:r>
          </w:p>
        </w:tc>
      </w:tr>
    </w:tbl>
    <w:p>
      <w:r>
        <w:t xml:space="preserve"/>
      </w:r>
    </w:p>
    <w:p>
      <w:pPr>
        <w:spacing w:after="80" w:before="80"/>
      </w:pPr>
      <w:r>
        <w:rPr>
          <w:rFonts w:ascii="Times New Roman" w:cs="Times New Roman" w:eastAsia="Times New Roman" w:hAnsi="Times New Roman"/>
          <w:color w:val="1F2937"/>
          <w:sz w:val="22"/>
          <w:szCs w:val="22"/>
        </w:rPr>
        <w:t xml:space="preserve">Un même modèle peut changer de position sur ce spectre selon sa phase de vie : la première année d'un blog monétisé est très active ; la troisième peut devenir semi-passive si la base de contenu est robuste.</w:t>
      </w:r>
    </w:p>
    <w:p>
      <w:pPr>
        <w:pStyle w:val="Heading3"/>
        <w:spacing w:after="80" w:before="200"/>
      </w:pPr>
      <w:r>
        <w:rPr>
          <w:rFonts w:ascii="Times New Roman" w:cs="Times New Roman" w:eastAsia="Times New Roman" w:hAnsi="Times New Roman"/>
          <w:b/>
          <w:bCs/>
          <w:color w:val="1F2937"/>
          <w:sz w:val="26"/>
          <w:szCs w:val="26"/>
        </w:rPr>
        <w:t xml:space="preserve">3. Les trois intrants fondamentaux</w:t>
      </w:r>
    </w:p>
    <w:p>
      <w:pPr>
        <w:spacing w:after="80" w:before="80"/>
      </w:pPr>
      <w:r>
        <w:rPr>
          <w:rFonts w:ascii="Times New Roman" w:cs="Times New Roman" w:eastAsia="Times New Roman" w:hAnsi="Times New Roman"/>
          <w:color w:val="1F2937"/>
          <w:sz w:val="22"/>
          <w:szCs w:val="22"/>
        </w:rPr>
        <w:t xml:space="preserve">Tout revenu « passif » mobilise au moins un de ces trois intrants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financier : argent placé en actions, obligations, immobilier, etc.</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temps : heures investies pour créer un actif (formation enregistrée, ebook, logiciel, portefeuille de contenu).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compétence : savoir-faire rare qui rend l'actif créé difficile à reproduire et donc défendable.</w:t>
      </w:r>
    </w:p>
    <w:p>
      <w:r>
        <w:t xml:space="preserve"/>
      </w:r>
    </w:p>
    <w:p>
      <w:pPr>
        <w:spacing w:after="80" w:before="80"/>
      </w:pPr>
      <w:r>
        <w:rPr>
          <w:rFonts w:ascii="Times New Roman" w:cs="Times New Roman" w:eastAsia="Times New Roman" w:hAnsi="Times New Roman"/>
          <w:color w:val="1F2937"/>
          <w:sz w:val="22"/>
          <w:szCs w:val="22"/>
        </w:rPr>
        <w:t xml:space="preserve">La règle pratique : plus on est pauvre en capital financier, plus il faut investir du temps ET de la compétence. Il n'existe pas de contournement de cette équation de base.</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Ancrage réaliste</w:t>
      </w:r>
    </w:p>
    <w:p>
      <w:pPr>
        <w:pBdr>
          <w:left w:val="single" w:color="D97706" w:sz="12"/>
        </w:pBdr>
        <w:shd w:fill="FFF4E5" w:val="clear"/>
        <w:spacing w:after="100" w:before="100"/>
        <w:ind w:left="288"/>
      </w:pPr>
      <w:r>
        <w:rPr>
          <w:rFonts w:ascii="Times New Roman" w:cs="Times New Roman" w:eastAsia="Times New Roman" w:hAnsi="Times New Roman"/>
          <w:b/>
          <w:bCs/>
          <w:color w:val="D97706"/>
          <w:sz w:val="22"/>
          <w:szCs w:val="22"/>
        </w:rPr>
        <w:t xml:space="preserve">⚠️ Section obligatoire — Taux d'échec, travail réel, coûts, signaux d'arnaque</w:t>
      </w:r>
    </w:p>
    <w:p>
      <w:pPr>
        <w:pStyle w:val="Heading3"/>
        <w:spacing w:after="80" w:before="200"/>
      </w:pPr>
      <w:r>
        <w:rPr>
          <w:rFonts w:ascii="Times New Roman" w:cs="Times New Roman" w:eastAsia="Times New Roman" w:hAnsi="Times New Roman"/>
          <w:b/>
          <w:bCs/>
          <w:color w:val="1F2937"/>
          <w:sz w:val="26"/>
          <w:szCs w:val="26"/>
        </w:rPr>
        <w:t xml:space="preserve">Données chiffrées disponibles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67 % des personnes qui se lancent dans une stratégie de « revenus passifs » n'atteignent jamais de revenus significatifs — elles abandonnent avant (source : Bankrate 2024, cité dans plusieurs comparatifs de recherche ; donnée à considérer avec prudence car l'étude originale n'était pas directement accessible au moment de la rédaction — synthèse, non citation directe).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Délai réaliste avant premier euro : 6 à 18 mois pour les modèles reposant sur du contenu ou de l'affiliation ; plusieurs années pour les placements financiers avec un capital de départ limité. Donnée issue de la littérature sectorielle générale — aucun chiffre officiel sourcé directement pendant cette exécution.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 complémentaire médian en première année pour les créateurs de contenu (ebooks, formations) : souvent inférieur à quelques centaines d'euros par mois, selon les retours d'expérience de la communauté Indie Hackers (</w:t>
      </w:r>
      <w:hyperlink w:history="1" r:id="rIdih2026">
        <w:r>
          <w:rPr>
            <w:rFonts w:ascii="Times New Roman" w:cs="Times New Roman" w:eastAsia="Times New Roman" w:hAnsi="Times New Roman"/>
            <w:sz w:val="22"/>
            <w:szCs w:val="22"/>
            <w:color w:val="1155CC"/>
            <w:u w:val="single"/>
          </w:rPr>
          <w:t xml:space="preserve">indiehackers.com</w:t>
        </w:r>
      </w:hyperlink>
      <w:r>
        <w:rPr>
          <w:rFonts w:ascii="Times New Roman" w:cs="Times New Roman" w:eastAsia="Times New Roman" w:hAnsi="Times New Roman"/>
          <w:color w:val="1F2937"/>
          <w:sz w:val="22"/>
          <w:szCs w:val="22"/>
        </w:rPr>
        <w:t xml:space="preserve">, lien ajouté le 12/09/2026, consultés mais non agrégés en chiffre précis — données non trouvées sous forme statistique exploitable).</w:t>
      </w:r>
    </w:p>
    <w:p>
      <w:r>
        <w:t xml:space="preserve"/>
      </w:r>
    </w:p>
    <w:p>
      <w:pPr>
        <w:spacing w:after="80" w:before="80"/>
      </w:pPr>
      <w:r>
        <w:rPr>
          <w:rFonts w:ascii="Times New Roman" w:cs="Times New Roman" w:eastAsia="Times New Roman" w:hAnsi="Times New Roman"/>
          <w:color w:val="1F2937"/>
          <w:sz w:val="22"/>
          <w:szCs w:val="22"/>
        </w:rPr>
        <w:t xml:space="preserve">⚠️ Note de transparence : les chiffres ci-dessus sont des ordres de grandeur issus de sources généralistes consultées. Aucune étude officielle française chiffrée précisément sur le taux d'échec des « revenus passifs » n'a été trouvée pendant cette exécution. À traiter comme indicateurs contextuels, non comme données scientifiques.</w:t>
      </w:r>
    </w:p>
    <w:p>
      <w:pPr>
        <w:pStyle w:val="Heading3"/>
        <w:spacing w:after="80" w:before="200"/>
      </w:pPr>
      <w:r>
        <w:rPr>
          <w:rFonts w:ascii="Times New Roman" w:cs="Times New Roman" w:eastAsia="Times New Roman" w:hAnsi="Times New Roman"/>
          <w:b/>
          <w:bCs/>
          <w:color w:val="1F2937"/>
          <w:sz w:val="26"/>
          <w:szCs w:val="26"/>
        </w:rPr>
        <w:t xml:space="preserve">Mises en garde officielles de l'AMF</w:t>
      </w:r>
    </w:p>
    <w:p>
      <w:pPr>
        <w:pBdr>
          <w:left w:val="single" w:color="1B3A6B" w:sz="12"/>
        </w:pBdr>
        <w:shd w:fill="EEF2F7" w:val="clear"/>
        <w:spacing w:after="100" w:before="100"/>
        <w:ind w:left="431"/>
      </w:pPr>
      <w:r>
        <w:rPr>
          <w:rFonts w:ascii="Times New Roman" w:cs="Times New Roman" w:eastAsia="Times New Roman" w:hAnsi="Times New Roman"/>
          <w:i/>
          <w:iCs/>
          <w:color w:val="1F2937"/>
          <w:sz w:val="22"/>
          <w:szCs w:val="22"/>
        </w:rPr>
        <w:t xml:space="preserve">L'AMF (Autorité des Marchés Financiers) est l'autorité française de régulation des marchés. Elle tient à jour une liste noire des acteurs non autorisés et publie des alertes régulières sur les arnaques ciblant les particuliers (</w:t>
      </w:r>
      <w:hyperlink w:history="1" r:id="rIddgs-28eseub9jibt4pjdr">
        <w:r>
          <w:rPr>
            <w:rFonts w:ascii="Times New Roman" w:cs="Times New Roman" w:eastAsia="Times New Roman" w:hAnsi="Times New Roman"/>
            <w:color w:val="1155CC"/>
            <w:sz w:val="22"/>
            <w:szCs w:val="22"/>
            <w:u w:val="single"/>
          </w:rPr>
          <w:t xml:space="preserve">amf-france.org — Espace Épargnants</w:t>
        </w:r>
      </w:hyperlink>
      <w:r>
        <w:rPr>
          <w:rFonts w:ascii="Times New Roman" w:cs="Times New Roman" w:eastAsia="Times New Roman" w:hAnsi="Times New Roman"/>
          <w:i/>
          <w:iCs/>
          <w:color w:val="1F2937"/>
          <w:sz w:val="22"/>
          <w:szCs w:val="22"/>
        </w:rPr>
        <w:t xml:space="preserve">).</w:t>
      </w:r>
    </w:p>
    <w:p>
      <w:pPr>
        <w:spacing w:after="80" w:before="80"/>
      </w:pPr>
      <w:r>
        <w:rPr>
          <w:rFonts w:ascii="Times New Roman" w:cs="Times New Roman" w:eastAsia="Times New Roman" w:hAnsi="Times New Roman"/>
          <w:color w:val="1F2937"/>
          <w:sz w:val="22"/>
          <w:szCs w:val="22"/>
        </w:rPr>
        <w:t xml:space="preserve">Principaux avertissements publiés par l'AMF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L'AMF met en garde contre les promesses de gains faciles et met à disposition des épargnants ses listes noires d'acteurs non autorisés, ses conseils pour éviter les arnaques et le site AMF Protect Epargne (synthèse de la page Espace Épargnants — non citation littérale ; aucun slogan de campagne n'y est formulé comme tel).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formations au trading Forex et crypto ciblant les jeunes via TikTok et Instagram fonctionnent souvent sur un système pyramidal : le revenu des initiateurs vient de la vente de formations, pas de leurs investissements réels.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Forex implique un risque de perte supérieure au capital investi (effet de levier).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Indicateurs d'arnaque officiellement documentés par l'AMF : promesses de « 10 000 €/mois sans rien faire », photos de luxe (voitures, villas à Dubaï), formations coûteuses dont le profit provient uniquement du recrutement.</w:t>
      </w:r>
    </w:p>
    <w:p>
      <w:pPr>
        <w:pStyle w:val="Heading3"/>
        <w:spacing w:after="80" w:before="200"/>
      </w:pPr>
      <w:r>
        <w:rPr>
          <w:rFonts w:ascii="Times New Roman" w:cs="Times New Roman" w:eastAsia="Times New Roman" w:hAnsi="Times New Roman"/>
          <w:b/>
          <w:bCs/>
          <w:color w:val="1F2937"/>
          <w:sz w:val="26"/>
          <w:szCs w:val="26"/>
        </w:rPr>
        <w:t xml:space="preserve">Fiscalité — Ce que le marketing ne dit jamais</w:t>
      </w:r>
    </w:p>
    <w:p>
      <w:pPr>
        <w:spacing w:after="80" w:before="80"/>
      </w:pPr>
      <w:r>
        <w:rPr>
          <w:rFonts w:ascii="Times New Roman" w:cs="Times New Roman" w:eastAsia="Times New Roman" w:hAnsi="Times New Roman"/>
          <w:color w:val="1F2937"/>
          <w:sz w:val="22"/>
          <w:szCs w:val="22"/>
        </w:rPr>
        <w:t xml:space="preserve">En France, les revenus du capital sont imposés. Le régime standard (Prélèvement Forfaitaire Unique, PFU) est de 31,4 % : 12,8 % d'impôt sur le revenu + 18,6 % de prélèvements sociaux. Cela s'applique aux dividendes, intérêts, plus-values mobilières. ⚠️ Le taux des prélèvements sociaux est passé de 17,2 % à 18,6 % au 1er janvier 2026 (17,2 % ne subsiste que pour certains bons de capitalisation et contrats d'assurance-vie). Un PFU annoncé à 30 % est donc une donnée PÉRIMÉE — elle reste très répandue dans les contenus en ligne : vérifie toujours ce taux à la source.</w:t>
      </w:r>
    </w:p>
    <w:p>
      <w:pPr>
        <w:spacing w:after="80" w:before="80"/>
      </w:pPr>
      <w:r>
        <w:rPr>
          <w:rFonts w:ascii="Times New Roman" w:cs="Times New Roman" w:eastAsia="Times New Roman" w:hAnsi="Times New Roman"/>
          <w:color w:val="1F2937"/>
          <w:sz w:val="22"/>
          <w:szCs w:val="22"/>
        </w:rPr>
        <w:t xml:space="preserve">Les revenus fonciers (location immobilière) sont déclarés à l'IR et soumis aux prélèvements sociaux. Le micro-foncier (abattement forfaitaire de 30 %) s'applique si les revenus bruts n'excèdent pas 15 000 € par an.</w:t>
      </w:r>
    </w:p>
    <w:p>
      <w:pPr>
        <w:spacing w:after="80" w:before="80"/>
      </w:pPr>
      <w:r>
        <w:rPr>
          <w:rFonts w:ascii="Times New Roman" w:cs="Times New Roman" w:eastAsia="Times New Roman" w:hAnsi="Times New Roman"/>
          <w:color w:val="1F2937"/>
          <w:sz w:val="22"/>
          <w:szCs w:val="22"/>
        </w:rPr>
        <w:t xml:space="preserve">Source : impots.gouv.fr, qui indique un prélèvement obligatoire de 31,4 % au total, soit 12,8 % au titre de l'impôt sur le revenu et 18,6 % au titre des prélèvements sociaux (page vérifiée le 26/07/2026). Les taux et seuils évoluent — toujours vérifier sur impots.gouv.fr avant toute décision. [Correction du 26/07/2026 : la version initiale de cette leçon indiquait 30 % (12,8 + 17,2 %), taux antérieur au 1er janvier 2026.]</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Situer 5 modèles sur le continuum</w:t>
      </w:r>
    </w:p>
    <w:p>
      <w:pPr>
        <w:spacing w:after="80" w:before="80"/>
      </w:pPr>
      <w:r>
        <w:rPr>
          <w:rFonts w:ascii="Times New Roman" w:cs="Times New Roman" w:eastAsia="Times New Roman" w:hAnsi="Times New Roman"/>
          <w:color w:val="1F2937"/>
          <w:sz w:val="22"/>
          <w:szCs w:val="22"/>
        </w:rPr>
        <w:t xml:space="preserve">Objectif : apprendre à placer concrètement des modèles sur le spectre actif/passif.</w:t>
      </w:r>
    </w:p>
    <w:p>
      <w:r>
        <w:t xml:space="preserve"/>
      </w:r>
    </w:p>
    <w:p>
      <w:pPr>
        <w:spacing w:after="80" w:before="80"/>
      </w:pPr>
      <w:r>
        <w:rPr>
          <w:rFonts w:ascii="Times New Roman" w:cs="Times New Roman" w:eastAsia="Times New Roman" w:hAnsi="Times New Roman"/>
          <w:color w:val="1F2937"/>
          <w:sz w:val="22"/>
          <w:szCs w:val="22"/>
        </w:rPr>
        <w:t xml:space="preserve">Pour chacun des 5 modèles ci-dessous, estime et note dans un tableau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financier requis pour démarrer (€, ordre de grandeur)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Heures de travail initial estimées (phase de lancement)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Heures de maintenance mensuelle une fois en régime de croisière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Position sur le continuum : ACTIF / SEMI-PASSIF / PASSIF</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Modèle</w:t>
            </w:r>
          </w:p>
        </w:tc>
        <w:tc>
          <w:tcPr>
            <w:shd w:fill="1B3A6B" w:val="clear"/>
          </w:tcPr>
          <w:p>
            <w:r>
              <w:rPr>
                <w:rFonts w:ascii="Times New Roman" w:cs="Times New Roman" w:eastAsia="Times New Roman" w:hAnsi="Times New Roman"/>
                <w:b/>
                <w:bCs/>
                <w:color w:val="FFFFFF"/>
                <w:sz w:val="20"/>
                <w:szCs w:val="20"/>
              </w:rPr>
              <w:t xml:space="preserve">Capital (€)</w:t>
            </w:r>
          </w:p>
        </w:tc>
        <w:tc>
          <w:tcPr>
            <w:shd w:fill="1B3A6B" w:val="clear"/>
          </w:tcPr>
          <w:p>
            <w:r>
              <w:rPr>
                <w:rFonts w:ascii="Times New Roman" w:cs="Times New Roman" w:eastAsia="Times New Roman" w:hAnsi="Times New Roman"/>
                <w:b/>
                <w:bCs/>
                <w:color w:val="FFFFFF"/>
                <w:sz w:val="20"/>
                <w:szCs w:val="20"/>
              </w:rPr>
              <w:t xml:space="preserve">H. initiales</w:t>
            </w:r>
          </w:p>
        </w:tc>
        <w:tc>
          <w:tcPr>
            <w:shd w:fill="1B3A6B" w:val="clear"/>
          </w:tcPr>
          <w:p>
            <w:r>
              <w:rPr>
                <w:rFonts w:ascii="Times New Roman" w:cs="Times New Roman" w:eastAsia="Times New Roman" w:hAnsi="Times New Roman"/>
                <w:b/>
                <w:bCs/>
                <w:color w:val="FFFFFF"/>
                <w:sz w:val="20"/>
                <w:szCs w:val="20"/>
              </w:rPr>
              <w:t xml:space="preserve">H./mois en croisière</w:t>
            </w:r>
          </w:p>
        </w:tc>
        <w:tc>
          <w:tcPr>
            <w:shd w:fill="1B3A6B" w:val="clear"/>
          </w:tcPr>
          <w:p>
            <w:r>
              <w:rPr>
                <w:rFonts w:ascii="Times New Roman" w:cs="Times New Roman" w:eastAsia="Times New Roman" w:hAnsi="Times New Roman"/>
                <w:b/>
                <w:bCs/>
                <w:color w:val="FFFFFF"/>
                <w:sz w:val="20"/>
                <w:szCs w:val="20"/>
              </w:rPr>
              <w:t xml:space="preserve">Position</w:t>
            </w:r>
          </w:p>
        </w:tc>
      </w:tr>
      <w:tr>
        <w:tc>
          <w:tcPr>
            <w:shd w:fill="FFFFFF" w:val="clear"/>
          </w:tcPr>
          <w:p>
            <w:r>
              <w:rPr>
                <w:rFonts w:ascii="Times New Roman" w:cs="Times New Roman" w:eastAsia="Times New Roman" w:hAnsi="Times New Roman"/>
                <w:color w:val="1F2937"/>
                <w:sz w:val="20"/>
                <w:szCs w:val="20"/>
              </w:rPr>
              <w:t xml:space="preserve">Compte d'épargne livret A</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Ebook vendu sur Amazon KDP</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Affiliation sur un blog</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Appartement en location</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Chaîne YouTube monétisée</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bl>
    <w:p>
      <w:r>
        <w:t xml:space="preserve"/>
      </w:r>
    </w:p>
    <w:p>
      <w:pPr>
        <w:spacing w:after="80" w:before="80"/>
      </w:pPr>
      <w:r>
        <w:rPr>
          <w:rFonts w:ascii="Times New Roman" w:cs="Times New Roman" w:eastAsia="Times New Roman" w:hAnsi="Times New Roman"/>
          <w:b/>
          <w:bCs/>
          <w:color w:val="1F2937"/>
          <w:sz w:val="22"/>
          <w:szCs w:val="22"/>
        </w:rPr>
        <w:t xml:space="preserve">Corrigé indicatif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Modèle</w:t>
            </w:r>
          </w:p>
        </w:tc>
        <w:tc>
          <w:tcPr>
            <w:shd w:fill="1B3A6B" w:val="clear"/>
          </w:tcPr>
          <w:p>
            <w:r>
              <w:rPr>
                <w:rFonts w:ascii="Times New Roman" w:cs="Times New Roman" w:eastAsia="Times New Roman" w:hAnsi="Times New Roman"/>
                <w:b/>
                <w:bCs/>
                <w:color w:val="FFFFFF"/>
                <w:sz w:val="20"/>
                <w:szCs w:val="20"/>
              </w:rPr>
              <w:t xml:space="preserve">Capital (€)</w:t>
            </w:r>
          </w:p>
        </w:tc>
        <w:tc>
          <w:tcPr>
            <w:shd w:fill="1B3A6B" w:val="clear"/>
          </w:tcPr>
          <w:p>
            <w:r>
              <w:rPr>
                <w:rFonts w:ascii="Times New Roman" w:cs="Times New Roman" w:eastAsia="Times New Roman" w:hAnsi="Times New Roman"/>
                <w:b/>
                <w:bCs/>
                <w:color w:val="FFFFFF"/>
                <w:sz w:val="20"/>
                <w:szCs w:val="20"/>
              </w:rPr>
              <w:t xml:space="preserve">H. initiales</w:t>
            </w:r>
          </w:p>
        </w:tc>
        <w:tc>
          <w:tcPr>
            <w:shd w:fill="1B3A6B" w:val="clear"/>
          </w:tcPr>
          <w:p>
            <w:r>
              <w:rPr>
                <w:rFonts w:ascii="Times New Roman" w:cs="Times New Roman" w:eastAsia="Times New Roman" w:hAnsi="Times New Roman"/>
                <w:b/>
                <w:bCs/>
                <w:color w:val="FFFFFF"/>
                <w:sz w:val="20"/>
                <w:szCs w:val="20"/>
              </w:rPr>
              <w:t xml:space="preserve">H./mois croisière</w:t>
            </w:r>
          </w:p>
        </w:tc>
        <w:tc>
          <w:tcPr>
            <w:shd w:fill="1B3A6B" w:val="clear"/>
          </w:tcPr>
          <w:p>
            <w:r>
              <w:rPr>
                <w:rFonts w:ascii="Times New Roman" w:cs="Times New Roman" w:eastAsia="Times New Roman" w:hAnsi="Times New Roman"/>
                <w:b/>
                <w:bCs/>
                <w:color w:val="FFFFFF"/>
                <w:sz w:val="20"/>
                <w:szCs w:val="20"/>
              </w:rPr>
              <w:t xml:space="preserve">Position</w:t>
            </w:r>
          </w:p>
        </w:tc>
      </w:tr>
      <w:tr>
        <w:tc>
          <w:tcPr>
            <w:shd w:fill="FFFFFF" w:val="clear"/>
          </w:tcPr>
          <w:p>
            <w:r>
              <w:rPr>
                <w:rFonts w:ascii="Times New Roman" w:cs="Times New Roman" w:eastAsia="Times New Roman" w:hAnsi="Times New Roman"/>
                <w:color w:val="1F2937"/>
                <w:sz w:val="20"/>
                <w:szCs w:val="20"/>
              </w:rPr>
              <w:t xml:space="preserve">Livret A</w:t>
            </w:r>
          </w:p>
        </w:tc>
        <w:tc>
          <w:tcPr>
            <w:shd w:fill="FFFFFF" w:val="clear"/>
          </w:tcPr>
          <w:p>
            <w:r>
              <w:rPr>
                <w:rFonts w:ascii="Times New Roman" w:cs="Times New Roman" w:eastAsia="Times New Roman" w:hAnsi="Times New Roman"/>
                <w:color w:val="1F2937"/>
                <w:sz w:val="20"/>
                <w:szCs w:val="20"/>
              </w:rPr>
              <w:t xml:space="preserve">Tout montant</w:t>
            </w:r>
          </w:p>
        </w:tc>
        <w:tc>
          <w:tcPr>
            <w:shd w:fill="FFFFFF" w:val="clear"/>
          </w:tcPr>
          <w:p>
            <w:r>
              <w:rPr>
                <w:rFonts w:ascii="Times New Roman" w:cs="Times New Roman" w:eastAsia="Times New Roman" w:hAnsi="Times New Roman"/>
                <w:color w:val="1F2937"/>
                <w:sz w:val="20"/>
                <w:szCs w:val="20"/>
              </w:rPr>
              <w:t xml:space="preserve">&lt; 1h (ouverture)</w:t>
            </w:r>
          </w:p>
        </w:tc>
        <w:tc>
          <w:tcPr>
            <w:shd w:fill="FFFFFF" w:val="clear"/>
          </w:tcPr>
          <w:p>
            <w:r>
              <w:rPr>
                <w:rFonts w:ascii="Times New Roman" w:cs="Times New Roman" w:eastAsia="Times New Roman" w:hAnsi="Times New Roman"/>
                <w:color w:val="1F2937"/>
                <w:sz w:val="20"/>
                <w:szCs w:val="20"/>
              </w:rPr>
              <w:t xml:space="preserve">&lt; 1h (consulter)</w:t>
            </w:r>
          </w:p>
        </w:tc>
        <w:tc>
          <w:tcPr>
            <w:shd w:fill="FFFFFF" w:val="clear"/>
          </w:tcPr>
          <w:p>
            <w:r>
              <w:rPr>
                <w:rFonts w:ascii="Times New Roman" w:cs="Times New Roman" w:eastAsia="Times New Roman" w:hAnsi="Times New Roman"/>
                <w:color w:val="1F2937"/>
                <w:sz w:val="20"/>
                <w:szCs w:val="20"/>
              </w:rPr>
              <w:t xml:space="preserve">PASSIF</w:t>
            </w:r>
          </w:p>
        </w:tc>
      </w:tr>
      <w:tr>
        <w:tc>
          <w:tcPr>
            <w:shd w:fill="EEF2F7" w:val="clear"/>
          </w:tcPr>
          <w:p>
            <w:r>
              <w:rPr>
                <w:rFonts w:ascii="Times New Roman" w:cs="Times New Roman" w:eastAsia="Times New Roman" w:hAnsi="Times New Roman"/>
                <w:color w:val="1F2937"/>
                <w:sz w:val="20"/>
                <w:szCs w:val="20"/>
              </w:rPr>
              <w:t xml:space="preserve">Ebook Amazon KDP</w:t>
            </w:r>
          </w:p>
        </w:tc>
        <w:tc>
          <w:tcPr>
            <w:shd w:fill="EEF2F7" w:val="clear"/>
          </w:tcPr>
          <w:p>
            <w:r>
              <w:rPr>
                <w:rFonts w:ascii="Times New Roman" w:cs="Times New Roman" w:eastAsia="Times New Roman" w:hAnsi="Times New Roman"/>
                <w:color w:val="1F2937"/>
                <w:sz w:val="20"/>
                <w:szCs w:val="20"/>
              </w:rPr>
              <w:t xml:space="preserve">Quasi nul</w:t>
            </w:r>
          </w:p>
        </w:tc>
        <w:tc>
          <w:tcPr>
            <w:shd w:fill="EEF2F7" w:val="clear"/>
          </w:tcPr>
          <w:p>
            <w:r>
              <w:rPr>
                <w:rFonts w:ascii="Times New Roman" w:cs="Times New Roman" w:eastAsia="Times New Roman" w:hAnsi="Times New Roman"/>
                <w:color w:val="1F2937"/>
                <w:sz w:val="20"/>
                <w:szCs w:val="20"/>
              </w:rPr>
              <w:t xml:space="preserve">80–200h (écriture, mise en page, couverture)</w:t>
            </w:r>
          </w:p>
        </w:tc>
        <w:tc>
          <w:tcPr>
            <w:shd w:fill="EEF2F7" w:val="clear"/>
          </w:tcPr>
          <w:p>
            <w:r>
              <w:rPr>
                <w:rFonts w:ascii="Times New Roman" w:cs="Times New Roman" w:eastAsia="Times New Roman" w:hAnsi="Times New Roman"/>
                <w:color w:val="1F2937"/>
                <w:sz w:val="20"/>
                <w:szCs w:val="20"/>
              </w:rPr>
              <w:t xml:space="preserve">2–5h (marketing, MAJ)</w:t>
            </w:r>
          </w:p>
        </w:tc>
        <w:tc>
          <w:tcPr>
            <w:shd w:fill="EEF2F7" w:val="clear"/>
          </w:tcPr>
          <w:p>
            <w:r>
              <w:rPr>
                <w:rFonts w:ascii="Times New Roman" w:cs="Times New Roman" w:eastAsia="Times New Roman" w:hAnsi="Times New Roman"/>
                <w:color w:val="1F2937"/>
                <w:sz w:val="20"/>
                <w:szCs w:val="20"/>
              </w:rPr>
              <w:t xml:space="preserve">SEMI-PASSIF</w:t>
            </w:r>
          </w:p>
        </w:tc>
      </w:tr>
      <w:tr>
        <w:tc>
          <w:tcPr>
            <w:shd w:fill="FFFFFF" w:val="clear"/>
          </w:tcPr>
          <w:p>
            <w:r>
              <w:rPr>
                <w:rFonts w:ascii="Times New Roman" w:cs="Times New Roman" w:eastAsia="Times New Roman" w:hAnsi="Times New Roman"/>
                <w:color w:val="1F2937"/>
                <w:sz w:val="20"/>
                <w:szCs w:val="20"/>
              </w:rPr>
              <w:t xml:space="preserve">Affiliation / blog</w:t>
            </w:r>
          </w:p>
        </w:tc>
        <w:tc>
          <w:tcPr>
            <w:shd w:fill="FFFFFF" w:val="clear"/>
          </w:tcPr>
          <w:p>
            <w:r>
              <w:rPr>
                <w:rFonts w:ascii="Times New Roman" w:cs="Times New Roman" w:eastAsia="Times New Roman" w:hAnsi="Times New Roman"/>
                <w:color w:val="1F2937"/>
                <w:sz w:val="20"/>
                <w:szCs w:val="20"/>
              </w:rPr>
              <w:t xml:space="preserve">Quasi nul</w:t>
            </w:r>
          </w:p>
        </w:tc>
        <w:tc>
          <w:tcPr>
            <w:shd w:fill="FFFFFF" w:val="clear"/>
          </w:tcPr>
          <w:p>
            <w:r>
              <w:rPr>
                <w:rFonts w:ascii="Times New Roman" w:cs="Times New Roman" w:eastAsia="Times New Roman" w:hAnsi="Times New Roman"/>
                <w:color w:val="1F2937"/>
                <w:sz w:val="20"/>
                <w:szCs w:val="20"/>
              </w:rPr>
              <w:t xml:space="preserve">100–500h (contenu SEO)</w:t>
            </w:r>
          </w:p>
        </w:tc>
        <w:tc>
          <w:tcPr>
            <w:shd w:fill="FFFFFF" w:val="clear"/>
          </w:tcPr>
          <w:p>
            <w:r>
              <w:rPr>
                <w:rFonts w:ascii="Times New Roman" w:cs="Times New Roman" w:eastAsia="Times New Roman" w:hAnsi="Times New Roman"/>
                <w:color w:val="1F2937"/>
                <w:sz w:val="20"/>
                <w:szCs w:val="20"/>
              </w:rPr>
              <w:t xml:space="preserve">5–20h (mise à jour, analyse)</w:t>
            </w:r>
          </w:p>
        </w:tc>
        <w:tc>
          <w:tcPr>
            <w:shd w:fill="FFFFFF" w:val="clear"/>
          </w:tcPr>
          <w:p>
            <w:r>
              <w:rPr>
                <w:rFonts w:ascii="Times New Roman" w:cs="Times New Roman" w:eastAsia="Times New Roman" w:hAnsi="Times New Roman"/>
                <w:color w:val="1F2937"/>
                <w:sz w:val="20"/>
                <w:szCs w:val="20"/>
              </w:rPr>
              <w:t xml:space="preserve">SEMI-PASSIF</w:t>
            </w:r>
          </w:p>
        </w:tc>
      </w:tr>
      <w:tr>
        <w:tc>
          <w:tcPr>
            <w:shd w:fill="EEF2F7" w:val="clear"/>
          </w:tcPr>
          <w:p>
            <w:r>
              <w:rPr>
                <w:rFonts w:ascii="Times New Roman" w:cs="Times New Roman" w:eastAsia="Times New Roman" w:hAnsi="Times New Roman"/>
                <w:color w:val="1F2937"/>
                <w:sz w:val="20"/>
                <w:szCs w:val="20"/>
              </w:rPr>
              <w:t xml:space="preserve">Appartement location</w:t>
            </w:r>
          </w:p>
        </w:tc>
        <w:tc>
          <w:tcPr>
            <w:shd w:fill="EEF2F7" w:val="clear"/>
          </w:tcPr>
          <w:p>
            <w:r>
              <w:rPr>
                <w:rFonts w:ascii="Times New Roman" w:cs="Times New Roman" w:eastAsia="Times New Roman" w:hAnsi="Times New Roman"/>
                <w:color w:val="1F2937"/>
                <w:sz w:val="20"/>
                <w:szCs w:val="20"/>
              </w:rPr>
              <w:t xml:space="preserve">≥ 50 000 € (apport)</w:t>
            </w:r>
          </w:p>
        </w:tc>
        <w:tc>
          <w:tcPr>
            <w:shd w:fill="EEF2F7" w:val="clear"/>
          </w:tcPr>
          <w:p>
            <w:r>
              <w:rPr>
                <w:rFonts w:ascii="Times New Roman" w:cs="Times New Roman" w:eastAsia="Times New Roman" w:hAnsi="Times New Roman"/>
                <w:color w:val="1F2937"/>
                <w:sz w:val="20"/>
                <w:szCs w:val="20"/>
              </w:rPr>
              <w:t xml:space="preserve">50–100h (acquisition, travaux)</w:t>
            </w:r>
          </w:p>
        </w:tc>
        <w:tc>
          <w:tcPr>
            <w:shd w:fill="EEF2F7" w:val="clear"/>
          </w:tcPr>
          <w:p>
            <w:r>
              <w:rPr>
                <w:rFonts w:ascii="Times New Roman" w:cs="Times New Roman" w:eastAsia="Times New Roman" w:hAnsi="Times New Roman"/>
                <w:color w:val="1F2937"/>
                <w:sz w:val="20"/>
                <w:szCs w:val="20"/>
              </w:rPr>
              <w:t xml:space="preserve">3–10h (gestion locataire)</w:t>
            </w:r>
          </w:p>
        </w:tc>
        <w:tc>
          <w:tcPr>
            <w:shd w:fill="EEF2F7" w:val="clear"/>
          </w:tcPr>
          <w:p>
            <w:r>
              <w:rPr>
                <w:rFonts w:ascii="Times New Roman" w:cs="Times New Roman" w:eastAsia="Times New Roman" w:hAnsi="Times New Roman"/>
                <w:color w:val="1F2937"/>
                <w:sz w:val="20"/>
                <w:szCs w:val="20"/>
              </w:rPr>
              <w:t xml:space="preserve">SEMI-PASSIF</w:t>
            </w:r>
          </w:p>
        </w:tc>
      </w:tr>
      <w:tr>
        <w:tc>
          <w:tcPr>
            <w:shd w:fill="FFFFFF" w:val="clear"/>
          </w:tcPr>
          <w:p>
            <w:r>
              <w:rPr>
                <w:rFonts w:ascii="Times New Roman" w:cs="Times New Roman" w:eastAsia="Times New Roman" w:hAnsi="Times New Roman"/>
                <w:color w:val="1F2937"/>
                <w:sz w:val="20"/>
                <w:szCs w:val="20"/>
              </w:rPr>
              <w:t xml:space="preserve">YouTube monétisé</w:t>
            </w:r>
          </w:p>
        </w:tc>
        <w:tc>
          <w:tcPr>
            <w:shd w:fill="FFFFFF" w:val="clear"/>
          </w:tcPr>
          <w:p>
            <w:r>
              <w:rPr>
                <w:rFonts w:ascii="Times New Roman" w:cs="Times New Roman" w:eastAsia="Times New Roman" w:hAnsi="Times New Roman"/>
                <w:color w:val="1F2937"/>
                <w:sz w:val="20"/>
                <w:szCs w:val="20"/>
              </w:rPr>
              <w:t xml:space="preserve">Faible (matériel)</w:t>
            </w:r>
          </w:p>
        </w:tc>
        <w:tc>
          <w:tcPr>
            <w:shd w:fill="FFFFFF" w:val="clear"/>
          </w:tcPr>
          <w:p>
            <w:r>
              <w:rPr>
                <w:rFonts w:ascii="Times New Roman" w:cs="Times New Roman" w:eastAsia="Times New Roman" w:hAnsi="Times New Roman"/>
                <w:color w:val="1F2937"/>
                <w:sz w:val="20"/>
                <w:szCs w:val="20"/>
              </w:rPr>
              <w:t xml:space="preserve">200–1000h (créer audience)</w:t>
            </w:r>
          </w:p>
        </w:tc>
        <w:tc>
          <w:tcPr>
            <w:shd w:fill="FFFFFF" w:val="clear"/>
          </w:tcPr>
          <w:p>
            <w:r>
              <w:rPr>
                <w:rFonts w:ascii="Times New Roman" w:cs="Times New Roman" w:eastAsia="Times New Roman" w:hAnsi="Times New Roman"/>
                <w:color w:val="1F2937"/>
                <w:sz w:val="20"/>
                <w:szCs w:val="20"/>
              </w:rPr>
              <w:t xml:space="preserve">20–50h (production continue)</w:t>
            </w:r>
          </w:p>
        </w:tc>
        <w:tc>
          <w:tcPr>
            <w:shd w:fill="FFFFFF" w:val="clear"/>
          </w:tcPr>
          <w:p>
            <w:r>
              <w:rPr>
                <w:rFonts w:ascii="Times New Roman" w:cs="Times New Roman" w:eastAsia="Times New Roman" w:hAnsi="Times New Roman"/>
                <w:color w:val="1F2937"/>
                <w:sz w:val="20"/>
                <w:szCs w:val="20"/>
              </w:rPr>
              <w:t xml:space="preserve">ACTIF à SEMI-PASSIF</w:t>
            </w:r>
          </w:p>
        </w:tc>
      </w:tr>
    </w:tbl>
    <w:p>
      <w:r>
        <w:t xml:space="preserve"/>
      </w:r>
    </w:p>
    <w:p>
      <w:pPr>
        <w:spacing w:after="80" w:before="80"/>
      </w:pPr>
      <w:r>
        <w:rPr>
          <w:rFonts w:ascii="Times New Roman" w:cs="Times New Roman" w:eastAsia="Times New Roman" w:hAnsi="Times New Roman"/>
          <w:color w:val="1F2937"/>
          <w:sz w:val="22"/>
          <w:szCs w:val="22"/>
        </w:rPr>
        <w:t xml:space="preserve">Note sur le corrigé : ces estimations sont des ordres de grandeur synthétiques basés sur la littérature du secteur. Aucune étude scientifique française chiffrée n'a été trouvée pour les valider précisément. Ils peuvent varier considérablement selon le profil et la niche.</w:t>
      </w:r>
    </w:p>
    <w:p>
      <w:pPr>
        <w:pStyle w:val="Heading3"/>
        <w:spacing w:after="80" w:before="200"/>
      </w:pPr>
      <w:r>
        <w:rPr>
          <w:rFonts w:ascii="Times New Roman" w:cs="Times New Roman" w:eastAsia="Times New Roman" w:hAnsi="Times New Roman"/>
          <w:b/>
          <w:bCs/>
          <w:color w:val="1F2937"/>
          <w:sz w:val="26"/>
          <w:szCs w:val="26"/>
        </w:rPr>
        <w:t xml:space="preserve">Exercice 2 — Décrypter une promesse « revenus passifs »</w:t>
      </w:r>
    </w:p>
    <w:p>
      <w:pPr>
        <w:spacing w:after="80" w:before="80"/>
      </w:pPr>
      <w:r>
        <w:rPr>
          <w:rFonts w:ascii="Times New Roman" w:cs="Times New Roman" w:eastAsia="Times New Roman" w:hAnsi="Times New Roman"/>
          <w:color w:val="1F2937"/>
          <w:sz w:val="22"/>
          <w:szCs w:val="22"/>
        </w:rPr>
        <w:t xml:space="preserve">Voici une offre fictive représentative du type d'annonce courante (composite, non citée d'une source réelle) :</w:t>
      </w:r>
    </w:p>
    <w:p>
      <w:r>
        <w:t xml:space="preserve"/>
      </w:r>
    </w:p>
    <w:p>
      <w:pPr>
        <w:pBdr>
          <w:left w:val="single" w:color="1B3A6B" w:sz="12"/>
        </w:pBdr>
        <w:shd w:fill="EEF2F7" w:val="clear"/>
        <w:spacing w:after="100" w:before="100"/>
        <w:ind w:left="431"/>
      </w:pPr>
      <w:r>
        <w:rPr>
          <w:rFonts w:ascii="Times New Roman" w:cs="Times New Roman" w:eastAsia="Times New Roman" w:hAnsi="Times New Roman"/>
          <w:i/>
          <w:iCs/>
          <w:color w:val="1F2937"/>
          <w:sz w:val="22"/>
          <w:szCs w:val="22"/>
        </w:rPr>
        <w:t xml:space="preserve">« Formation exclusive — 5 000 € — Gagne 3 000 €/mois en automatique grâce à notre méthode Forex éprouvée. Résultats en 30 jours. Accès à vie. Communauté VIP. »</w:t>
      </w:r>
    </w:p>
    <w:p>
      <w:r>
        <w:t xml:space="preserve"/>
      </w:r>
    </w:p>
    <w:p>
      <w:pPr>
        <w:spacing w:after="80" w:before="80"/>
      </w:pPr>
      <w:r>
        <w:rPr>
          <w:rFonts w:ascii="Times New Roman" w:cs="Times New Roman" w:eastAsia="Times New Roman" w:hAnsi="Times New Roman"/>
          <w:color w:val="1F2937"/>
          <w:sz w:val="22"/>
          <w:szCs w:val="22"/>
        </w:rPr>
        <w:t xml:space="preserve">Analyse critique — réponds aux questions suivantes par écrit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est le modèle économique réel de celui qui vend cette formation ? (Indice : Forex ou vente de formation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Quels sont les 3 signaux d'alerte AMF identifiables dans ce texte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retour sur investissement implique la promesse (calcul) ? Est-ce cohérent avec les données sur les taux de réussite au Forex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est le statut légal requis pour vendre ce type de conseil en France ?</w:t>
      </w:r>
    </w:p>
    <w:p>
      <w:r>
        <w:t xml:space="preserve"/>
      </w:r>
    </w:p>
    <w:p>
      <w:pPr>
        <w:spacing w:after="80" w:before="80"/>
      </w:pPr>
      <w:r>
        <w:rPr>
          <w:rFonts w:ascii="Times New Roman" w:cs="Times New Roman" w:eastAsia="Times New Roman" w:hAnsi="Times New Roman"/>
          <w:b/>
          <w:bCs/>
          <w:color w:val="1F2937"/>
          <w:sz w:val="22"/>
          <w:szCs w:val="22"/>
        </w:rPr>
        <w:t xml:space="preserve">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Modèle économique réel : la vente de formations constitue l'essentiel du revenu. Les résultats Forex personnels des formateurs sont rarement documentés de façon vérifiable.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Signaux d'alerte AMF : (1) promesse de revenu fixe garanti (3 000 €/mois), (2) délai irréaliste (30 jours), (3) coût élevé de la formation (5 000 €) dont le ROI dépend du recrutement d'autres membres.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Calcul ROI : 3 000 €/mois, soit 36 000 €/an pour un investissement de 5 000 €. Rendement annoncé : +720 %. Un tel rendement, s'il était réel, attirerait les hedge funds du monde entier. Ce chiffre est incompatible avec les résultats documentés.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Statut légal : le conseil en investissement financier est une activité réglementée en France. Il requiert le statut de Conseiller en Investissements Financiers (CIF), enregistré à l'ORIAS. Sans ce statut, l'activité est illégale.</w:t>
      </w:r>
    </w:p>
    <w:p>
      <w:pPr>
        <w:pStyle w:val="Heading3"/>
        <w:spacing w:after="80" w:before="200"/>
      </w:pPr>
      <w:r>
        <w:rPr>
          <w:rFonts w:ascii="Times New Roman" w:cs="Times New Roman" w:eastAsia="Times New Roman" w:hAnsi="Times New Roman"/>
          <w:b/>
          <w:bCs/>
          <w:color w:val="1F2937"/>
          <w:sz w:val="26"/>
          <w:szCs w:val="26"/>
        </w:rPr>
        <w:t xml:space="preserve">Exercice 3 — Construire ta propre définition</w:t>
      </w:r>
    </w:p>
    <w:p>
      <w:pPr>
        <w:spacing w:after="80" w:before="80"/>
      </w:pPr>
      <w:r>
        <w:rPr>
          <w:rFonts w:ascii="Times New Roman" w:cs="Times New Roman" w:eastAsia="Times New Roman" w:hAnsi="Times New Roman"/>
          <w:color w:val="1F2937"/>
          <w:sz w:val="22"/>
          <w:szCs w:val="22"/>
        </w:rPr>
        <w:t xml:space="preserve">Objectif : ancrer la compréhension par une reformulation personnelle.</w:t>
      </w:r>
    </w:p>
    <w:p>
      <w:r>
        <w:t xml:space="preserve"/>
      </w:r>
    </w:p>
    <w:p>
      <w:pPr>
        <w:spacing w:after="80" w:before="80"/>
      </w:pPr>
      <w:r>
        <w:rPr>
          <w:rFonts w:ascii="Times New Roman" w:cs="Times New Roman" w:eastAsia="Times New Roman" w:hAnsi="Times New Roman"/>
          <w:color w:val="1F2937"/>
          <w:sz w:val="22"/>
          <w:szCs w:val="22"/>
        </w:rPr>
        <w:t xml:space="preserve">À faire par écrit (10–15 minutes)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 3 phrases maximum, définis ce qu'est un revenu passif pour toi, sans utiliser les mots « automatique », « sans effort » ou « facilement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Cite deux avantages réels d'un revenu passif et deux contraintes réelles qu'une personne débutante devrait anticiper avant de se lancer.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Sur le continuum actif/passif, où placerais-tu ton propre profil actuel (capital financier disponible, temps libre, compétences monnayables) ? Cet auto-diagnostic orientera les prochaines leçons.</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Synthèse</w:t>
      </w:r>
    </w:p>
    <w:p>
      <w:pPr>
        <w:spacing w:after="80" w:before="80"/>
      </w:pPr>
      <w:r>
        <w:rPr>
          <w:rFonts w:ascii="Times New Roman" w:cs="Times New Roman" w:eastAsia="Times New Roman" w:hAnsi="Times New Roman"/>
          <w:color w:val="1F2937"/>
          <w:sz w:val="22"/>
          <w:szCs w:val="22"/>
        </w:rPr>
        <w:t xml:space="preserve">Ce challenge mobilise l'ensemble de la leçon. Il est plus exigeant et demande environ 30 minutes.</w:t>
      </w:r>
    </w:p>
    <w:p>
      <w:r>
        <w:t xml:space="preserve"/>
      </w:r>
    </w:p>
    <w:p>
      <w:pPr>
        <w:spacing w:after="80" w:before="80"/>
      </w:pPr>
      <w:r>
        <w:rPr>
          <w:rFonts w:ascii="Times New Roman" w:cs="Times New Roman" w:eastAsia="Times New Roman" w:hAnsi="Times New Roman"/>
          <w:b/>
          <w:bCs/>
          <w:color w:val="1F2937"/>
          <w:sz w:val="22"/>
          <w:szCs w:val="22"/>
        </w:rPr>
        <w:t xml:space="preserve">Mise en situation :</w:t>
      </w:r>
    </w:p>
    <w:p>
      <w:pPr>
        <w:spacing w:after="80" w:before="80"/>
      </w:pPr>
      <w:r>
        <w:rPr>
          <w:rFonts w:ascii="Times New Roman" w:cs="Times New Roman" w:eastAsia="Times New Roman" w:hAnsi="Times New Roman"/>
          <w:color w:val="1F2937"/>
          <w:sz w:val="22"/>
          <w:szCs w:val="22"/>
        </w:rPr>
        <w:t xml:space="preserve">Un ami te contacte. Il vient de voir une publicité pour une « méthode de revenus passifs clé en main » à 2 500 €. Il te demande ton avis avant d'acheter. Il a 2 500 € d'économies, aucune compétence en finance, et 5 heures libres par semaine.</w:t>
      </w:r>
    </w:p>
    <w:p>
      <w:r>
        <w:t xml:space="preserve"/>
      </w:r>
    </w:p>
    <w:p>
      <w:pPr>
        <w:spacing w:after="80" w:before="80"/>
      </w:pPr>
      <w:r>
        <w:rPr>
          <w:rFonts w:ascii="Times New Roman" w:cs="Times New Roman" w:eastAsia="Times New Roman" w:hAnsi="Times New Roman"/>
          <w:color w:val="1F2937"/>
          <w:sz w:val="22"/>
          <w:szCs w:val="22"/>
        </w:rPr>
        <w:t xml:space="preserve">Produis une réponse écrite structurée (une page) comprenant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explication du continuum actif/passif adaptée à son profil (capital, temps, compétence).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 questions à poser impérativement au vendeur avant toute décision.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 alternatives à 2 500 € qui correspondraient mieux à son profil et ses contraintes réelles — en justifiant le choix sur les trois axes du continuum.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rappel du cadre légal applicable (statuts requis pour le vendeur).</w:t>
      </w:r>
    </w:p>
    <w:p>
      <w:r>
        <w:t xml:space="preserve"/>
      </w:r>
    </w:p>
    <w:p>
      <w:pPr>
        <w:spacing w:after="80" w:before="80"/>
      </w:pPr>
      <w:r>
        <w:rPr>
          <w:rFonts w:ascii="Times New Roman" w:cs="Times New Roman" w:eastAsia="Times New Roman" w:hAnsi="Times New Roman"/>
          <w:color w:val="1F2937"/>
          <w:sz w:val="22"/>
          <w:szCs w:val="22"/>
        </w:rPr>
        <w:t xml:space="preserve">Critère de réussite : ton ami comprend qu'aucune décision ne doit être prise sans avoir répondu à ces questions, et qu'il existe des alternatives potentiellement plus adaptées à sa situation.</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Toutes les ressources ci-dessous ont été consultées pendant cette exécution (26/07/2026) :</w:t>
      </w:r>
    </w:p>
    <w:p>
      <w:r>
        <w:t xml:space="preserve"/>
      </w:r>
    </w:p>
    <w:p>
      <w:pPr>
        <w:spacing w:after="60" w:before="80"/>
      </w:pPr>
      <w:r>
        <w:rPr>
          <w:rFonts w:ascii="Times New Roman" w:cs="Times New Roman" w:eastAsia="Times New Roman" w:hAnsi="Times New Roman"/>
          <w:color w:val="1F2937"/>
          <w:sz w:val="22"/>
          <w:szCs w:val="22"/>
        </w:rPr>
        <w:t xml:space="preserve">1. AMF — Espace Épargnants (mises en garde, liste noire, arnaques) : </w:t>
      </w:r>
      <w:hyperlink w:history="1" r:id="rIdx5l68hfilwpst78wgmsuh">
        <w:r>
          <w:rPr>
            <w:rFonts w:ascii="Times New Roman" w:cs="Times New Roman" w:eastAsia="Times New Roman" w:hAnsi="Times New Roman"/>
            <w:color w:val="1155CC"/>
            <w:sz w:val="22"/>
            <w:szCs w:val="22"/>
            <w:u w:val="single"/>
          </w:rPr>
          <w:t xml:space="preserve">amf-france.org/fr/espace-epargnants</w:t>
        </w:r>
      </w:hyperlink>
    </w:p>
    <w:p>
      <w:pPr>
        <w:spacing w:after="60" w:before="60"/>
      </w:pPr>
      <w:r>
        <w:rPr>
          <w:rFonts w:ascii="Times New Roman" w:cs="Times New Roman" w:eastAsia="Times New Roman" w:hAnsi="Times New Roman"/>
          <w:color w:val="1F2937"/>
          <w:sz w:val="22"/>
          <w:szCs w:val="22"/>
        </w:rPr>
        <w:t xml:space="preserve">2. Impôts.gouv.fr — Fiscalité des particuliers (PFU, revenus du capital) : </w:t>
      </w:r>
      <w:hyperlink w:history="1" r:id="rIddfkibasijshgdz-wzojv6">
        <w:r>
          <w:rPr>
            <w:rFonts w:ascii="Times New Roman" w:cs="Times New Roman" w:eastAsia="Times New Roman" w:hAnsi="Times New Roman"/>
            <w:color w:val="1155CC"/>
            <w:sz w:val="22"/>
            <w:szCs w:val="22"/>
            <w:u w:val="single"/>
          </w:rPr>
          <w:t xml:space="preserve">impots.gouv.fr/particulier</w:t>
        </w:r>
      </w:hyperlink>
    </w:p>
    <w:p>
      <w:pPr>
        <w:spacing w:after="60" w:before="60"/>
      </w:pPr>
      <w:r>
        <w:rPr>
          <w:rFonts w:ascii="Times New Roman" w:cs="Times New Roman" w:eastAsia="Times New Roman" w:hAnsi="Times New Roman"/>
          <w:color w:val="1F2937"/>
          <w:sz w:val="22"/>
          <w:szCs w:val="22"/>
        </w:rPr>
        <w:t xml:space="preserve">3. Wikipédia FR — Revenu passif (définition encyclopédique) : </w:t>
      </w:r>
      <w:hyperlink w:history="1" r:id="rIdnjwa_amnmm1h7lc-sb3b-">
        <w:r>
          <w:rPr>
            <w:rFonts w:ascii="Times New Roman" w:cs="Times New Roman" w:eastAsia="Times New Roman" w:hAnsi="Times New Roman"/>
            <w:color w:val="1155CC"/>
            <w:sz w:val="22"/>
            <w:szCs w:val="22"/>
            <w:u w:val="single"/>
          </w:rPr>
          <w:t xml:space="preserve">fr.wikipedia.org/wiki/Revenu_passif</w:t>
        </w:r>
      </w:hyperlink>
    </w:p>
    <w:p>
      <w:pPr>
        <w:spacing w:after="60" w:before="60"/>
      </w:pPr>
      <w:r>
        <w:rPr>
          <w:rFonts w:ascii="Times New Roman" w:cs="Times New Roman" w:eastAsia="Times New Roman" w:hAnsi="Times New Roman"/>
          <w:color w:val="1F2937"/>
          <w:sz w:val="22"/>
          <w:szCs w:val="22"/>
        </w:rPr>
        <w:t xml:space="preserve">4. AMF — Campagne de sensibilisation arnaques trading/formations : </w:t>
      </w:r>
      <w:hyperlink w:history="1" r:id="rId2w-_y1yj214xdnwkm_8qg">
        <w:r>
          <w:rPr>
            <w:rFonts w:ascii="Times New Roman" w:cs="Times New Roman" w:eastAsia="Times New Roman" w:hAnsi="Times New Roman"/>
            <w:color w:val="1155CC"/>
            <w:sz w:val="22"/>
            <w:szCs w:val="22"/>
            <w:u w:val="single"/>
          </w:rPr>
          <w:t xml:space="preserve">Arnaques formations trading (TradingSat)</w:t>
        </w:r>
      </w:hyperlink>
    </w:p>
    <w:p>
      <w:pPr>
        <w:spacing w:after="60" w:before="60"/>
      </w:pPr>
      <w:r>
        <w:rPr>
          <w:rFonts w:ascii="Times New Roman" w:cs="Times New Roman" w:eastAsia="Times New Roman" w:hAnsi="Times New Roman"/>
          <w:color w:val="1F2937"/>
          <w:sz w:val="22"/>
          <w:szCs w:val="22"/>
        </w:rPr>
        <w:t xml:space="preserve">5. OBSERVALYS — Revenu passif en 2025 : mythe ou réalité ? : </w:t>
      </w:r>
      <w:r>
        <w:rPr>
          <w:rFonts w:ascii="Times New Roman" w:cs="Times New Roman" w:eastAsia="Times New Roman" w:hAnsi="Times New Roman"/>
          <w:color w:val="1F2937"/>
          <w:sz w:val="22"/>
          <w:szCs w:val="22"/>
        </w:rPr>
        <w:t xml:space="preserve">observalys.fr/revenu-passif-en-2025</w:t>
      </w:r>
      <w:r>
        <w:rPr>
          <w:rFonts w:ascii="Times New Roman" w:cs="Times New Roman" w:eastAsia="Times New Roman" w:hAnsi="Times New Roman"/>
          <w:i/>
          <w:iCs/>
          <w:color w:val="6B7280"/>
          <w:sz w:val="20"/>
          <w:szCs w:val="20"/>
        </w:rPr>
        <w:t xml:space="preserve">   [Corrigé le 25/10/2026 : hyperlien RETIRÉ, adresse conservée en clair. Le domaine observalys.fr est PARKÉ : en https il rend une alerte TLS 80 émise par le serveur (HTTP 000, curl exit 35, six essais sur six, IPv4 ET IPv6, curl comme openssl), et en http il rend 200 avec la page « Parked Domain name on Hostinger DNS system » — 927 caractères utiles où « Observalys », « Revenu passif » et « mythe ou réalité » sont TOUS LES TROIS absents. Aucun instantané de l'Internet Archive n'existe pour cette page : la ressource est perdue sans recours. Mesuré le 25/10/2026. Détail au journal.]</w:t>
      </w:r>
    </w:p>
    <w:p>
      <w:pPr>
        <w:spacing w:after="60" w:before="60"/>
      </w:pPr>
      <w:r>
        <w:rPr>
          <w:rFonts w:ascii="Times New Roman" w:cs="Times New Roman" w:eastAsia="Times New Roman" w:hAnsi="Times New Roman"/>
          <w:color w:val="1F2937"/>
          <w:sz w:val="22"/>
          <w:szCs w:val="22"/>
        </w:rPr>
        <w:t xml:space="preserve">6. CompaBank — Fiscalité des revenus passifs 2026 : </w:t>
      </w:r>
      <w:hyperlink w:history="1" r:id="rIdr6utalfg_faodgc4vckx2">
        <w:r>
          <w:rPr>
            <w:rFonts w:ascii="Times New Roman" w:cs="Times New Roman" w:eastAsia="Times New Roman" w:hAnsi="Times New Roman"/>
            <w:color w:val="1155CC"/>
            <w:sz w:val="22"/>
            <w:szCs w:val="22"/>
            <w:u w:val="single"/>
          </w:rPr>
          <w:t xml:space="preserve">comparabank.com — guide fiscal complet</w:t>
        </w:r>
      </w:hyperlink>
    </w:p>
    <w:p>
      <w:pPr>
        <w:spacing w:after="60" w:before="60"/>
      </w:pPr>
      <w:r>
        <w:rPr>
          <w:rFonts w:ascii="Times New Roman" w:cs="Times New Roman" w:eastAsia="Times New Roman" w:hAnsi="Times New Roman"/>
          <w:color w:val="1F2937"/>
          <w:sz w:val="22"/>
          <w:szCs w:val="22"/>
        </w:rPr>
        <w:t xml:space="preserve">7. Medium / Wealth Syndicate — 10 stratégies testées en 2024 (retours réels) : </w:t>
      </w:r>
      <w:hyperlink w:history="1" r:id="rIdc4cf2b8wdy6w4rl-gtkax">
        <w:r>
          <w:rPr>
            <w:rFonts w:ascii="Times New Roman" w:cs="Times New Roman" w:eastAsia="Times New Roman" w:hAnsi="Times New Roman"/>
            <w:color w:val="1155CC"/>
            <w:sz w:val="22"/>
            <w:szCs w:val="22"/>
            <w:u w:val="single"/>
          </w:rPr>
          <w:t xml:space="preserve">wealthsyndicate.medium.com</w:t>
        </w:r>
      </w:hyperlink>
    </w:p>
    <w:p>
      <w:pPr>
        <w:spacing w:after="60" w:before="60"/>
      </w:pPr>
      <w:r>
        <w:rPr>
          <w:rFonts w:ascii="Times New Roman" w:cs="Times New Roman" w:eastAsia="Times New Roman" w:hAnsi="Times New Roman"/>
          <w:color w:val="1F2937"/>
          <w:sz w:val="22"/>
          <w:szCs w:val="22"/>
        </w:rPr>
        <w:t xml:space="preserve">8. Indie Hackers — communauté de créateurs indépendants (retours d'expérience cités dans la section Mythes ; ajoutée le 12/09/2026) : </w:t>
      </w:r>
      <w:hyperlink w:history="1" r:id="rIdih2026">
        <w:r>
          <w:rPr>
            <w:rFonts w:ascii="Times New Roman" w:cs="Times New Roman" w:eastAsia="Times New Roman" w:hAnsi="Times New Roman"/>
            <w:color w:val="1155CC"/>
            <w:sz w:val="22"/>
            <w:szCs w:val="22"/>
            <w:u w:val="single"/>
          </w:rPr>
          <w:t xml:space="preserve">indiehackers.com</w:t>
        </w:r>
      </w:hyperlink>
    </w:p>
    <w:p>
      <w:r>
        <w:t xml:space="preserve"/>
      </w:r>
    </w:p>
    <w:p>
      <w:pPr>
        <w:spacing w:after="80" w:before="80"/>
      </w:pPr>
      <w:r>
        <w:rPr>
          <w:rFonts w:ascii="Times New Roman" w:cs="Times New Roman" w:eastAsia="Times New Roman" w:hAnsi="Times New Roman"/>
          <w:color w:val="1F2937"/>
          <w:sz w:val="22"/>
          <w:szCs w:val="22"/>
        </w:rPr>
        <w:t xml:space="preserve">Sources inaccessibles pendant cette exécution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economie.gouv.fr/particuliers — erreur 403 (accès refusé).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service-public.fr/particuliers/vosdroits/N14265 — redirection 404.</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investopedia.com — accès bloqué (domaine US, non accessible via WebFetch).</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02 — Les grandes familles de revenus passifs : panorama et critères de classement.</w:t>
      </w:r>
    </w:p>
    <w:p>
      <w:r>
        <w:t xml:space="preserve"/>
      </w:r>
    </w:p>
    <w:p>
      <w:pPr>
        <w:spacing w:after="80" w:before="80"/>
      </w:pPr>
      <w:r>
        <w:rPr>
          <w:rFonts w:ascii="Times New Roman" w:cs="Times New Roman" w:eastAsia="Times New Roman" w:hAnsi="Times New Roman"/>
          <w:color w:val="1F2937"/>
          <w:sz w:val="22"/>
          <w:szCs w:val="22"/>
        </w:rPr>
        <w:t xml:space="preserve">Au programme : capital requis, effort initial, maintenance, risque — pour chaque grande famille. Tu auras les outils pour comparer les modèles entre eux de façon structurée avant de choisir une direction.</w:t>
      </w:r>
    </w:p>
    <w:p>
      <w:pPr>
        <w:spacing w:after="200" w:before="200"/>
      </w:pPr>
      <w:r>
        <w:rPr>
          <w:rFonts w:ascii="Times New Roman" w:cs="Times New Roman" w:eastAsia="Times New Roman" w:hAnsi="Times New Roman"/>
          <w:color w:val="AAAAAA"/>
          <w:sz w:val="16"/>
          <w:szCs w:val="16"/>
        </w:rPr>
        <w:t xml:space="preserve">─────────────────────────────────────────────────────────────</w:t>
      </w:r>
    </w:p>
    <w:p>
      <w:pPr>
        <w:spacing w:after="0" w:before="200"/>
        <w:jc w:val="center"/>
      </w:pPr>
      <w:r>
        <w:rPr>
          <w:rFonts w:ascii="Times New Roman" w:cs="Times New Roman" w:eastAsia="Times New Roman" w:hAnsi="Times New Roman"/>
          <w:i/>
          <w:iCs/>
          <w:color w:val="888888"/>
          <w:sz w:val="18"/>
          <w:szCs w:val="18"/>
        </w:rPr>
        <w:t xml:space="preserve">Parcours Revenus passifs — Usage personnel — Document éducatif généraliste — Pas de conseil en investissement</w:t>
      </w:r>
    </w:p>
    <w:p>
      <w:pPr>
        <w:spacing w:after="120" w:before="320"/>
      </w:pPr>
      <w:r>
        <w:rPr>
          <w:rFonts w:ascii="Times New Roman" w:cs="Times New Roman" w:eastAsia="Times New Roman" w:hAnsi="Times New Roman"/>
          <w:b/>
          <w:bCs/>
          <w:color w:val="1B3A6B"/>
          <w:sz w:val="28"/>
          <w:szCs w:val="28"/>
        </w:rPr>
        <w:t xml:space="preserve">📝 Journal des corrections — 12 septembre 2026</w:t>
      </w:r>
    </w:p>
    <w:p>
      <w:pPr>
        <w:spacing w:after="80"/>
      </w:pPr>
      <w:r>
        <w:rPr>
          <w:rFonts w:ascii="Times New Roman" w:cs="Times New Roman" w:eastAsia="Times New Roman" w:hAnsi="Times New Roman"/>
          <w:color w:val="1F2937"/>
          <w:sz w:val="22"/>
          <w:szCs w:val="22"/>
        </w:rPr>
        <w:t xml:space="preserve">Leçon produite le 26/07/2026, relue le 12/09/2026 au cours d'un contrôle d'attribution des 221 documents du dépôt. Une correction de forme.</w:t>
      </w:r>
    </w:p>
    <w:p>
      <w:pPr>
        <w:spacing w:after="80"/>
      </w:pPr>
      <w:r>
        <w:rPr>
          <w:rFonts w:ascii="Times New Roman" w:cs="Times New Roman" w:eastAsia="Times New Roman" w:hAnsi="Times New Roman"/>
          <w:color w:val="1F2937"/>
          <w:sz w:val="22"/>
          <w:szCs w:val="22"/>
        </w:rPr>
        <w:t xml:space="preserve">La section Mythes attribuait un ordre de grandeur (« souvent inférieur à quelques centaines d'euros par mois ») aux « retours d'expérience de la communauté Indie Hackers (indiehackers.com, consultés mais non agrégés en chiffre précis) » — un site nommé comme source sans aucune adresse dans la leçon. Le lien est posé dans la phrase et la ressource ajoutée en n°8. L'affirmation elle-même est inchangée : la leçon disait déjà qu'elle ne repose sur aucune statistique exploitable.</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Hyperlien retiré sur la ressource n°5, adresse conservée en clair — le geste de la leçon n°3 d'ennéagramme du 09/10 : détecter un lien mort et le dire ne suffit pas, il faut cesser d'y envoyer le lecteur.</w:t>
      </w:r>
    </w:p>
    <w:p>
      <w:pPr>
        <w:spacing w:after="80"/>
      </w:pPr>
      <w:r>
        <w:rPr>
          <w:rFonts w:ascii="Times New Roman" w:cs="Times New Roman" w:eastAsia="Times New Roman" w:hAnsi="Times New Roman"/>
          <w:color w:val="1F2937"/>
          <w:sz w:val="22"/>
          <w:szCs w:val="22"/>
        </w:rPr>
        <w:t xml:space="preserve">Le diagnostic, mesuré le 25/10/2026, a demandé trois étapes parce qu'un « 000 » ne dit rien par lui-même. ① En https, le serveur émet une alerte TLS 80 (« tlsv1 alert internal error ») : HTTP 000, curl exit 35, SIX essais sur six, en IPv4 ET en IPv6, avec curl comme avec openssl 3.6.2 — ce n'est donc ni une intermittence, ni notre pile. ② En http, l'adresse rend HTTP 200 : c'est la page « Parked Domain name on Hostinger DNS system », 927 caractères utiles, et « Observalys », « Revenu passif » et « mythe ou réalité » y sont tous les trois ABSENTS. Le domaine est parké, le site n'existe plus. ③ L'Internet Archive n'a AUCUN instantané de cette page : il n'y a pas de version archivée à citer.</w:t>
      </w:r>
    </w:p>
    <w:p>
      <w:pPr>
        <w:spacing w:after="80"/>
      </w:pPr>
      <w:r>
        <w:rPr>
          <w:rFonts w:ascii="Times New Roman" w:cs="Times New Roman" w:eastAsia="Times New Roman" w:hAnsi="Times New Roman"/>
          <w:color w:val="1F2937"/>
          <w:sz w:val="22"/>
          <w:szCs w:val="22"/>
        </w:rPr>
        <w:t xml:space="preserve">⚠️ Ce cas est le jumeau de l'AAPEL de la leçon n°8 de psychopathologie, et il dit la même chose : un code 200 ne prouve pas qu'une ressource existe. Il dit aussi quelque chose sur l'outillage du dépôt — le balayage d'adresses a classé celle-ci « défaut TLS » parce qu'elle est citée en https ; citée en http, elle aurait été classée « VIVANTE », puisqu'un domaine parké répond 200. Le balayage lit des codes de retour, pas des contenus.</w:t>
      </w:r>
    </w:p>
    <w:p>
      <w:pPr>
        <w:spacing w:after="80"/>
      </w:pPr>
      <w:r>
        <w:rPr>
          <w:rFonts w:ascii="Times New Roman" w:cs="Times New Roman" w:eastAsia="Times New Roman" w:hAnsi="Times New Roman"/>
          <w:color w:val="1F2937"/>
          <w:sz w:val="22"/>
          <w:szCs w:val="22"/>
        </w:rPr>
        <w:t xml:space="preserve">La ressource n'est pas remplacée : l'ordre portait sur les adresses, et cette leçon tire de celle-ci une position générale sur les revenus passifs qu'aucune de ses dix autres sources ne contredit. Le libellé reste lisible pour que l'on sache ce qui a été consulté le 26/07/2026, date à laquelle la page répondait.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gs-28eseub9jibt4pjdr" Type="http://schemas.openxmlformats.org/officeDocument/2006/relationships/hyperlink" Target="https://www.amf-france.org/fr/espace-epargnants" TargetMode="External"/><Relationship Id="rIdx5l68hfilwpst78wgmsuh" Type="http://schemas.openxmlformats.org/officeDocument/2006/relationships/hyperlink" Target="https://www.amf-france.org/fr/espace-epargnants" TargetMode="External"/><Relationship Id="rIddfkibasijshgdz-wzojv6" Type="http://schemas.openxmlformats.org/officeDocument/2006/relationships/hyperlink" Target="https://www.impots.gouv.fr/particulier" TargetMode="External"/><Relationship Id="rIdnjwa_amnmm1h7lc-sb3b-" Type="http://schemas.openxmlformats.org/officeDocument/2006/relationships/hyperlink" Target="https://fr.wikipedia.org/wiki/Revenu_passif" TargetMode="External"/><Relationship Id="rId2w-_y1yj214xdnwkm_8qg" Type="http://schemas.openxmlformats.org/officeDocument/2006/relationships/hyperlink" Target="https://www.tradingsat.com/actualites/investissement/ces-arnaques-aux-formations-de-trading-qui-prennent-les-jeunes-pour-cible-919359.html" TargetMode="External"/><Relationship Id="rIdio7v2d8vnheno8kkidar7" Type="http://schemas.openxmlformats.org/officeDocument/2006/relationships/hyperlink" Target="https://www.observalys.fr/revenu-passif-en-2025-mythe-ou-realite-" TargetMode="External"/><Relationship Id="rIdr6utalfg_faodgc4vckx2" Type="http://schemas.openxmlformats.org/officeDocument/2006/relationships/hyperlink" Target="https://www.comparabank.com/fiscalite-revenus-passifs-2026-guide-complet-des-impositions" TargetMode="External"/><Relationship Id="rIdc4cf2b8wdy6w4rl-gtkax" Type="http://schemas.openxmlformats.org/officeDocument/2006/relationships/hyperlink" Target="https://wealthsyndicate.medium.com/i-tried-10-passive-income-strategies-in-2024-heres-what-actually-made-money-bdcbfb7c2fd8" TargetMode="External"/><Relationship Id="rId15" Type="http://schemas.openxmlformats.org/officeDocument/2006/relationships/fontTable" Target="fontTable.xml"/><Relationship Id="rIdih2026" Type="http://schemas.openxmlformats.org/officeDocument/2006/relationships/hyperlink" Target="https://www.indiehackers.co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2026-07-26T05:07:27.325Z</dcterms:created>
  <dcterms:modified xsi:type="dcterms:W3CDTF">2026-07-26T05:07:27.327Z</dcterms:modified>
</cp:coreProperties>
</file>

<file path=docProps/custom.xml><?xml version="1.0" encoding="utf-8"?>
<Properties xmlns="http://schemas.openxmlformats.org/officeDocument/2006/custom-properties" xmlns:vt="http://schemas.openxmlformats.org/officeDocument/2006/docPropsVTypes"/>
</file>