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B3A6B"/>
          <w:sz w:val="52"/>
          <w:szCs w:val="52"/>
        </w:rPr>
        <w:t xml:space="preserve">Veille SERAFIN-PH</w:t>
      </w:r>
    </w:p>
    <w:p>
      <w:pPr>
        <w:spacing w:after="60" w:before="0"/>
      </w:pPr>
      <w:r>
        <w:rPr>
          <w:rFonts w:ascii="Calibri" w:cs="Calibri" w:eastAsia="Calibri" w:hAnsi="Calibri"/>
          <w:color w:val="1F2937"/>
          <w:sz w:val="28"/>
          <w:szCs w:val="28"/>
        </w:rPr>
        <w:t xml:space="preserve">Synthèse hebdomadaire</w:t>
      </w:r>
    </w:p>
    <w:p>
      <w:pPr>
        <w:spacing w:after="40" w:before="0"/>
      </w:pPr>
      <w:r>
        <w:rPr>
          <w:rFonts w:ascii="Calibri" w:cs="Calibri" w:eastAsia="Calibri" w:hAnsi="Calibri"/>
          <w:b/>
          <w:bCs/>
          <w:color w:val="1F2937"/>
          <w:sz w:val="22"/>
          <w:szCs w:val="22"/>
        </w:rPr>
        <w:t xml:space="preserve">Date de production : 26 août 2026</w:t>
      </w:r>
    </w:p>
    <w:p>
      <w:pPr>
        <w:spacing w:after="200" w:before="0"/>
      </w:pPr>
      <w:r>
        <w:rPr>
          <w:rFonts w:ascii="Calibri" w:cs="Calibri" w:eastAsia="Calibri" w:hAnsi="Calibri"/>
          <w:color w:val="1F2937"/>
          <w:sz w:val="22"/>
          <w:szCs w:val="22"/>
        </w:rPr>
        <w:t xml:space="preserve">Fenêtre de veille : 19 août 2026 → 26 août 2026 (J-7 à J)</w:t>
      </w:r>
    </w:p>
    <w:p>
      <w:pPr>
        <w:pBdr>
          <w:bottom w:val="single" w:color="1B3A6B" w:sz="10"/>
        </w:pBdr>
        <w:spacing w:after="120" w:before="320"/>
      </w:pPr>
      <w:r>
        <w:rPr>
          <w:rFonts w:ascii="Calibri" w:cs="Calibri" w:eastAsia="Calibri" w:hAnsi="Calibri"/>
          <w:b/>
          <w:bCs/>
          <w:color w:val="1B3A6B"/>
          <w:sz w:val="28"/>
          <w:szCs w:val="28"/>
        </w:rPr>
        <w:t xml:space="preserve">Sources — Statut de consultation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solid"/>
            <w:tcMar>
              <w:top w:type="dxa" w:w="60"/>
              <w:left w:type="dxa" w:w="80"/>
              <w:bottom w:type="dxa" w:w="60"/>
              <w:right w:type="dxa" w:w="80"/>
            </w:tcMar>
          </w:tcPr>
          <w:p>
            <w:pPr>
              <w:spacing w:after="60" w:before="60"/>
              <w:jc w:val="center"/>
            </w:pPr>
            <w:r>
              <w:rPr>
                <w:rFonts w:ascii="Calibri" w:cs="Calibri" w:eastAsia="Calibri" w:hAnsi="Calibri"/>
                <w:b/>
                <w:bCs/>
                <w:color w:val="FFFFFF"/>
                <w:sz w:val="20"/>
                <w:szCs w:val="20"/>
              </w:rPr>
              <w:t xml:space="preserve">St.</w:t>
            </w:r>
          </w:p>
        </w:tc>
        <w:tc>
          <w:tcPr>
            <w:shd w:fill="1B3A6B" w:val="solid"/>
            <w:tcMar>
              <w:top w:type="dxa" w:w="60"/>
              <w:left w:type="dxa" w:w="80"/>
              <w:bottom w:type="dxa" w:w="60"/>
              <w:right w:type="dxa" w:w="80"/>
            </w:tcMar>
          </w:tcPr>
          <w:p>
            <w:pPr>
              <w:spacing w:after="60" w:before="60"/>
              <w:jc w:val="center"/>
            </w:pPr>
            <w:r>
              <w:rPr>
                <w:rFonts w:ascii="Calibri" w:cs="Calibri" w:eastAsia="Calibri" w:hAnsi="Calibri"/>
                <w:b/>
                <w:bCs/>
                <w:color w:val="FFFFFF"/>
                <w:sz w:val="20"/>
                <w:szCs w:val="20"/>
              </w:rPr>
              <w:t xml:space="preserve">Source</w:t>
            </w:r>
          </w:p>
        </w:tc>
        <w:tc>
          <w:tcPr>
            <w:shd w:fill="1B3A6B" w:val="solid"/>
            <w:tcMar>
              <w:top w:type="dxa" w:w="60"/>
              <w:left w:type="dxa" w:w="80"/>
              <w:bottom w:type="dxa" w:w="60"/>
              <w:right w:type="dxa" w:w="80"/>
            </w:tcMar>
          </w:tcPr>
          <w:p>
            <w:pPr>
              <w:spacing w:after="60" w:before="60"/>
              <w:jc w:val="center"/>
            </w:pPr>
            <w:r>
              <w:rPr>
                <w:rFonts w:ascii="Calibri" w:cs="Calibri" w:eastAsia="Calibri" w:hAnsi="Calibri"/>
                <w:b/>
                <w:bCs/>
                <w:color w:val="FFFFFF"/>
                <w:sz w:val="20"/>
                <w:szCs w:val="20"/>
              </w:rPr>
              <w:t xml:space="preserve">Remarque</w:t>
            </w:r>
          </w:p>
        </w:tc>
      </w:tr>
      <w:tr>
        <w:tc>
          <w:tcPr>
            <w:tcMar>
              <w:top w:type="dxa" w:w="40"/>
              <w:left w:type="dxa" w:w="80"/>
              <w:bottom w:type="dxa" w:w="40"/>
              <w:right w:type="dxa" w:w="80"/>
            </w:tcMar>
          </w:tcPr>
          <w:p>
            <w:pPr>
              <w:spacing w:after="40" w:before="40"/>
            </w:pPr>
            <w:r>
              <w:rPr>
                <w:rFonts w:ascii="Calibri" w:cs="Calibri" w:eastAsia="Calibri" w:hAnsi="Calibri"/>
                <w:b/>
                <w:bCs/>
                <w:color w:val="15803D"/>
                <w:sz w:val="20"/>
                <w:szCs w:val="20"/>
              </w:rPr>
              <w:t xml:space="preserve">✅</w:t>
            </w:r>
          </w:p>
        </w:tc>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Ministère de la Santé, des Familles et de l'Autonomie — handicap.gouv.fr</w:t>
            </w:r>
          </w:p>
        </w:tc>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Consultée — données hors fenêtre reprises en section Rappel/Contexte</w:t>
            </w:r>
          </w:p>
        </w:tc>
      </w:tr>
      <w:tr>
        <w:tc>
          <w:tcPr>
            <w:shd w:fill="EEF2F7" w:val="solid"/>
            <w:tcMar>
              <w:top w:type="dxa" w:w="40"/>
              <w:left w:type="dxa" w:w="80"/>
              <w:bottom w:type="dxa" w:w="40"/>
              <w:right w:type="dxa" w:w="80"/>
            </w:tcMar>
          </w:tcPr>
          <w:p>
            <w:pPr>
              <w:spacing w:after="40" w:before="40"/>
            </w:pPr>
            <w:r>
              <w:rPr>
                <w:rFonts w:ascii="Calibri" w:cs="Calibri" w:eastAsia="Calibri" w:hAnsi="Calibri"/>
                <w:b/>
                <w:bCs/>
                <w:color w:val="15803D"/>
                <w:sz w:val="20"/>
                <w:szCs w:val="20"/>
              </w:rPr>
              <w:t xml:space="preserve">✅</w:t>
            </w:r>
          </w:p>
        </w:tc>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CNSA — Préparation recueil PH 2026 + page réforme tarifaire</w:t>
            </w:r>
          </w:p>
        </w:tc>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Consultée — données hors fenêtre reprises en section Rappel/Contexte</w:t>
            </w:r>
          </w:p>
        </w:tc>
      </w:tr>
      <w:tr>
        <w:tc>
          <w:tcPr>
            <w:tcMar>
              <w:top w:type="dxa" w:w="40"/>
              <w:left w:type="dxa" w:w="80"/>
              <w:bottom w:type="dxa" w:w="40"/>
              <w:right w:type="dxa" w:w="80"/>
            </w:tcMar>
          </w:tcPr>
          <w:p>
            <w:pPr>
              <w:spacing w:after="40" w:before="40"/>
            </w:pPr>
            <w:r>
              <w:rPr>
                <w:rFonts w:ascii="Calibri" w:cs="Calibri" w:eastAsia="Calibri" w:hAnsi="Calibri"/>
                <w:b/>
                <w:bCs/>
                <w:color w:val="15803D"/>
                <w:sz w:val="20"/>
                <w:szCs w:val="20"/>
              </w:rPr>
              <w:t xml:space="preserve">✅</w:t>
            </w:r>
          </w:p>
        </w:tc>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Bulletins officiels — Instruction DGCS n°2026/80 du 16 juin 2026</w:t>
            </w:r>
          </w:p>
        </w:tc>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Consultée — informations campagne budgétaire 2026 reprises en section Rappel</w:t>
            </w:r>
          </w:p>
        </w:tc>
      </w:tr>
      <w:tr>
        <w:tc>
          <w:tcPr>
            <w:shd w:fill="EEF2F7" w:val="solid"/>
            <w:tcMar>
              <w:top w:type="dxa" w:w="40"/>
              <w:left w:type="dxa" w:w="80"/>
              <w:bottom w:type="dxa" w:w="40"/>
              <w:right w:type="dxa" w:w="80"/>
            </w:tcMar>
          </w:tcPr>
          <w:p>
            <w:pPr>
              <w:spacing w:after="40" w:before="40"/>
            </w:pPr>
            <w:r>
              <w:rPr>
                <w:rFonts w:ascii="Calibri" w:cs="Calibri" w:eastAsia="Calibri" w:hAnsi="Calibri"/>
                <w:b/>
                <w:bCs/>
                <w:color w:val="15803D"/>
                <w:sz w:val="20"/>
                <w:szCs w:val="20"/>
              </w:rPr>
              <w:t xml:space="preserve">✅</w:t>
            </w:r>
          </w:p>
        </w:tc>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FHF — SERAFIN-PH recueil 2026 : calendrier et accompagnement (18 fév. 2026)</w:t>
            </w:r>
          </w:p>
        </w:tc>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Consultée — aucun élément dans la fenêtre du 19-26 août 2026</w:t>
            </w:r>
          </w:p>
        </w:tc>
      </w:tr>
      <w:tr>
        <w:tc>
          <w:tcPr>
            <w:tcMar>
              <w:top w:type="dxa" w:w="40"/>
              <w:left w:type="dxa" w:w="80"/>
              <w:bottom w:type="dxa" w:w="40"/>
              <w:right w:type="dxa" w:w="80"/>
            </w:tcMar>
          </w:tcPr>
          <w:p>
            <w:pPr>
              <w:spacing w:after="40" w:before="40"/>
            </w:pPr>
            <w:r>
              <w:rPr>
                <w:rFonts w:ascii="Calibri" w:cs="Calibri" w:eastAsia="Calibri" w:hAnsi="Calibri"/>
                <w:b/>
                <w:bCs/>
                <w:color w:val="B91C1C"/>
                <w:sz w:val="20"/>
                <w:szCs w:val="20"/>
              </w:rPr>
              <w:t xml:space="preserve">⛔</w:t>
            </w:r>
          </w:p>
        </w:tc>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ATIH — atih.sante.fr (personnes handicapées, recueil national PH)</w:t>
            </w:r>
          </w:p>
        </w:tc>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Accès bloqué (HTTP 403) — non consultable en mode headless</w:t>
            </w:r>
          </w:p>
        </w:tc>
      </w:tr>
    </w:tbl>
    <w:p>
      <w:pPr>
        <w:spacing w:after="160" w:before="80"/>
      </w:pPr>
      <w:r>
        <w:rPr>
          <w:rFonts w:ascii="Calibri" w:cs="Calibri" w:eastAsia="Calibri" w:hAnsi="Calibri"/>
          <w:i/>
          <w:iCs/>
          <w:color w:val="6B7280"/>
          <w:sz w:val="18"/>
          <w:szCs w:val="18"/>
        </w:rPr>
        <w:t xml:space="preserve">Note : 5 sources tentées | 4 ✅ consultées, dont 3 contributrices (la FHF n'a rien apporté dans la fenêtre) | 1 source ⛔ inaccessible (ATIH, HTTP 403) | Les outils WebSearch et WebFetch ne sont pas des sources documentaires et n'apparaissent pas dans ce décompte.</w:t>
      </w:r>
    </w:p>
    <w:p>
      <w:pPr>
        <w:pBdr>
          <w:bottom w:val="single" w:color="1B3A6B" w:sz="10"/>
        </w:pBdr>
        <w:spacing w:after="120" w:before="320"/>
      </w:pPr>
      <w:r>
        <w:rPr>
          <w:rFonts w:ascii="Calibri" w:cs="Calibri" w:eastAsia="Calibri" w:hAnsi="Calibri"/>
          <w:b/>
          <w:bCs/>
          <w:color w:val="1B3A6B"/>
          <w:sz w:val="28"/>
          <w:szCs w:val="28"/>
        </w:rPr>
        <w:t xml:space="preserve">🔵 En bref — Semaine du 19 au 26 août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2F2" w:val="solid"/>
            <w:tcMar>
              <w:top w:type="dxa" w:w="80"/>
              <w:left w:type="dxa" w:w="120"/>
              <w:bottom w:type="dxa" w:w="80"/>
              <w:right w:type="dxa" w:w="120"/>
            </w:tcMar>
          </w:tcPr>
          <w:p>
            <w:pPr>
              <w:spacing w:after="60" w:before="80"/>
            </w:pPr>
            <w:r>
              <w:rPr>
                <w:rFonts w:ascii="Calibri" w:cs="Calibri" w:eastAsia="Calibri" w:hAnsi="Calibri"/>
                <w:b/>
                <w:bCs/>
                <w:color w:val="B91C1C"/>
                <w:sz w:val="22"/>
                <w:szCs w:val="22"/>
              </w:rPr>
              <w:t xml:space="preserve">⚠️ Semaine creuse — Aucune publication dans la fenêtre</w:t>
            </w:r>
          </w:p>
          <w:p>
            <w:pPr>
              <w:spacing w:after="80" w:before="0"/>
            </w:pPr>
            <w:r>
              <w:rPr>
                <w:rFonts w:ascii="Calibri" w:cs="Calibri" w:eastAsia="Calibri" w:hAnsi="Calibri"/>
                <w:color w:val="1F2937"/>
                <w:sz w:val="20"/>
                <w:szCs w:val="20"/>
              </w:rPr>
              <w:t xml:space="preserve">Aucune actualité SERAFIN-PH publiée entre le 19 et le 26 août 2026 n'a été identifiée sur les sources consultées (handicap.gouv.fr, cnsa.fr, bulletins officiels, FHF). La veille est honnêtement vide pour cette période plutôt que meublée avec des éléments antérieurs. Les éléments de contexte récents mais hors fenêtre figurent dans la section « Rappel / Contexte » ci-dessous avec leur date affichée.</w:t>
            </w:r>
          </w:p>
        </w:tc>
      </w:tr>
    </w:tbl>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solid"/>
            <w:tcMar>
              <w:top w:type="dxa" w:w="60"/>
              <w:left w:type="dxa" w:w="80"/>
              <w:bottom w:type="dxa" w:w="60"/>
              <w:right w:type="dxa" w:w="80"/>
            </w:tcMar>
          </w:tcPr>
          <w:p>
            <w:pPr>
              <w:spacing w:after="60" w:before="60"/>
              <w:jc w:val="center"/>
            </w:pPr>
            <w:r>
              <w:rPr>
                <w:rFonts w:ascii="Calibri" w:cs="Calibri" w:eastAsia="Calibri" w:hAnsi="Calibri"/>
                <w:b/>
                <w:bCs/>
                <w:color w:val="FFFFFF"/>
                <w:sz w:val="20"/>
                <w:szCs w:val="20"/>
              </w:rPr>
              <w:t xml:space="preserve">Thème</w:t>
            </w:r>
          </w:p>
        </w:tc>
        <w:tc>
          <w:tcPr>
            <w:shd w:fill="1B3A6B" w:val="solid"/>
            <w:tcMar>
              <w:top w:type="dxa" w:w="60"/>
              <w:left w:type="dxa" w:w="80"/>
              <w:bottom w:type="dxa" w:w="60"/>
              <w:right w:type="dxa" w:w="80"/>
            </w:tcMar>
          </w:tcPr>
          <w:p>
            <w:pPr>
              <w:spacing w:after="60" w:before="60"/>
              <w:jc w:val="center"/>
            </w:pPr>
            <w:r>
              <w:rPr>
                <w:rFonts w:ascii="Calibri" w:cs="Calibri" w:eastAsia="Calibri" w:hAnsi="Calibri"/>
                <w:b/>
                <w:bCs/>
                <w:color w:val="FFFFFF"/>
                <w:sz w:val="20"/>
                <w:szCs w:val="20"/>
              </w:rPr>
              <w:t xml:space="preserve">Statut</w:t>
            </w:r>
          </w:p>
        </w:tc>
        <w:tc>
          <w:tcPr>
            <w:shd w:fill="1B3A6B" w:val="solid"/>
            <w:tcMar>
              <w:top w:type="dxa" w:w="60"/>
              <w:left w:type="dxa" w:w="80"/>
              <w:bottom w:type="dxa" w:w="60"/>
              <w:right w:type="dxa" w:w="80"/>
            </w:tcMar>
          </w:tcPr>
          <w:p>
            <w:pPr>
              <w:spacing w:after="60" w:before="60"/>
              <w:jc w:val="center"/>
            </w:pPr>
            <w:r>
              <w:rPr>
                <w:rFonts w:ascii="Calibri" w:cs="Calibri" w:eastAsia="Calibri" w:hAnsi="Calibri"/>
                <w:b/>
                <w:bCs/>
                <w:color w:val="FFFFFF"/>
                <w:sz w:val="20"/>
                <w:szCs w:val="20"/>
              </w:rPr>
              <w:t xml:space="preserve">Prochaine échéance</w:t>
            </w:r>
          </w:p>
        </w:tc>
      </w:tr>
      <w:tr>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Recueil PH 2026 — données ESMS enfants</w:t>
            </w:r>
          </w:p>
        </w:tc>
        <w:tc>
          <w:tcPr>
            <w:tcMar>
              <w:top w:type="dxa" w:w="40"/>
              <w:left w:type="dxa" w:w="80"/>
              <w:bottom w:type="dxa" w:w="40"/>
              <w:right w:type="dxa" w:w="80"/>
            </w:tcMar>
          </w:tcPr>
          <w:p>
            <w:pPr>
              <w:spacing w:after="40" w:before="40"/>
            </w:pPr>
            <w:r>
              <w:rPr>
                <w:rFonts w:ascii="Calibri" w:cs="Calibri" w:eastAsia="Calibri" w:hAnsi="Calibri"/>
                <w:b w:val="false"/>
                <w:bCs w:val="false"/>
                <w:color w:val="D97706"/>
                <w:sz w:val="20"/>
                <w:szCs w:val="20"/>
              </w:rPr>
              <w:t xml:space="preserve">Phase qualification ARS (depuis juillet 2026)</w:t>
            </w:r>
          </w:p>
        </w:tc>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Automne 2026</w:t>
            </w:r>
          </w:p>
        </w:tc>
      </w:tr>
      <w:tr>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Simulations de dotations individualisées</w:t>
            </w:r>
          </w:p>
        </w:tc>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D97706"/>
                <w:sz w:val="20"/>
                <w:szCs w:val="20"/>
              </w:rPr>
              <w:t xml:space="preserve">En cours (CNSA + DGCS + ATIH)</w:t>
            </w:r>
          </w:p>
        </w:tc>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Fin 2026 / transmission ARS</w:t>
            </w:r>
          </w:p>
        </w:tc>
      </w:tr>
      <w:tr>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Déploiement modèle SERAFIN-PH</w:t>
            </w:r>
          </w:p>
        </w:tc>
        <w:tc>
          <w:tcPr>
            <w:tcMar>
              <w:top w:type="dxa" w:w="40"/>
              <w:left w:type="dxa" w:w="80"/>
              <w:bottom w:type="dxa" w:w="40"/>
              <w:right w:type="dxa" w:w="80"/>
            </w:tcMar>
          </w:tcPr>
          <w:p>
            <w:pPr>
              <w:spacing w:after="40" w:before="40"/>
            </w:pPr>
            <w:r>
              <w:rPr>
                <w:rFonts w:ascii="Calibri" w:cs="Calibri" w:eastAsia="Calibri" w:hAnsi="Calibri"/>
                <w:b w:val="false"/>
                <w:bCs w:val="false"/>
                <w:color w:val="15803D"/>
                <w:sz w:val="20"/>
                <w:szCs w:val="20"/>
              </w:rPr>
              <w:t xml:space="preserve">Prévu 1er janvier 2027 — secteur enfants</w:t>
            </w:r>
          </w:p>
        </w:tc>
        <w:tc>
          <w:tcPr>
            <w:tcMar>
              <w:top w:type="dxa" w:w="40"/>
              <w:left w:type="dxa" w:w="80"/>
              <w:bottom w:type="dxa" w:w="40"/>
              <w:right w:type="dxa" w:w="80"/>
            </w:tcMar>
          </w:tcPr>
          <w:p>
            <w:pPr>
              <w:spacing w:after="40" w:before="40"/>
            </w:pPr>
            <w:r>
              <w:rPr>
                <w:rFonts w:ascii="Calibri" w:cs="Calibri" w:eastAsia="Calibri" w:hAnsi="Calibri"/>
                <w:b w:val="false"/>
                <w:bCs w:val="false"/>
                <w:color w:val="15803D"/>
                <w:sz w:val="20"/>
                <w:szCs w:val="20"/>
              </w:rPr>
              <w:t xml:space="preserve">01/01/2027</w:t>
            </w:r>
          </w:p>
        </w:tc>
      </w:tr>
      <w:tr>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Convergence budgétaire progressive</w:t>
            </w:r>
          </w:p>
        </w:tc>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Durée 8 ans (2027–2034)</w:t>
            </w:r>
          </w:p>
        </w:tc>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Échelonné 2027–2034</w:t>
            </w:r>
          </w:p>
        </w:tc>
      </w:tr>
    </w:tbl>
    <w:p>
      <w:pPr>
        <w:spacing w:after="60" w:before="60"/>
      </w:pPr>
      <w:r>
        <w:t xml:space="preserve"/>
      </w:r>
    </w:p>
    <w:p>
      <w:pPr>
        <w:pBdr>
          <w:bottom w:val="single" w:color="1B3A6B" w:sz="10"/>
        </w:pBdr>
        <w:spacing w:after="120" w:before="320"/>
      </w:pPr>
      <w:r>
        <w:rPr>
          <w:rFonts w:ascii="Calibri" w:cs="Calibri" w:eastAsia="Calibri" w:hAnsi="Calibri"/>
          <w:b/>
          <w:bCs/>
          <w:color w:val="1B3A6B"/>
          <w:sz w:val="28"/>
          <w:szCs w:val="28"/>
        </w:rPr>
        <w:t xml:space="preserve">📋 Rappel / Contexte — Éléments récents hors fenêtre</w:t>
      </w:r>
    </w:p>
    <w:p>
      <w:pPr>
        <w:spacing w:after="60" w:before="60"/>
      </w:pPr>
      <w:r>
        <w:rPr>
          <w:rFonts w:ascii="Calibri" w:cs="Calibri" w:eastAsia="Calibri" w:hAnsi="Calibri"/>
          <w:i/>
          <w:iCs/>
          <w:color w:val="1F2937"/>
          <w:sz w:val="22"/>
          <w:szCs w:val="22"/>
        </w:rPr>
        <w:t xml:space="preserve">Les informations ci-dessous sont antérieures au 19 août 2026. Elles sont mentionnées ici pour donner le cadre de compréhension de la situation SERAFIN-PH à l'automne 2026. Date d'événement et date de publication sont distinguées.</w:t>
      </w:r>
    </w:p>
    <w:p>
      <w:pPr>
        <w:spacing w:after="60" w:before="60"/>
      </w:pPr>
      <w:r>
        <w:t xml:space="preserve"/>
      </w:r>
    </w:p>
    <w:p>
      <w:pPr>
        <w:spacing w:after="80" w:before="240"/>
      </w:pPr>
      <w:r>
        <w:rPr>
          <w:rFonts w:ascii="Calibri" w:cs="Calibri" w:eastAsia="Calibri" w:hAnsi="Calibri"/>
          <w:b/>
          <w:bCs/>
          <w:color w:val="1B3A6B"/>
          <w:sz w:val="24"/>
          <w:szCs w:val="24"/>
        </w:rPr>
        <w:t xml:space="preserve">14e réunion du Comité stratégique — 23 mars 2026</w:t>
      </w:r>
    </w:p>
    <w:p>
      <w:pPr>
        <w:spacing w:after="60" w:before="60"/>
      </w:pPr>
      <w:r>
        <w:rPr>
          <w:rFonts w:ascii="Calibri" w:cs="Calibri" w:eastAsia="Calibri" w:hAnsi="Calibri"/>
          <w:color w:val="1F2937"/>
          <w:sz w:val="22"/>
          <w:szCs w:val="22"/>
        </w:rPr>
        <w:t xml:space="preserve">Événement : réunion du 23 mars 2026 — présidée par Camille Galliard-Minier, Ministre déléguée à l'Autonomie.</w:t>
      </w:r>
    </w:p>
    <w:p>
      <w:pPr>
        <w:spacing w:after="60" w:before="60"/>
      </w:pPr>
      <w:r>
        <w:rPr>
          <w:rFonts w:ascii="Calibri" w:cs="Calibri" w:eastAsia="Calibri" w:hAnsi="Calibri"/>
          <w:color w:val="1F2937"/>
          <w:sz w:val="22"/>
          <w:szCs w:val="22"/>
        </w:rPr>
        <w:t xml:space="preserve">Date de publication sur handicap.gouv.fr : page accessible au 26 août 2026 (date exacte de mise en ligne non précisée par le site).</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Confirmation du déploiement au 1er janvier 2027 pour les ESMS du secteur enfants.</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Lancement du recueil de données à partir du 30 mars 2026.</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Mesures d'accompagnement : webinaires, réunions régionales, formations.</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Calendrier automne 2026 : vérification de la fiabilité des données, puis simulations de dotations.</w:t>
      </w:r>
    </w:p>
    <w:p>
      <w:pPr>
        <w:spacing w:after="100" w:before="60"/>
      </w:pPr>
      <w:r>
        <w:rPr>
          <w:rFonts w:ascii="Calibri" w:cs="Calibri" w:eastAsia="Calibri" w:hAnsi="Calibri"/>
          <w:b/>
          <w:bCs/>
          <w:color w:val="1F2937"/>
          <w:sz w:val="20"/>
          <w:szCs w:val="20"/>
        </w:rPr>
        <w:t xml:space="preserve">Source primaire : </w:t>
      </w:r>
      <w:hyperlink w:history="1" r:id="rIdhandicapgouvcomite14">
        <w:r>
          <w:rPr>
            <w:rFonts w:ascii="Calibri" w:cs="Calibri" w:eastAsia="Calibri" w:hAnsi="Calibri"/>
            <w:color w:val="1155CC"/>
            <w:sz w:val="20"/>
            <w:szCs w:val="20"/>
            <w:u w:val="single"/>
          </w:rPr>
          <w:t xml:space="preserve">handicap.gouv.fr — 14e réunion du comité stratégique</w:t>
        </w:r>
      </w:hyperlink>
    </w:p>
    <w:p>
      <w:pPr>
        <w:spacing w:after="80" w:before="240"/>
      </w:pPr>
      <w:r>
        <w:rPr>
          <w:rFonts w:ascii="Calibri" w:cs="Calibri" w:eastAsia="Calibri" w:hAnsi="Calibri"/>
          <w:b/>
          <w:bCs/>
          <w:color w:val="1B3A6B"/>
          <w:sz w:val="24"/>
          <w:szCs w:val="24"/>
        </w:rPr>
        <w:t xml:space="preserve">Instruction budgétaire DGCS n°2026/80 — 16 juin 2026</w:t>
      </w:r>
    </w:p>
    <w:p>
      <w:pPr>
        <w:spacing w:after="60" w:before="60"/>
      </w:pPr>
      <w:r>
        <w:rPr>
          <w:rFonts w:ascii="Calibri" w:cs="Calibri" w:eastAsia="Calibri" w:hAnsi="Calibri"/>
          <w:color w:val="1F2937"/>
          <w:sz w:val="22"/>
          <w:szCs w:val="22"/>
        </w:rPr>
        <w:t xml:space="preserve">Publication : 16 juin 2026 sur le bulletin officiel du ministère des Solidarités.</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Dotation globale ESSMS personnes handicapées 2026 : 16 milliards d'euros (taux de croissance 2,5 %). ⚠️ Le titre complet de l'instruction couvre les ESMS accueillant des personnes en situation de handicap ET des personnes âgées : vérifier, avant de réutiliser ce chiffre, qu'il porte bien sur le seul champ PH et non sur l'ensemble PA+PH — d'autres relais de presse annoncent une progression d'ensemble différente.</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Section 6.2 : les ESMS concernés devront adopter le cadre EPRD de la tarification globale au 1er janvier 2027 ou à la signature de leur CPOM, la date la plus proche étant retenue.</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174,8 M€ pour la mise en œuvre de solutions handicap (Plan 50 000 Solutions).</w:t>
      </w:r>
    </w:p>
    <w:p>
      <w:pPr>
        <w:spacing w:after="100" w:before="60"/>
      </w:pPr>
      <w:r>
        <w:rPr>
          <w:rFonts w:ascii="Calibri" w:cs="Calibri" w:eastAsia="Calibri" w:hAnsi="Calibri"/>
          <w:b/>
          <w:bCs/>
          <w:color w:val="1F2937"/>
          <w:sz w:val="20"/>
          <w:szCs w:val="20"/>
        </w:rPr>
        <w:t xml:space="preserve">Source primaire : </w:t>
      </w:r>
      <w:hyperlink w:history="1" r:id="rIdbulletinsofficiels80">
        <w:r>
          <w:rPr>
            <w:rFonts w:ascii="Calibri" w:cs="Calibri" w:eastAsia="Calibri" w:hAnsi="Calibri"/>
            <w:color w:val="1155CC"/>
            <w:sz w:val="20"/>
            <w:szCs w:val="20"/>
            <w:u w:val="single"/>
          </w:rPr>
          <w:t xml:space="preserve">Bulletins officiels — Instruction n°2026/80 du 16 juin 2026</w:t>
        </w:r>
      </w:hyperlink>
    </w:p>
    <w:p>
      <w:pPr>
        <w:spacing w:after="80" w:before="240"/>
      </w:pPr>
      <w:r>
        <w:rPr>
          <w:rFonts w:ascii="Calibri" w:cs="Calibri" w:eastAsia="Calibri" w:hAnsi="Calibri"/>
          <w:b/>
          <w:bCs/>
          <w:color w:val="1B3A6B"/>
          <w:sz w:val="24"/>
          <w:szCs w:val="24"/>
        </w:rPr>
        <w:t xml:space="preserve">CNSA — Recueil PH 2026 : contexte et calendrier</w:t>
      </w:r>
    </w:p>
    <w:p>
      <w:pPr>
        <w:spacing w:after="60" w:before="60"/>
      </w:pPr>
      <w:r>
        <w:rPr>
          <w:rFonts w:ascii="Calibri" w:cs="Calibri" w:eastAsia="Calibri" w:hAnsi="Calibri"/>
          <w:color w:val="1F2937"/>
          <w:sz w:val="22"/>
          <w:szCs w:val="22"/>
        </w:rPr>
        <w:t xml:space="preserve">Publication CNSA : 17 décembre 2025 — Article : « SERAFIN-PH : Préparation du recueil d'informations PH 2026 ».</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Organisation en deux phases : mars 2026 (capacitaire) et mai 2026 (modulation activité/objectifs).</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Environ 40 variables collectées via l'application SIDOBA SERAFIN de la CNSA.</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Année blanche : aucun impact financier en 2026, le modèle n'entre en vigueur qu'en 2027.</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À l'automne 2026 : les ESMS doivent recevoir des simulations individualisées de leur future dotation.</w:t>
      </w:r>
    </w:p>
    <w:p>
      <w:pPr>
        <w:spacing w:after="160" w:before="60"/>
      </w:pPr>
      <w:r>
        <w:rPr>
          <w:rFonts w:ascii="Calibri" w:cs="Calibri" w:eastAsia="Calibri" w:hAnsi="Calibri"/>
          <w:b/>
          <w:bCs/>
          <w:color w:val="1F2937"/>
          <w:sz w:val="20"/>
          <w:szCs w:val="20"/>
        </w:rPr>
        <w:t xml:space="preserve">Source primaire : </w:t>
      </w:r>
      <w:hyperlink w:history="1" r:id="rIdcnsarecueilph2026dec">
        <w:r>
          <w:rPr>
            <w:rFonts w:ascii="Calibri" w:cs="Calibri" w:eastAsia="Calibri" w:hAnsi="Calibri"/>
            <w:color w:val="1155CC"/>
            <w:sz w:val="20"/>
            <w:szCs w:val="20"/>
            <w:u w:val="single"/>
          </w:rPr>
          <w:t xml:space="preserve">cnsa.fr — Préparation du recueil PH 2026 (17 déc. 2025)</w:t>
        </w:r>
      </w:hyperlink>
    </w:p>
    <w:p>
      <w:pPr>
        <w:pBdr>
          <w:bottom w:val="single" w:color="1B3A6B" w:sz="10"/>
        </w:pBdr>
        <w:spacing w:after="120" w:before="320"/>
      </w:pPr>
      <w:r>
        <w:rPr>
          <w:rFonts w:ascii="Calibri" w:cs="Calibri" w:eastAsia="Calibri" w:hAnsi="Calibri"/>
          <w:b/>
          <w:bCs/>
          <w:color w:val="1B3A6B"/>
          <w:sz w:val="28"/>
          <w:szCs w:val="28"/>
        </w:rPr>
        <w:t xml:space="preserve">⚠️ Points de vigilance pour les directions d'ESSMS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val="solid"/>
            <w:tcMar>
              <w:top w:type="dxa" w:w="60"/>
              <w:left w:type="dxa" w:w="80"/>
              <w:bottom w:type="dxa" w:w="60"/>
              <w:right w:type="dxa" w:w="80"/>
            </w:tcMar>
          </w:tcPr>
          <w:p>
            <w:pPr>
              <w:spacing w:after="60" w:before="60"/>
              <w:jc w:val="center"/>
            </w:pPr>
            <w:r>
              <w:rPr>
                <w:rFonts w:ascii="Calibri" w:cs="Calibri" w:eastAsia="Calibri" w:hAnsi="Calibri"/>
                <w:b/>
                <w:bCs/>
                <w:color w:val="FFFFFF"/>
                <w:sz w:val="20"/>
                <w:szCs w:val="20"/>
              </w:rPr>
              <w:t xml:space="preserve">⚠️ Point</w:t>
            </w:r>
          </w:p>
        </w:tc>
        <w:tc>
          <w:tcPr>
            <w:shd w:fill="1B3A6B" w:val="solid"/>
            <w:tcMar>
              <w:top w:type="dxa" w:w="60"/>
              <w:left w:type="dxa" w:w="80"/>
              <w:bottom w:type="dxa" w:w="60"/>
              <w:right w:type="dxa" w:w="80"/>
            </w:tcMar>
          </w:tcPr>
          <w:p>
            <w:pPr>
              <w:spacing w:after="60" w:before="60"/>
              <w:jc w:val="center"/>
            </w:pPr>
            <w:r>
              <w:rPr>
                <w:rFonts w:ascii="Calibri" w:cs="Calibri" w:eastAsia="Calibri" w:hAnsi="Calibri"/>
                <w:b/>
                <w:bCs/>
                <w:color w:val="FFFFFF"/>
                <w:sz w:val="20"/>
                <w:szCs w:val="20"/>
              </w:rPr>
              <w:t xml:space="preserve">Détail pratique</w:t>
            </w:r>
          </w:p>
        </w:tc>
      </w:tr>
      <w:tr>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1. Périmètre de la 1re vague : secteur enfants uniquement</w:t>
            </w:r>
          </w:p>
        </w:tc>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La réforme tarifaire entre en vigueur le 01/01/2027 pour les ESMS accompagnant des enfants et jeunes adultes handicapés. Les ESMS adultes (FAM, MAS, foyers de vie, SAVS, SAMSAH) ne sont pas encore dans la 1re vague — surveiller l'extension programmée.</w:t>
            </w:r>
          </w:p>
        </w:tc>
      </w:tr>
      <w:tr>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2. Simulations de dotations attendues à l'automne 2026</w:t>
            </w:r>
          </w:p>
        </w:tc>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Les ESMS enfants concernés devraient recevoir via leur ARS une simulation de leur future dotation globale. Cette simulation est un outil de pilotage stratégique : anticiper sa réception et organiser une lecture avec la direction financière.</w:t>
            </w:r>
          </w:p>
        </w:tc>
      </w:tr>
      <w:tr>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3. Articulation CPOM / SERAFIN-PH</w:t>
            </w:r>
          </w:p>
        </w:tc>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L'instruction budgétaire 2026 précise que l'adoption du cadre EPRD lié à la tarification globale intervient au 01/01/2027 ou à la signature du CPOM. Les structures dont le CPOM arrive à échéance doivent anticiper ce calendrier de renégociation.</w:t>
            </w:r>
          </w:p>
        </w:tc>
      </w:tr>
      <w:tr>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4. Convergence 8 ans : lire les simulations avec prudence</w:t>
            </w:r>
          </w:p>
        </w:tc>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La période de convergence est de 8 ans (2027–2034). Une simulation défavorable ne se traduit pas par une perte immédiate de dotation : l'écart à la dotation cible est résorbé sur huit ans. ⚠️ En revanche, l'idée qu'une structure à convergence négative ne verrait JAMAIS son financement passer sous le socle actuel relève, en l'état, d'un engagement ministériel déclaré et non d'un mécanisme documenté : aucune des 21 veilles de ce dossier n'a identifié le texte qui le rendrait opposable à une ARS. À traiter comme une intention tant qu'une référence réglementaire n'est pas produite. Lire les simulations à la lumière de ce calendrier — et de cette réserve.</w:t>
            </w:r>
          </w:p>
        </w:tc>
      </w:tr>
      <w:tr>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5. Fiabilité des données transmises lors du recueil 2026</w:t>
            </w:r>
          </w:p>
        </w:tc>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La dotation simulée dépend directement des données renseignées lors du recueil PH 2026. En cas d'erreur dans les données transmises (capacitaire, activité, indicateurs de modulation), la dotation simulée sera erronée. Vérifier les données avec l'ARS si des anomalies sont signalées.</w:t>
            </w:r>
          </w:p>
        </w:tc>
      </w:tr>
    </w:tbl>
    <w:p>
      <w:pPr>
        <w:spacing w:after="60" w:before="60"/>
      </w:pPr>
      <w:r>
        <w:t xml:space="preserve"/>
      </w:r>
    </w:p>
    <w:p>
      <w:pPr>
        <w:pBdr>
          <w:bottom w:val="single" w:color="1B3A6B" w:sz="10"/>
        </w:pBdr>
        <w:spacing w:after="120" w:before="320"/>
      </w:pPr>
      <w:r>
        <w:rPr>
          <w:rFonts w:ascii="Calibri" w:cs="Calibri" w:eastAsia="Calibri" w:hAnsi="Calibri"/>
          <w:b/>
          <w:bCs/>
          <w:color w:val="1B3A6B"/>
          <w:sz w:val="28"/>
          <w:szCs w:val="28"/>
        </w:rPr>
        <w:t xml:space="preserve">📅 Agenda — Prochains rendez-vous</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 ] Automne 2026 — Réception des simulations de dotations individualisées (via ARS) pour les ESMS enfants</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 ] Fin 2026 — Finalisation des paramètres du modèle par CNSA + DGCS + ATIH</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 ] 01/01/2027 — Entrée en vigueur de la tarification globale SERAFIN-PH (secteur enfants)</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 ] 2027–2034 — Convergence progressive vers la dotation cible (8 ans)</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 ] À surveiller — Extension de SERAFIN-PH au secteur adultes : aucune date officielle publiée à ce jour</w:t>
      </w:r>
    </w:p>
    <w:p>
      <w:pPr>
        <w:spacing w:after="60" w:before="60"/>
      </w:pPr>
      <w:r>
        <w:t xml:space="preserve"/>
      </w:r>
    </w:p>
    <w:p>
      <w:pPr>
        <w:pBdr>
          <w:bottom w:val="single" w:color="1B3A6B" w:sz="10"/>
        </w:pBdr>
        <w:spacing w:after="120" w:before="320"/>
      </w:pPr>
      <w:r>
        <w:rPr>
          <w:rFonts w:ascii="Calibri" w:cs="Calibri" w:eastAsia="Calibri" w:hAnsi="Calibri"/>
          <w:b/>
          <w:bCs/>
          <w:color w:val="1B3A6B"/>
          <w:sz w:val="28"/>
          <w:szCs w:val="28"/>
        </w:rPr>
        <w:t xml:space="preserve">🏛️ Rappel SERAFIN-PH — Rôle de chaque acteur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val="solid"/>
            <w:tcMar>
              <w:top w:type="dxa" w:w="60"/>
              <w:left w:type="dxa" w:w="80"/>
              <w:bottom w:type="dxa" w:w="60"/>
              <w:right w:type="dxa" w:w="80"/>
            </w:tcMar>
          </w:tcPr>
          <w:p>
            <w:pPr>
              <w:spacing w:after="60" w:before="60"/>
              <w:jc w:val="center"/>
            </w:pPr>
            <w:r>
              <w:rPr>
                <w:rFonts w:ascii="Calibri" w:cs="Calibri" w:eastAsia="Calibri" w:hAnsi="Calibri"/>
                <w:b/>
                <w:bCs/>
                <w:color w:val="FFFFFF"/>
                <w:sz w:val="20"/>
                <w:szCs w:val="20"/>
              </w:rPr>
              <w:t xml:space="preserve">Acteur</w:t>
            </w:r>
          </w:p>
        </w:tc>
        <w:tc>
          <w:tcPr>
            <w:shd w:fill="1B3A6B" w:val="solid"/>
            <w:tcMar>
              <w:top w:type="dxa" w:w="60"/>
              <w:left w:type="dxa" w:w="80"/>
              <w:bottom w:type="dxa" w:w="60"/>
              <w:right w:type="dxa" w:w="80"/>
            </w:tcMar>
          </w:tcPr>
          <w:p>
            <w:pPr>
              <w:spacing w:after="60" w:before="60"/>
              <w:jc w:val="center"/>
            </w:pPr>
            <w:r>
              <w:rPr>
                <w:rFonts w:ascii="Calibri" w:cs="Calibri" w:eastAsia="Calibri" w:hAnsi="Calibri"/>
                <w:b/>
                <w:bCs/>
                <w:color w:val="FFFFFF"/>
                <w:sz w:val="20"/>
                <w:szCs w:val="20"/>
              </w:rPr>
              <w:t xml:space="preserve">Rôle dans SERAFIN-PH</w:t>
            </w:r>
          </w:p>
        </w:tc>
      </w:tr>
      <w:tr>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DGCS (Direction générale de la cohésion sociale)</w:t>
            </w:r>
          </w:p>
        </w:tc>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Pilotage de la réforme, co-rédaction des textes réglementaires, instruction budgétaire annuelle</w:t>
            </w:r>
          </w:p>
        </w:tc>
      </w:tr>
      <w:tr>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CNSA (Caisse nationale de solidarité pour l'autonomie)</w:t>
            </w:r>
          </w:p>
        </w:tc>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Gestion de l'application SIDOBA, traitement et export des données recueillies, production des simulations de dotations, coordination avec les ARS</w:t>
            </w:r>
          </w:p>
        </w:tc>
      </w:tr>
      <w:tr>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ATIH (Agence technique de l'information sur l'hospitalisation)</w:t>
            </w:r>
          </w:p>
        </w:tc>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Développement de l'outil de recueil (RAMSECE-PH), production du guide méthodologique, traitement national des données</w:t>
            </w:r>
          </w:p>
        </w:tc>
      </w:tr>
      <w:tr>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ARS (Agences régionales de santé)</w:t>
            </w:r>
          </w:p>
        </w:tc>
        <w:tc>
          <w:tcPr>
            <w:shd w:fill="EEF2F7" w:val="solid"/>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Phase de qualification des données transmises par les ESMS, transmission des simulations de dotations aux structures, dialogue de gestion local</w:t>
            </w:r>
          </w:p>
        </w:tc>
      </w:tr>
      <w:tr>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ESMS (Établissements et services médico-sociaux)</w:t>
            </w:r>
          </w:p>
        </w:tc>
        <w:tc>
          <w:tcPr>
            <w:tcMar>
              <w:top w:type="dxa" w:w="40"/>
              <w:left w:type="dxa" w:w="80"/>
              <w:bottom w:type="dxa" w:w="40"/>
              <w:right w:type="dxa" w:w="80"/>
            </w:tcMar>
          </w:tcPr>
          <w:p>
            <w:pPr>
              <w:spacing w:after="40" w:before="40"/>
            </w:pPr>
            <w:r>
              <w:rPr>
                <w:rFonts w:ascii="Calibri" w:cs="Calibri" w:eastAsia="Calibri" w:hAnsi="Calibri"/>
                <w:b w:val="false"/>
                <w:bCs w:val="false"/>
                <w:color w:val="1F2937"/>
                <w:sz w:val="20"/>
                <w:szCs w:val="20"/>
              </w:rPr>
              <w:t xml:space="preserve">Transmission des données lors du recueil, réception et analyse de la simulation de dotation, adaptation du projet d'établissement et du CPOM en conséquence</w:t>
            </w:r>
          </w:p>
        </w:tc>
      </w:tr>
    </w:tbl>
    <w:p>
      <w:pPr>
        <w:spacing w:after="60" w:before="60"/>
      </w:pPr>
      <w:r>
        <w:t xml:space="preserve"/>
      </w:r>
    </w:p>
    <w:p>
      <w:pPr>
        <w:spacing w:after="40" w:before="200"/>
      </w:pPr>
      <w:r>
        <w:rPr>
          <w:rFonts w:ascii="Calibri" w:cs="Calibri" w:eastAsia="Calibri" w:hAnsi="Calibri"/>
          <w:color w:val="1B3A6B"/>
          <w:sz w:val="14"/>
          <w:szCs w:val="14"/>
        </w:rPr>
        <w:t xml:space="preserve">────────────────────────────────────────────────────────────────────────────────</w:t>
      </w:r>
    </w:p>
    <w:p>
      <w:pPr>
        <w:spacing w:after="40" w:before="0"/>
      </w:pPr>
      <w:r>
        <w:rPr>
          <w:rFonts w:ascii="Calibri" w:cs="Calibri" w:eastAsia="Calibri" w:hAnsi="Calibri"/>
          <w:b/>
          <w:bCs/>
          <w:color w:val="1F2937"/>
          <w:sz w:val="18"/>
          <w:szCs w:val="18"/>
        </w:rPr>
        <w:t xml:space="preserve">Produit le : </w:t>
      </w:r>
      <w:r>
        <w:rPr>
          <w:rFonts w:ascii="Calibri" w:cs="Calibri" w:eastAsia="Calibri" w:hAnsi="Calibri"/>
          <w:color w:val="1F2937"/>
          <w:sz w:val="18"/>
          <w:szCs w:val="18"/>
        </w:rPr>
        <w:t xml:space="preserve">26 août 2026</w:t>
      </w:r>
    </w:p>
    <w:p>
      <w:pPr>
        <w:spacing w:after="40" w:before="0"/>
      </w:pPr>
      <w:r>
        <w:rPr>
          <w:rFonts w:ascii="Calibri" w:cs="Calibri" w:eastAsia="Calibri" w:hAnsi="Calibri"/>
          <w:b/>
          <w:bCs/>
          <w:color w:val="1F2937"/>
          <w:sz w:val="18"/>
          <w:szCs w:val="18"/>
        </w:rPr>
        <w:t xml:space="preserve">Fenêtre couverte : </w:t>
      </w:r>
      <w:r>
        <w:rPr>
          <w:rFonts w:ascii="Calibri" w:cs="Calibri" w:eastAsia="Calibri" w:hAnsi="Calibri"/>
          <w:color w:val="1F2937"/>
          <w:sz w:val="18"/>
          <w:szCs w:val="18"/>
        </w:rPr>
        <w:t xml:space="preserve">19 août 2026 → 26 août 2026</w:t>
      </w:r>
    </w:p>
    <w:p>
      <w:pPr>
        <w:spacing w:after="40" w:before="0"/>
      </w:pPr>
      <w:r>
        <w:rPr>
          <w:rFonts w:ascii="Calibri" w:cs="Calibri" w:eastAsia="Calibri" w:hAnsi="Calibri"/>
          <w:b/>
          <w:bCs/>
          <w:color w:val="1F2937"/>
          <w:sz w:val="18"/>
          <w:szCs w:val="18"/>
        </w:rPr>
        <w:t xml:space="preserve">Sources documentaires : </w:t>
      </w:r>
      <w:r>
        <w:rPr>
          <w:rFonts w:ascii="Calibri" w:cs="Calibri" w:eastAsia="Calibri" w:hAnsi="Calibri"/>
          <w:color w:val="1F2937"/>
          <w:sz w:val="18"/>
          <w:szCs w:val="18"/>
        </w:rPr>
        <w:t xml:space="preserve">5 tentées | 4 ✅ consultées, dont 3 contributrices | 1 ⛔ inaccessible (ATIH — HTTP 403)</w:t>
      </w:r>
    </w:p>
    <w:p>
      <w:pPr>
        <w:spacing w:after="40" w:before="0"/>
      </w:pPr>
      <w:r>
        <w:rPr>
          <w:rFonts w:ascii="Calibri" w:cs="Calibri" w:eastAsia="Calibri" w:hAnsi="Calibri"/>
          <w:b/>
          <w:bCs/>
          <w:color w:val="1F2937"/>
          <w:sz w:val="18"/>
          <w:szCs w:val="18"/>
        </w:rPr>
        <w:t xml:space="preserve">Résultat de la veille : </w:t>
      </w:r>
      <w:r>
        <w:rPr>
          <w:rFonts w:ascii="Calibri" w:cs="Calibri" w:eastAsia="Calibri" w:hAnsi="Calibri"/>
          <w:color w:val="D97706"/>
          <w:sz w:val="18"/>
          <w:szCs w:val="18"/>
        </w:rPr>
        <w:t xml:space="preserve">Semaine creuse — aucune publication dans la fenêtre du 19-26 août 2026. Note allégée conforme au garde-fou n°7.</w:t>
      </w:r>
    </w:p>
    <w:p>
      <w:pPr>
        <w:spacing w:after="40" w:before="0"/>
      </w:pPr>
      <w:r>
        <w:rPr>
          <w:rFonts w:ascii="Calibri" w:cs="Calibri" w:eastAsia="Calibri" w:hAnsi="Calibri"/>
          <w:b/>
          <w:bCs/>
          <w:color w:val="1F2937"/>
          <w:sz w:val="18"/>
          <w:szCs w:val="18"/>
        </w:rPr>
        <w:t xml:space="preserve">Affirmations non sourcées dans la fenêtre : </w:t>
      </w:r>
      <w:r>
        <w:rPr>
          <w:rFonts w:ascii="Calibri" w:cs="Calibri" w:eastAsia="Calibri" w:hAnsi="Calibri"/>
          <w:color w:val="15803D"/>
          <w:sz w:val="18"/>
          <w:szCs w:val="18"/>
        </w:rPr>
        <w:t xml:space="preserve">Aucune — tous les éléments factuels proviennent des sources consultées lors de cette exécution. Les données hors fenêtre sont explicitement datées et placées en section « Rappel/Contexte ».</w:t>
      </w:r>
    </w:p>
    <w:p>
      <w:pPr>
        <w:spacing w:after="120" w:before="280"/>
      </w:pPr>
      <w:r>
        <w:rPr>
          <w:rFonts w:ascii="Calibri" w:cs="Calibri" w:eastAsia="Calibri" w:hAnsi="Calibri"/>
          <w:b/>
          <w:bCs/>
          <w:color w:val="1B3A6B"/>
          <w:sz w:val="26"/>
          <w:szCs w:val="26"/>
        </w:rPr>
        <w:t xml:space="preserve">📝 Journal des corrections</w:t>
      </w:r>
    </w:p>
    <w:p>
      <w:pPr>
        <w:spacing w:after="80" w:before="80"/>
      </w:pPr>
      <w:r>
        <w:rPr>
          <w:rFonts w:ascii="Calibri" w:cs="Calibri" w:eastAsia="Calibri" w:hAnsi="Calibri"/>
          <w:b w:val="false"/>
          <w:bCs w:val="false"/>
          <w:color w:val="1F2937"/>
          <w:sz w:val="20"/>
          <w:szCs w:val="20"/>
        </w:rPr>
        <w:t xml:space="preserve">Note produite et relue le 26/08/2026. Les corrections sont fondues dans le texte ci-dessus ; les formulations d'origine sont conservées ici.</w:t>
      </w:r>
    </w:p>
    <w:p>
      <w:pPr>
        <w:spacing w:after="80" w:before="80"/>
      </w:pPr>
      <w:r>
        <w:rPr>
          <w:rFonts w:ascii="Calibri" w:cs="Calibri" w:eastAsia="Calibri" w:hAnsi="Calibri"/>
          <w:b w:val="false"/>
          <w:bCs w:val="false"/>
          <w:color w:val="1F2937"/>
          <w:sz w:val="20"/>
          <w:szCs w:val="20"/>
        </w:rPr>
        <w:t xml:space="preserve">1. Trois « sources primaires » d'apparence cliquable, mais sans aucun lien.</w:t>
      </w:r>
    </w:p>
    <w:p>
      <w:pPr>
        <w:spacing w:after="80" w:before="80"/>
      </w:pPr>
      <w:r>
        <w:rPr>
          <w:rFonts w:ascii="Calibri" w:cs="Calibri" w:eastAsia="Calibri" w:hAnsi="Calibri"/>
          <w:b w:val="false"/>
          <w:bCs w:val="false"/>
          <w:color w:val="1F2937"/>
          <w:sz w:val="20"/>
          <w:szCs w:val="20"/>
        </w:rPr>
        <w:t xml:space="preserve">Les mentions « handicap.gouv.fr — 14e réunion du comité stratégique », « Bulletins officiels — Instruction n°2026/80 » et « cnsa.fr — Préparation du recueil PH 2026 » étaient écrites en bleu souligné, donc d'apparence cliquable, alors que le document ne contenait AUCUNE relation hypertexte et que les URL n'étaient pas davantage écrites en clair. Sur une note dont toute la valeur est la traçabilité, la source était nommée mais inatteignable. Les trois adresses ont été retrouvées et testées le 26/08/2026 (200), puis posées en vrais liens.</w:t>
      </w:r>
    </w:p>
    <w:p>
      <w:pPr>
        <w:spacing w:after="80" w:before="80"/>
      </w:pPr>
      <w:r>
        <w:rPr>
          <w:rFonts w:ascii="Calibri" w:cs="Calibri" w:eastAsia="Calibri" w:hAnsi="Calibri"/>
          <w:b w:val="false"/>
          <w:bCs w:val="false"/>
          <w:color w:val="1F2937"/>
          <w:sz w:val="20"/>
          <w:szCs w:val="20"/>
        </w:rPr>
        <w:t xml:space="preserve">2. Garantie de non-baisse en convergence négative — statut corrigé.</w:t>
      </w:r>
    </w:p>
    <w:p>
      <w:pPr>
        <w:spacing w:after="80" w:before="80"/>
      </w:pPr>
      <w:r>
        <w:rPr>
          <w:rFonts w:ascii="Calibri" w:cs="Calibri" w:eastAsia="Calibri" w:hAnsi="Calibri"/>
          <w:b w:val="false"/>
          <w:bCs w:val="false"/>
          <w:color w:val="1F2937"/>
          <w:sz w:val="20"/>
          <w:szCs w:val="20"/>
        </w:rPr>
        <w:t xml:space="preserve">Version initiale du point de vigilance n° 4 : « les structures à convergence négative ne voient pas leur financement baisser en dessous du socle actuel ». Énoncé comme acquis, dans une section non sourcée ligne à ligne. Le dossier de veille enregistre ce point depuis le printemps comme un engagement ministériel déclaré, dont aucune des 21 notes n'a identifié le texte qui le rendrait opposable à une ARS. Le passage distingue désormais ce qui est établi — la résorption de l'écart sur huit ans — de ce qui ne l'est pas.</w:t>
      </w:r>
    </w:p>
    <w:p>
      <w:pPr>
        <w:spacing w:after="80" w:before="80"/>
      </w:pPr>
      <w:r>
        <w:rPr>
          <w:rFonts w:ascii="Calibri" w:cs="Calibri" w:eastAsia="Calibri" w:hAnsi="Calibri"/>
          <w:b w:val="false"/>
          <w:bCs w:val="false"/>
          <w:color w:val="1F2937"/>
          <w:sz w:val="20"/>
          <w:szCs w:val="20"/>
        </w:rPr>
        <w:t xml:space="preserve">3. Décompte des sources incohérent.</w:t>
      </w:r>
    </w:p>
    <w:p>
      <w:pPr>
        <w:spacing w:after="80" w:before="80"/>
      </w:pPr>
      <w:r>
        <w:rPr>
          <w:rFonts w:ascii="Calibri" w:cs="Calibri" w:eastAsia="Calibri" w:hAnsi="Calibri"/>
          <w:b w:val="false"/>
          <w:bCs w:val="false"/>
          <w:color w:val="1F2937"/>
          <w:sz w:val="20"/>
          <w:szCs w:val="20"/>
        </w:rPr>
        <w:t xml:space="preserve">Version initiale : « 3 sources ✅ effectivement consultées » dans l'en-tête et « 4 tentées | 3 ✅ | 1 ⛔ » en pied de note, alors que le tableau liste cinq entrées : quatre consultées (handicap.gouv.fr, CNSA, Bulletins officiels, FHF) et une inaccessible (ATIH). La FHF, consultée sans rien apporter dans la fenêtre, disparaissait du total. Décompte rétabli : 5 tentées, 4 consultées dont 3 contributrices, 1 inaccessible.</w:t>
      </w:r>
    </w:p>
    <w:p>
      <w:pPr>
        <w:spacing w:after="80" w:before="80"/>
      </w:pPr>
      <w:r>
        <w:rPr>
          <w:rFonts w:ascii="Calibri" w:cs="Calibri" w:eastAsia="Calibri" w:hAnsi="Calibri"/>
          <w:b w:val="false"/>
          <w:bCs w:val="false"/>
          <w:color w:val="1F2937"/>
          <w:sz w:val="20"/>
          <w:szCs w:val="20"/>
        </w:rPr>
        <w:t xml:space="preserve">4. Périmètre de l'instruction 2026/80 — réserve ajoutée.</w:t>
      </w:r>
    </w:p>
    <w:p>
      <w:pPr>
        <w:spacing w:after="80" w:before="80"/>
      </w:pPr>
      <w:r>
        <w:rPr>
          <w:rFonts w:ascii="Calibri" w:cs="Calibri" w:eastAsia="Calibri" w:hAnsi="Calibri"/>
          <w:b w:val="false"/>
          <w:bCs w:val="false"/>
          <w:color w:val="1F2937"/>
          <w:sz w:val="20"/>
          <w:szCs w:val="20"/>
        </w:rPr>
        <w:t xml:space="preserve">Le chiffre de 16 Md€ est présenté comme la dotation « ESSMS personnes handicapées ». Or le titre complet de l'instruction, vérifié le 26/08/2026, vise les ESMS accueillant des personnes en situation de handicap ET des personnes âgées. Le chiffre n'a pas été modifié — il peut être exact pour le seul champ PH — mais une réserve invite à le confirmer avant réutilisation, d'autant que d'autres relais annoncent une progression d'ensemble différente.</w:t>
      </w:r>
    </w:p>
    <w:p>
      <w:pPr>
        <w:spacing w:after="80" w:before="80"/>
      </w:pPr>
      <w:r>
        <w:rPr>
          <w:rFonts w:ascii="Calibri" w:cs="Calibri" w:eastAsia="Calibri" w:hAnsi="Calibri"/>
          <w:b w:val="false"/>
          <w:bCs w:val="false"/>
          <w:color w:val="1F2937"/>
          <w:sz w:val="20"/>
          <w:szCs w:val="20"/>
        </w:rPr>
        <w:t xml:space="preserve">Vérifié lors de la relecture et inchangé : la date et la présidence de la 14e réunion du comité stratégique (23 mars 2026, Camille Galliard-Minier) ; le lancement du recueil au 30 mars 2026 ; le déploiement au 1er janvier 2027 pour le secteur enfants ; la convergence sur huit ans (2027-2034) ; les quelque 40 variables collectées via SIDOBA ; l'année blanche 2026 ; et le blocage HTTP 403 de l'ATIH, constant depuis le 17/06.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pBdr>
    </w:pPr>
    <w:r>
      <w:rPr>
        <w:rFonts w:ascii="Calibri" w:cs="Calibri" w:eastAsia="Calibri" w:hAnsi="Calibri"/>
        <w:color w:val="9CA3AF"/>
        <w:sz w:val="16"/>
        <w:szCs w:val="16"/>
      </w:rPr>
      <w:t xml:space="preserve">Document généré automatiquement le 26 août 2026 — </w:t>
    </w:r>
    <w:r>
      <w:rPr>
        <w:rFonts w:ascii="Calibri" w:cs="Calibri" w:eastAsia="Calibri" w:hAnsi="Calibri"/>
        <w:color w:val="9CA3AF"/>
        <w:sz w:val="16"/>
        <w:szCs w:val="16"/>
      </w:rPr>
      <w:t xml:space="preserve">Sources : 3/4 consultées ✅ | 1 ⛔ (ATIH 403)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pBdr>
    </w:pPr>
    <w:r>
      <w:rPr>
        <w:rFonts w:ascii="Calibri" w:cs="Calibri" w:eastAsia="Calibri" w:hAnsi="Calibri"/>
        <w:b/>
        <w:bCs/>
        <w:color w:val="1B3A6B"/>
        <w:sz w:val="20"/>
        <w:szCs w:val="20"/>
      </w:rPr>
      <w:t xml:space="preserve">Veille SERAFIN-PH — Synthèse hebdomadaire</w:t>
    </w:r>
    <w:r>
      <w:rPr>
        <w:rFonts w:ascii="Calibri" w:cs="Calibri" w:eastAsia="Calibri" w:hAnsi="Calibri"/>
        <w:color w:val="6B7280"/>
        <w:sz w:val="18"/>
        <w:szCs w:val="18"/>
      </w:rPr>
      <w:t xml:space="preserve">   |   26 août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handicapgouvcomite14" Type="http://schemas.openxmlformats.org/officeDocument/2006/relationships/hyperlink" Target="https://handicap.gouv.fr/reforme-tarifaire-des-esms-serafin-ph-14e-reunion-du-comite-strategique" TargetMode="External"/><Relationship Id="rIdbulletinsofficiels80" Type="http://schemas.openxmlformats.org/officeDocument/2006/relationships/hyperlink" Target="https://bulletins-officiels.social.gouv.fr/instruction-ndeg-dgcssd5bdsssd1acnsadfo202680-du-16-juin-2026-relative-aux-orientations-de-la-campagne-budgetaire-des-etablissements-et-services-medico-sociaux-accueillant-des-personnes-en-situation-de-handicap-et-des-personnes-agees-pour-lexercice" TargetMode="External"/><Relationship Id="rIdcnsarecueilph2026dec" Type="http://schemas.openxmlformats.org/officeDocument/2006/relationships/hyperlink" Target="https://www.cnsa.fr/actualites/serafin-ph-preparation-du-recueil-dinformations-ph-2026-en-vue-du-deploiement-du-futur" TargetMode="External"/><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SERAFIN-PH — 26 août 2026</dc:title>
  <dc:creator>Claude Code — Job serafin-ph-veille</dc:creator>
  <dc:description>Synthèse hebdomadaire SERAFIN-PH produite automatiquement</dc:description>
  <cp:lastModifiedBy>Un-named</cp:lastModifiedBy>
  <cp:revision>1</cp:revision>
  <dcterms:created xsi:type="dcterms:W3CDTF">2026-08-26T06:07:53.841Z</dcterms:created>
  <dcterms:modified xsi:type="dcterms:W3CDTF">2026-08-26T06:07:53.843Z</dcterms:modified>
</cp:coreProperties>
</file>

<file path=docProps/custom.xml><?xml version="1.0" encoding="utf-8"?>
<Properties xmlns="http://schemas.openxmlformats.org/officeDocument/2006/custom-properties" xmlns:vt="http://schemas.openxmlformats.org/officeDocument/2006/docPropsVTypes"/>
</file>