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B3A6B"/>
          <w:sz w:val="52"/>
          <w:szCs w:val="52"/>
        </w:rPr>
        <w:t xml:space="preserve">Leçon Revenus passifs n°05 / 10</w:t>
      </w:r>
    </w:p>
    <w:p>
      <w:pPr>
        <w:spacing w:after="80" w:before="80"/>
        <w:jc w:val="center"/>
      </w:pPr>
      <w:r>
        <w:rPr>
          <w:rFonts w:ascii="Times New Roman" w:cs="Times New Roman" w:eastAsia="Times New Roman" w:hAnsi="Times New Roman"/>
          <w:b/>
          <w:bCs/>
          <w:color w:val="1B3A6B"/>
          <w:sz w:val="36"/>
          <w:szCs w:val="36"/>
        </w:rPr>
        <w:t xml:space="preserve">Idées 1 et 2 — Produits numériques et affiliation</w:t>
      </w:r>
    </w:p>
    <w:p>
      <w:pPr>
        <w:spacing w:after="160" w:before="60"/>
        <w:jc w:val="center"/>
      </w:pPr>
      <w:r>
        <w:rPr>
          <w:rFonts w:ascii="Times New Roman" w:cs="Times New Roman" w:eastAsia="Times New Roman" w:hAnsi="Times New Roman"/>
          <w:i/>
          <w:iCs/>
          <w:color w:val="1F2937"/>
          <w:sz w:val="22"/>
          <w:szCs w:val="22"/>
        </w:rPr>
        <w:t xml:space="preserve">Dimanche 23 août 2026  •  Parcours fermé de 10 leçons</w:t>
      </w:r>
    </w:p>
    <w:p>
      <w:pPr>
        <w:pBdr>
          <w:bottom w:val="single" w:color="CCCCCC" w:sz="4"/>
        </w:pBdr>
        <w:spacing w:after="80" w:before="80"/>
      </w:pPr>
    </w:p>
    <w:p>
      <w:pPr>
        <w:pStyle w:val="Heading2"/>
        <w:pBdr>
          <w:bottom w:val="single" w:color="1B3A6B" w:sz="6"/>
        </w:pBdr>
        <w:spacing w:after="120" w:before="28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⚠️ Cadre déontologique</w:t>
      </w:r>
    </w:p>
    <w:p>
      <w:pPr>
        <w:pBdr>
          <w:left w:val="thick" w:color="D97706" w:sz="12"/>
        </w:pBdr>
        <w:shd w:fill="FFF4E5" w:val="clear"/>
        <w:spacing w:after="40" w:before="120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Ces leçons sont ÉDUCATIVES et GÉNÉRALISTES. Elles ne constituent PAS un conseil en investissement ni une recommandation personnalisée.</w:t>
      </w:r>
    </w:p>
    <w:p>
      <w:pPr>
        <w:pBdr>
          <w:left w:val="thick" w:color="D97706" w:sz="12"/>
        </w:pBdr>
        <w:shd w:fill="FFF4E5" w:val="clear"/>
        <w:spacing w:after="40" w:before="40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En France, le conseil en investissement est une activité réglementée (statut CIF, registre ORIAS). Ce parcours ne dispense pas de conseil agréé.</w:t>
      </w:r>
    </w:p>
    <w:p>
      <w:pPr>
        <w:pBdr>
          <w:left w:val="thick" w:color="D97706" w:sz="12"/>
        </w:pBdr>
        <w:shd w:fill="FFF4E5" w:val="clear"/>
        <w:spacing w:after="40" w:before="40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Le secteur des « revenus passifs » est saturé de promesses trompeuses et d'arnaques. Cette leçon expose sans complaisance les réalités chiffrées : taux d'échec, temps de travail réel, coûts, fiscalité et signaux d'alerte.</w:t>
      </w:r>
    </w:p>
    <w:p>
      <w:pPr>
        <w:pBdr>
          <w:left w:val="thick" w:color="D97706" w:sz="12"/>
        </w:pBdr>
        <w:shd w:fill="FFF4E5" w:val="clear"/>
        <w:spacing w:after="120" w:before="40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Toute décision relève de vous, le cas échéant avec un professionnel agréé.</w:t>
      </w:r>
    </w:p>
    <w:p>
      <w:pPr>
        <w:pStyle w:val="Heading2"/>
        <w:pBdr>
          <w:bottom w:val="single" w:color="1B3A6B" w:sz="6"/>
        </w:pBdr>
        <w:spacing w:after="120" w:before="28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🎯 Objectif &amp; continuité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À l'issue de cette leçon, vous serez capable de 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Distinguer les modèles produits numériques, contenus monétisés et affiliation dans leur fonctionnement réel.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Identifier les coûts, le temps de travail effectif et la fiscalité applicables à chacun.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Repérer les signaux d'arnaque caractéristiques de ces secteurs.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Réaliser une analyse critique d'une offre commerciale dans ces domaines.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Lien avec les leçons précédentes : la leçon 04 a établi que tout modèle de revenu passif comporte des coûts cachés, une maintenance obligatoire et une fiscalité souvent sous-estimée. Cette leçon applique ce cadre analytique aux deux premières idées concrètes du parcours.</w:t>
      </w:r>
    </w:p>
    <w:p>
      <w:pPr>
        <w:pStyle w:val="Heading2"/>
        <w:pBdr>
          <w:bottom w:val="single" w:color="1B3A6B" w:sz="6"/>
        </w:pBdr>
        <w:spacing w:after="120" w:before="28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🔬 Théorie (20 %) — Anatomie de deux modèles</w:t>
      </w:r>
    </w:p>
    <w:p>
      <w:pPr>
        <w:pStyle w:val="Heading3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1. Produits numériques : ebooks, formations, templates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Un produit numérique est un fichier ou un accès numérique vendu et livré sans stock physique. Trois catégories dominent dans le discours sur les revenus passifs 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Ebooks et guides PDF : document structuré vendu en téléchargement. Ticket d'entrée bas, marges élevées. Mais saturation forte sur la plupart des niches.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Formations en ligne : cours structuré (vidéos, quiz, PDF) vendu en accès unique ou abonnement. Valeur perçue plus élevée, ticket supérieur, mais maintenance continue indispensable (mises à jour, support apprenant).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Templates et ressources : fichiers réutilisables (Notion, Canva, Excel, Figma, code). Faible ticket moyen, volume nécessaire pour générer un revenu significatif.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Le mythe du « créez une fois, vendez pour toujours » se heurte à trois réalités : (1) la durée de vie d'un produit numérique est limitée par l'évolution du sujet et des outils ; (2) les plateformes de distribution prélèvent des commissions significatives ; (3) le trafic ne vient pas seul — il s'acquiert par du travail continu en marketing.</w:t>
      </w:r>
    </w:p>
    <w:p>
      <w:pPr>
        <w:pStyle w:val="Heading3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2. Contenus monétisés et affiliation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Le contenu monétisé désigne une production régulière (articles, vidéos, podcasts, newsletters) qui génère des revenus via des tiers : publicité programmatique, partenariats sponsorisés, ou affiliation.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L'affiliation est un modèle où un éditeur (l'affilié) promeut les produits d'un annonceur en échange d'une commission sur les ventes générées via son lien de tracking. Ce modèle représentait 16 % de toutes les ventes e-commerce mondiales en 2024 (synthèse, source WebSearch Shopify).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Structure d'une commission d'affiliation : l'affilié perçoit un pourcentage du prix de vente (ou un montant fixe par action) lorsqu'un acheteur passe par son lien. Les taux varient de 1 % (e-commerce généraliste, Amazon) à 50 % et plus (produits info-business, SaaS).</w:t>
      </w:r>
    </w:p>
    <w:p>
      <w:pPr>
        <w:pStyle w:val="Heading3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3. Le continuum actif → passif dans ces modèles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Ces modèles ne sont passifs qu'après une phase de construction intensive et restent dépendants d'une maintenance régulière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B3A6B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Modèle</w:t>
            </w:r>
          </w:p>
        </w:tc>
        <w:tc>
          <w:tcPr>
            <w:shd w:fill="1B3A6B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Phase active initiale</w:t>
            </w:r>
          </w:p>
        </w:tc>
        <w:tc>
          <w:tcPr>
            <w:shd w:fill="1B3A6B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Maintenance ongoing</w:t>
            </w:r>
          </w:p>
        </w:tc>
        <w:tc>
          <w:tcPr>
            <w:shd w:fill="1B3A6B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Passivité réelle</w:t>
            </w:r>
          </w:p>
        </w:tc>
      </w:tr>
      <w:tr>
        <w:tc>
          <w:tcPr>
            <w:shd w:fill="FFFFFF" w:val="clear"/>
            <w:vAlign w:val="center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Ebook / PDF</w:t>
            </w:r>
          </w:p>
        </w:tc>
        <w:tc>
          <w:tcPr>
            <w:shd w:fill="FFFFFF" w:val="clear"/>
            <w:vAlign w:val="center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Rédaction (semaines à mois)</w:t>
            </w:r>
          </w:p>
        </w:tc>
        <w:tc>
          <w:tcPr>
            <w:shd w:fill="FFFFFF" w:val="clear"/>
            <w:vAlign w:val="center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Mise à jour périodique, SAV</w:t>
            </w:r>
          </w:p>
        </w:tc>
        <w:tc>
          <w:tcPr>
            <w:shd w:fill="FFFFFF" w:val="clear"/>
            <w:vAlign w:val="center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Faible à moyenne</w:t>
            </w:r>
          </w:p>
        </w:tc>
      </w:tr>
      <w:tr>
        <w:tc>
          <w:tcPr>
            <w:shd w:fill="EEF2F7" w:val="clear"/>
            <w:vAlign w:val="center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Formation en ligne</w:t>
            </w:r>
          </w:p>
        </w:tc>
        <w:tc>
          <w:tcPr>
            <w:shd w:fill="EEF2F7" w:val="clear"/>
            <w:vAlign w:val="center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Production vidéo + plateforme (mois)</w:t>
            </w:r>
          </w:p>
        </w:tc>
        <w:tc>
          <w:tcPr>
            <w:shd w:fill="EEF2F7" w:val="clear"/>
            <w:vAlign w:val="center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Support, mises à jour majeures</w:t>
            </w:r>
          </w:p>
        </w:tc>
        <w:tc>
          <w:tcPr>
            <w:shd w:fill="EEF2F7" w:val="clear"/>
            <w:vAlign w:val="center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Faible</w:t>
            </w:r>
          </w:p>
        </w:tc>
      </w:tr>
      <w:tr>
        <w:tc>
          <w:tcPr>
            <w:shd w:fill="FFFFFF" w:val="clear"/>
            <w:vAlign w:val="center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Templates</w:t>
            </w:r>
          </w:p>
        </w:tc>
        <w:tc>
          <w:tcPr>
            <w:shd w:fill="FFFFFF" w:val="clear"/>
            <w:vAlign w:val="center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Conception + documentation (jours à semaines)</w:t>
            </w:r>
          </w:p>
        </w:tc>
        <w:tc>
          <w:tcPr>
            <w:shd w:fill="FFFFFF" w:val="clear"/>
            <w:vAlign w:val="center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Correctifs, nouvelles versions</w:t>
            </w:r>
          </w:p>
        </w:tc>
        <w:tc>
          <w:tcPr>
            <w:shd w:fill="FFFFFF" w:val="clear"/>
            <w:vAlign w:val="center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Moyenne</w:t>
            </w:r>
          </w:p>
        </w:tc>
      </w:tr>
      <w:tr>
        <w:tc>
          <w:tcPr>
            <w:shd w:fill="EEF2F7" w:val="clear"/>
            <w:vAlign w:val="center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Blog / SEO + affiliation</w:t>
            </w:r>
          </w:p>
        </w:tc>
        <w:tc>
          <w:tcPr>
            <w:shd w:fill="EEF2F7" w:val="clear"/>
            <w:vAlign w:val="center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Production de contenu (12-24 mois avant revenus stables)</w:t>
            </w:r>
          </w:p>
        </w:tc>
        <w:tc>
          <w:tcPr>
            <w:shd w:fill="EEF2F7" w:val="clear"/>
            <w:vAlign w:val="center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Publication régulière obligatoire</w:t>
            </w:r>
          </w:p>
        </w:tc>
        <w:tc>
          <w:tcPr>
            <w:shd w:fill="EEF2F7" w:val="clear"/>
            <w:vAlign w:val="center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Très faible</w:t>
            </w:r>
          </w:p>
        </w:tc>
      </w:tr>
      <w:tr>
        <w:tc>
          <w:tcPr>
            <w:shd w:fill="FFFFFF" w:val="clear"/>
            <w:vAlign w:val="center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Chaîne YouTube + affiliation</w:t>
            </w:r>
          </w:p>
        </w:tc>
        <w:tc>
          <w:tcPr>
            <w:shd w:fill="FFFFFF" w:val="clear"/>
            <w:vAlign w:val="center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Production vidéo régulière (12-36 mois)</w:t>
            </w:r>
          </w:p>
        </w:tc>
        <w:tc>
          <w:tcPr>
            <w:shd w:fill="FFFFFF" w:val="clear"/>
            <w:vAlign w:val="center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Cadence de publication, tendances</w:t>
            </w:r>
          </w:p>
        </w:tc>
        <w:tc>
          <w:tcPr>
            <w:shd w:fill="FFFFFF" w:val="clear"/>
            <w:vAlign w:val="center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Très faible</w:t>
            </w:r>
          </w:p>
        </w:tc>
      </w:tr>
    </w:tbl>
    <w:p>
      <w:pPr>
        <w:pStyle w:val="Heading2"/>
        <w:pBdr>
          <w:bottom w:val="single" w:color="1B3A6B" w:sz="6"/>
        </w:pBdr>
        <w:spacing w:after="120" w:before="28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📉 Ancrage réaliste — Ce que les chiffres disent vraiment</w:t>
      </w:r>
    </w:p>
    <w:p>
      <w:pPr>
        <w:pBdr>
          <w:left w:val="thick" w:color="D97706" w:sz="12"/>
        </w:pBdr>
        <w:shd w:fill="FFF4E5" w:val="clear"/>
        <w:spacing w:after="120" w:before="120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⚠️ SECTION OBLIGATOIRE — Données documentées. Aucun chiffre inventé : les sources non vérifiables sur source primaire sont explicitement signalées.</w:t>
      </w:r>
    </w:p>
    <w:p>
      <w:pPr>
        <w:pStyle w:val="Heading3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Taux d'échec et réalité des revenus — Formations en ligne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Taux de complétion des formations non tutorées : environ 10 %. « Neuf personnes sur dix qui commencent une formation en ligne livrée sans accompagnement ne la terminent jamais » — (source : cyberini.com, récupéré le 23/08/2026, URL vérifiée 200).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Implication pour le créateur : si votre formation a un taux de complétion de 10 %, 90 % de vos acheteurs n'en verront pas la valeur complète — ce qui affecte les avis, le bouche-à-oreille et les renouvellements d'abonnement.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Avec accompagnement (tutoring) : 51 % des apprenants dépassent 80 % de complétion — mais l'accompagnement redevient du travail actif, pas passif (source : cyberini.com).</w:t>
      </w:r>
    </w:p>
    <w:p>
      <w:pPr>
        <w:pStyle w:val="Heading3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Taux d'échec et réalité des revenus — Affiliation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57,6 % des affiliés gagnent moins de 10 000 € par an (soit moins de 833 € par mois en moyenne). Les affiliés débutants gagnent entre 0 et 100 € par mois pendant les 6 à 12 premiers mois (synthèse issue de WebSearch Shopify/statistiques marketing affiliation, 2025 — source secondaire, à recouper).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Le marché de l'affiliation en France pesait 440 millions d'euros (synthèse WebSearch). Ce chiffre agrégé masque une distribution très inégale : une minorité concentre la majorité des revenus.</w:t>
      </w:r>
    </w:p>
    <w:p>
      <w:pPr>
        <w:pStyle w:val="Heading3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Temps réel nécessaire (non passif)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Ebook : 40 à 200 heures de travail initial pour un contenu de qualité + rédaction de pages de vente + emailing.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Formation vidéo : 5 à 30 heures de préparation par heure de contenu filmé, selon le niveau de production.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Blog SEO + affiliation : 12 à 24 mois de publication régulière (1 à 4 articles/semaine) avant d'atteindre un trafic organique significatif.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Affiliation seule : sans audience préexistante, les revenus sont quasi-nuls les 6 à 12 premiers mois.</w:t>
      </w:r>
    </w:p>
    <w:p>
      <w:pPr>
        <w:pStyle w:val="Heading3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Coûts réels (non exhaustif)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B3A6B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Poste de coût</w:t>
            </w:r>
          </w:p>
        </w:tc>
        <w:tc>
          <w:tcPr>
            <w:shd w:fill="1B3A6B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Produits numériques</w:t>
            </w:r>
          </w:p>
        </w:tc>
        <w:tc>
          <w:tcPr>
            <w:shd w:fill="1B3A6B" w:val="clear"/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Affiliation/contenu</w:t>
            </w:r>
          </w:p>
        </w:tc>
      </w:tr>
      <w:tr>
        <w:tc>
          <w:tcPr>
            <w:shd w:fill="FFFFFF" w:val="clear"/>
            <w:vAlign w:val="center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Plateforme de vente/hébergement</w:t>
            </w:r>
          </w:p>
        </w:tc>
        <w:tc>
          <w:tcPr>
            <w:shd w:fill="FFFFFF" w:val="clear"/>
            <w:vAlign w:val="center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Gumroad (10%), Teachable (29€+/mois), Podia…</w:t>
            </w:r>
          </w:p>
        </w:tc>
        <w:tc>
          <w:tcPr>
            <w:shd w:fill="FFFFFF" w:val="clear"/>
            <w:vAlign w:val="center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WordPress/hébergement : 5-20€/mois</w:t>
            </w:r>
          </w:p>
        </w:tc>
      </w:tr>
      <w:tr>
        <w:tc>
          <w:tcPr>
            <w:shd w:fill="EEF2F7" w:val="clear"/>
            <w:vAlign w:val="center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Outils création</w:t>
            </w:r>
          </w:p>
        </w:tc>
        <w:tc>
          <w:tcPr>
            <w:shd w:fill="EEF2F7" w:val="clear"/>
            <w:vAlign w:val="center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Canva Pro (15€/mois), Loom, montage vidéo…</w:t>
            </w:r>
          </w:p>
        </w:tc>
        <w:tc>
          <w:tcPr>
            <w:shd w:fill="EEF2F7" w:val="clear"/>
            <w:vAlign w:val="center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SEMrush/Ahrefs (100-200€/mois pour SEO)</w:t>
            </w:r>
          </w:p>
        </w:tc>
      </w:tr>
      <w:tr>
        <w:tc>
          <w:tcPr>
            <w:shd w:fill="FFFFFF" w:val="clear"/>
            <w:vAlign w:val="center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Emailing</w:t>
            </w:r>
          </w:p>
        </w:tc>
        <w:tc>
          <w:tcPr>
            <w:shd w:fill="FFFFFF" w:val="clear"/>
            <w:vAlign w:val="center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Mailchimp, Brevo (gratuit jusqu'à ~500 contacts)</w:t>
            </w:r>
          </w:p>
        </w:tc>
        <w:tc>
          <w:tcPr>
            <w:shd w:fill="FFFFFF" w:val="clear"/>
            <w:vAlign w:val="center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Idem</w:t>
            </w:r>
          </w:p>
        </w:tc>
      </w:tr>
      <w:tr>
        <w:tc>
          <w:tcPr>
            <w:shd w:fill="EEF2F7" w:val="clear"/>
            <w:vAlign w:val="center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Publicité (optionnel)</w:t>
            </w:r>
          </w:p>
        </w:tc>
        <w:tc>
          <w:tcPr>
            <w:shd w:fill="EEF2F7" w:val="clear"/>
            <w:vAlign w:val="center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Meta Ads, Google Ads : budget variable</w:t>
            </w:r>
          </w:p>
        </w:tc>
        <w:tc>
          <w:tcPr>
            <w:shd w:fill="EEF2F7" w:val="clear"/>
            <w:vAlign w:val="center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Meta Ads pour booster audience</w:t>
            </w:r>
          </w:p>
        </w:tc>
      </w:tr>
      <w:tr>
        <w:tc>
          <w:tcPr>
            <w:shd w:fill="FFFFFF" w:val="clear"/>
            <w:vAlign w:val="center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Commission plateforme</w:t>
            </w:r>
          </w:p>
        </w:tc>
        <w:tc>
          <w:tcPr>
            <w:shd w:fill="FFFFFF" w:val="clear"/>
            <w:vAlign w:val="center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5-30 % selon plateforme</w:t>
            </w:r>
          </w:p>
        </w:tc>
        <w:tc>
          <w:tcPr>
            <w:shd w:fill="FFFFFF" w:val="clear"/>
            <w:vAlign w:val="center"/>
          </w:tcPr>
          <w:p>
            <w:r>
              <w:rPr>
                <w:rFonts w:ascii="Times New Roman" w:cs="Times New Roman" w:eastAsia="Times New Roman" w:hAnsi="Times New Roman"/>
                <w:color w:val="1F2937"/>
                <w:sz w:val="20"/>
                <w:szCs w:val="20"/>
              </w:rPr>
              <w:t xml:space="preserve">Réseau affiliation : commission fixée par l'annonceur</w:t>
            </w:r>
          </w:p>
        </w:tc>
      </w:tr>
    </w:tbl>
    <w:p>
      <w:pPr>
        <w:spacing w:after="80" w:before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2937"/>
          <w:sz w:val="22"/>
          <w:szCs w:val="22"/>
        </w:rPr>
        <w:t xml:space="preserve">Note : les montants ci-dessus sont des ordres de grandeur basés sur les tarifs publics des plateformes à la date de rédaction. Vérifiez les tarifs actuels directement sur chaque site.</w:t>
      </w:r>
    </w:p>
    <w:p>
      <w:pPr>
        <w:pStyle w:val="Heading3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Fiscalité applicable en France (2026)</w:t>
      </w:r>
    </w:p>
    <w:p>
      <w:pPr>
        <w:pBdr>
          <w:left w:val="thick" w:color="D97706" w:sz="12"/>
        </w:pBdr>
        <w:shd w:fill="FFF4E5" w:val="clear"/>
        <w:spacing w:after="120" w:before="120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⚠️ DONNÉES FISCALES — Source primaire urssaf.fr inaccessible lors de cette exécution (code réseau 000 — ECONNRESET répété). Les chiffres ci-dessous proviennent d'abby.fr (source secondaire, récupérée et vérifiée 200 le 23/08/2026) et d'une recherche WebSearch citant autoentrepreneur.urssaf.fr. RÈGLE IMPÉRATIVE : vérifiez ces valeurs directement sur autoentrepreneur.urssaf.fr avant toute décision.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Régime applicable selon la nature de l'activité 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Vente de produits numériques (ebooks, templates) : classée généralement en BIC (Bénéfices Industriels et Commerciaux).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Formation en ligne, conseil, coaching : classée généralement en BNC (Bénéfices Non Commerciaux) — profession libérale non réglementée.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Affiliation : revenus classés en BNC ou BIC selon la nature du contrat. À qualifier avec un comptable.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Seuils de chiffre d'affaires 2026 pour le régime micro-entrepreneur (abby.fr, citant URSSAF 2026 — à vérifier sur autoentrepreneur.urssaf.fr) 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BIC vente de marchandises : 203 100 €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BIC services &amp; BNC (prestations, formations, affiliation) : 83 600 €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Taux de cotisations sociales 2026 (abby.fr, citant URSSAF 2026 — à vérifier sur autoentrepreneur.urssaf.fr) 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BNC régime général (Sécurité Sociale des Indépendants) : 25,6 % du chiffre d'affaires (hausse par rapport à 24,6 % en 2025)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BNC professions relevant de la CIPAV : 23,2 %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2"/>
          <w:szCs w:val="22"/>
        </w:rPr>
        <w:t xml:space="preserve">⚠️ Ces taux s'appliquent au chiffre d'affaires brut, pas au bénéfice. Sur 1 000 € encaissés, 256 € vont aux cotisations sociales avant tout impôt sur le revenu.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Abattements forfaitaires pour l'impôt sur le revenu (WebSearch, sources secondaires — à vérifier sur impots.gouv.fr) 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Micro-BNC : abattement forfaitaire de 34 % sur le chiffre d'affaires → base imposable = 66 % du CA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Micro-BIC services : abattement forfaitaire de 50 % → base imposable = 50 % du CA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Micro-BIC ventes : abattement forfaitaire de 71 % → base imposable = 29 % du CA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2937"/>
          <w:sz w:val="22"/>
          <w:szCs w:val="22"/>
        </w:rPr>
        <w:t xml:space="preserve">La base imposable est ensuite soumise au barème progressif de l'impôt sur le revenu OU, sur option, au versement libératoire (taux fixe), selon les conditions de revenus du foyer fiscal.</w:t>
      </w:r>
    </w:p>
    <w:p>
      <w:pPr>
        <w:pStyle w:val="Heading3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Signaux d'arnaque — propres à ces secteurs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L'AMF a recensé près de 100 signalements en trois mois sur des structures MLM proposant des formations au trading, avec des promesses de type « copy, paste, cash » et « wealth is now! » (source : AMF, communiqué récupéré le 23/08/2026).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Formations vendues plusieurs centaines d'euros + abonnement mensuel avec pression à recruter des membres → signal MLM caractérisé.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Promesse d'un revenu passif en quelques semaines sans compétence préalable.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Témoignages de revenus élevés non vérifiables, captures d'écran de virements.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Urgence artificielle (offre limitée, prix qui monte dans 24h).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Absence de mentions légales, pas de statut CIF (conseiller en investissement financier).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Formation sur l'affiliation vendue... en affiliation (le formateur se rémunère sur chaque recrutement).</w:t>
      </w:r>
    </w:p>
    <w:p>
      <w:pPr>
        <w:pBdr>
          <w:left w:val="thick" w:color="1B3A6B" w:sz="10"/>
        </w:pBdr>
        <w:shd w:fill="EEF2F7" w:val="clear"/>
        <w:spacing w:after="100" w:before="100"/>
        <w:ind w:left="540"/>
      </w:pPr>
      <w:r>
        <w:rPr>
          <w:rFonts w:ascii="Times New Roman" w:cs="Times New Roman" w:eastAsia="Times New Roman" w:hAnsi="Times New Roman"/>
          <w:i/>
          <w:iCs/>
          <w:color w:val="1F2937"/>
          <w:sz w:val="22"/>
          <w:szCs w:val="22"/>
        </w:rPr>
        <w:t xml:space="preserve">Règle pratique AMF : tout placement ou business model qui « ne contacte jamais spontanément » mais promet l'accès à un cercle exclusif via messagerie privée ou réseaux sociaux est à considérer comme suspect par défaut. Vérifier sur amf-france.org/fr/espace-epargnants.</w:t>
      </w:r>
    </w:p>
    <w:p>
      <w:pPr>
        <w:pStyle w:val="Heading2"/>
        <w:pBdr>
          <w:bottom w:val="single" w:color="1B3A6B" w:sz="6"/>
        </w:pBdr>
        <w:spacing w:after="120" w:before="28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🛠️ Pratique (80 %) — 3 exercices actifs</w:t>
      </w:r>
    </w:p>
    <w:p>
      <w:pPr>
        <w:pStyle w:val="Heading3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Exercice 1 — Calcul de rentabilité réelle d'un ebook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Contexte : vous créez un ebook de 60 pages vendu 29 € sur la plateforme Gumroad (commission : 10 % du prix de vente).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Données 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Prix de vente : 29 €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Commission Gumroad : 10 % → 2,90 € par vente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Revenu brut par vente : 29 − 2,90 = 26,10 €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Cotisations sociales (BNC 25,6 % sur CA) : 29 × 0,256 = 7,42 €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Revenu net avant IR par vente : 26,10 − 7,42 = 18,68 €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Base imposable IR (abattement 34 % micro-BNC) : 29 × 0,66 = 19,14 €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Questions 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1a. Si vous visez 500 € nets par mois, combien de ventes mensuelles faut-il réaliser ?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1b. Pour atteindre 500 € nets, quel CA mensuel brut devez-vous générer ?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1c. Vous avez investi 15h pour la rédaction et 5h pour la page de vente. Quel est votre taux horaire si vous atteignez 500 € nets en 3 mois ?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2"/>
          <w:szCs w:val="22"/>
        </w:rPr>
        <w:t xml:space="preserve">Corrigé 1a : 500 / 18,68 ≈ 26,8 ventes → 27 ventes/mois nécessaires.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2"/>
          <w:szCs w:val="22"/>
        </w:rPr>
        <w:t xml:space="preserve">Corrigé 1b : 27 × 29 = 783 € de CA brut mensuel nécessaire.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2937"/>
          <w:sz w:val="22"/>
          <w:szCs w:val="22"/>
        </w:rPr>
        <w:t xml:space="preserve">Corrigé 1c : Revenu sur 3 mois = 3 × 500 = 1 500 €. Heures investies = 15 + 5 = 20h. Taux horaire = 1 500 / 20 = 75 €/h. ⚠️ Cette valeur suppose que les 27 ventes/mois sont atteintes dès le mois 1, ce qui est rarement le cas. Avec une montée en charge réaliste (5, 15, 27 ventes sur 3 mois), le revenu réel sur 3 mois est (5 + 15 + 27) × 18,68 = 879 € → taux horaire effectif = 879 / 20 = 43,95 €/h.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2937"/>
          <w:sz w:val="22"/>
          <w:szCs w:val="22"/>
        </w:rPr>
        <w:t xml:space="preserve">Vérification de cohérence : le calcul est conforme à la théorie (section fiscalité) qui établit : cotisations = 25,6 % du CA brut et abattement IR = 34 %. Les deux chiffres sont appliqués séparément (les cotisations ne réduisent pas la base de l'abattement forfaitaire en régime micro).</w:t>
      </w:r>
    </w:p>
    <w:p>
      <w:pPr>
        <w:pStyle w:val="Heading3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Exercice 2 — Analyse critique d'une offre d'affiliation réelle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Cherchez sur internet une formation en affiliation proposée à plus de 200 €. Analysez-la selon la grille suivante et répondez par écrit 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Qui vend la formation ? (personne physique, société ? Statut CIF ?)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Quel est le modèle économique du formateur lui-même ? (vend-il de l'affiliation ou de la formation ?)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Y a-t-il des témoignages de revenus ? Sont-ils vérifiables ?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La formation évoque-t-elle les cotisations sociales et la fiscalité ?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Y a-t-il un programme de parrainage pour recruter d'autres acheteurs ? (signal MLM)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Quel est le taux de remboursement/garantie proposé et sous quelles conditions ?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Conclusion attendue : rédigez en 5 lignes votre verdict (offre légitimement pédagogique, offre survalorisée mais honnête, signal MLM caractérisé, arnaque probable). Justifiez sur au moins 3 critères.</w:t>
      </w:r>
    </w:p>
    <w:p>
      <w:pPr>
        <w:pStyle w:val="Heading3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Exercice 3 — Cartographie d'un modèle affiliation sur une niche donnée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Choisissez une niche qui vous intéresse (bricolage, photographie, nutrition, finance personnelle, jardinage…). Construisez une cartographie en répondant aux questions suivantes 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Quel programme d'affiliation existe dans cette niche ? (Amazon Partenaires, programme spécifique, réseau comme Awin ou Effiliation)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Quel est le taux de commission moyen constaté ?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Quel canal de diffusion choisiriez-vous (blog SEO, chaîne YouTube, newsletter, réseaux sociaux) et pourquoi ?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Estimation réaliste du trafic mensuel nécessaire pour générer 200 € de commissions (taux de clic et de conversion moyens de 1-3 %).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Quel temps hebdomadaire estimez-vous nécessaire en phase de construction (6 premiers mois) ?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Livrable : tableau à 5 colonnes (canal, programme, commission, trafic cible, temps hebdo) + commentaire de faisabilité honnête.</w:t>
      </w:r>
    </w:p>
    <w:p>
      <w:pPr>
        <w:pStyle w:val="Heading2"/>
        <w:pBdr>
          <w:bottom w:val="single" w:color="1B3A6B" w:sz="6"/>
        </w:pBdr>
        <w:spacing w:after="120" w:before="28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🎯 Challenge — Simulation de décision éclairée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Vous disposez de 500 € de budget et de 8h par semaine pendant 6 mois. Vous devez choisir entre les deux modèles étudiés (produit numérique OU affiliation). Rédigez une note de décision structurée (2 pages max) comportant 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Le modèle choisi et sa justification (critères objectifs, pas affectifs).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Le plan d'action des 6 mois semaine par semaine (jalons réalistes).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Le calcul de rentabilité projeté à 6 mois et à 12 mois, avec les cotisations sociales et l'impôt intégrés.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Les 3 risques principaux et les mesures d'atténuation.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Les 3 signaux qui vous feraient arrêter le projet avant 6 mois.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/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2937"/>
          <w:sz w:val="22"/>
          <w:szCs w:val="22"/>
        </w:rPr>
        <w:t xml:space="preserve">Garde-fou : si votre calcul de rentabilité à 6 mois est supérieur à 800 €/mois nets, revérifiez vos hypothèses de trafic et de conversion — elles sont probablement optimistes.</w:t>
      </w:r>
    </w:p>
    <w:p>
      <w:pPr>
        <w:pStyle w:val="Heading2"/>
        <w:pBdr>
          <w:bottom w:val="single" w:color="1B3A6B" w:sz="6"/>
        </w:pBdr>
        <w:spacing w:after="120" w:before="28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📚 Ressources cliquables</w:t>
      </w:r>
    </w:p>
    <w:p>
      <w:pPr>
        <w:pStyle w:val="ListParagraph"/>
        <w:numPr>
          <w:ilvl w:val="0"/>
          <w:numId w:val="1"/>
        </w:numPr>
        <w:spacing w:after="60" w:before="60"/>
      </w:pPr>
      <w:hyperlink w:history="1" r:id="rIdeatesuixljswdikqf8yjw">
        <w:r>
          <w:rPr>
            <w:rFonts w:ascii="Times New Roman" w:cs="Times New Roman" w:eastAsia="Times New Roman" w:hAnsi="Times New Roman"/>
            <w:color w:val="1155CC"/>
            <w:sz w:val="22"/>
            <w:szCs w:val="22"/>
            <w:u w:val="single"/>
          </w:rPr>
          <w:t xml:space="preserve">AMF — Espace épargnants : arnaques et protections (200)</w:t>
        </w:r>
      </w:hyperlink>
    </w:p>
    <w:p>
      <w:pPr>
        <w:pStyle w:val="ListParagraph"/>
        <w:numPr>
          <w:ilvl w:val="0"/>
          <w:numId w:val="1"/>
        </w:numPr>
        <w:spacing w:after="60" w:before="60"/>
      </w:pPr>
      <w:hyperlink w:history="1" r:id="rIdmhmzo-oknoq6erv1yqnk-">
        <w:r>
          <w:rPr>
            <w:rFonts w:ascii="Times New Roman" w:cs="Times New Roman" w:eastAsia="Times New Roman" w:hAnsi="Times New Roman"/>
            <w:color w:val="1155CC"/>
            <w:sz w:val="22"/>
            <w:szCs w:val="22"/>
            <w:u w:val="single"/>
          </w:rPr>
          <w:t xml:space="preserve">AMF — Alerte MLM formations au trading (200)</w:t>
        </w:r>
      </w:hyperlink>
    </w:p>
    <w:p>
      <w:pPr>
        <w:pStyle w:val="ListParagraph"/>
        <w:numPr>
          <w:ilvl w:val="0"/>
          <w:numId w:val="1"/>
        </w:numPr>
        <w:spacing w:after="60" w:before="60"/>
      </w:pPr>
      <w:hyperlink w:history="1" r:id="rIdagxphdikr3hma6r2dkfxb">
        <w:r>
          <w:rPr>
            <w:rFonts w:ascii="Times New Roman" w:cs="Times New Roman" w:eastAsia="Times New Roman" w:hAnsi="Times New Roman"/>
            <w:color w:val="1155CC"/>
            <w:sz w:val="22"/>
            <w:szCs w:val="22"/>
            <w:u w:val="single"/>
          </w:rPr>
          <w:t xml:space="preserve">Cyberini — Statistiques formations en ligne 2026 : taux de complétion (200)</w:t>
        </w:r>
      </w:hyperlink>
    </w:p>
    <w:p>
      <w:pPr>
        <w:pStyle w:val="ListParagraph"/>
        <w:numPr>
          <w:ilvl w:val="0"/>
          <w:numId w:val="1"/>
        </w:numPr>
        <w:spacing w:after="60" w:before="60"/>
      </w:pPr>
      <w:hyperlink w:history="1" r:id="rIdlrpswwgxdqpxyrahvwgka">
        <w:r>
          <w:rPr>
            <w:rFonts w:ascii="Times New Roman" w:cs="Times New Roman" w:eastAsia="Times New Roman" w:hAnsi="Times New Roman"/>
            <w:color w:val="1155CC"/>
            <w:sz w:val="22"/>
            <w:szCs w:val="22"/>
            <w:u w:val="single"/>
          </w:rPr>
          <w:t xml:space="preserve">Shopify — Statistiques marketing d'affiliation 2025 (200)</w:t>
        </w:r>
      </w:hyperlink>
    </w:p>
    <w:p>
      <w:pPr>
        <w:pStyle w:val="ListParagraph"/>
        <w:numPr>
          <w:ilvl w:val="0"/>
          <w:numId w:val="1"/>
        </w:numPr>
        <w:spacing w:after="60" w:before="60"/>
      </w:pPr>
      <w:hyperlink w:history="1" r:id="rIdnp2q7izv_i9oullywpd4x">
        <w:r>
          <w:rPr>
            <w:rFonts w:ascii="Times New Roman" w:cs="Times New Roman" w:eastAsia="Times New Roman" w:hAnsi="Times New Roman"/>
            <w:color w:val="1155CC"/>
            <w:sz w:val="22"/>
            <w:szCs w:val="22"/>
            <w:u w:val="single"/>
          </w:rPr>
          <w:t xml:space="preserve">Abby.fr — BIC ou BNC en micro-entreprise : taux et seuils 2026 (200 — source secondaire citant URSSAF)</w:t>
        </w:r>
      </w:hyperlink>
    </w:p>
    <w:p>
      <w:pPr>
        <w:pStyle w:val="ListParagraph"/>
        <w:numPr>
          <w:ilvl w:val="0"/>
          <w:numId w:val="1"/>
        </w:numPr>
        <w:spacing w:after="60" w:before="60"/>
      </w:pPr>
      <w:hyperlink w:history="1" r:id="rIdnw0wjs2ij7f1j8z9y1eyi">
        <w:r>
          <w:rPr>
            <w:rFonts w:ascii="Times New Roman" w:cs="Times New Roman" w:eastAsia="Times New Roman" w:hAnsi="Times New Roman"/>
            <w:color w:val="1155CC"/>
            <w:sz w:val="22"/>
            <w:szCs w:val="22"/>
            <w:u w:val="single"/>
          </w:rPr>
          <w:t xml:space="preserve">URSSAF — Essentiel du statut auto-entrepreneur (à vérifier directement — inaccessible lors de cette exécution)</w:t>
        </w:r>
      </w:hyperlink>
    </w:p>
    <w:p>
      <w:pPr>
        <w:pStyle w:val="ListParagraph"/>
        <w:numPr>
          <w:ilvl w:val="0"/>
          <w:numId w:val="1"/>
        </w:numPr>
        <w:spacing w:after="60" w:before="60"/>
      </w:pPr>
      <w:hyperlink w:history="1" r:id="rIdfa15sgfxyj-nexj4f2fu-">
        <w:r>
          <w:rPr>
            <w:rFonts w:ascii="Times New Roman" w:cs="Times New Roman" w:eastAsia="Times New Roman" w:hAnsi="Times New Roman"/>
            <w:color w:val="1155CC"/>
            <w:sz w:val="22"/>
            <w:szCs w:val="22"/>
            <w:u w:val="single"/>
          </w:rPr>
          <w:t xml:space="preserve">Impôts.gouv.fr — Revenus du capital et abattements (à vérifier directement — non récupéré lors de cette exécution)</w:t>
        </w:r>
      </w:hyperlink>
    </w:p>
    <w:p>
      <w:pPr>
        <w:pStyle w:val="Heading2"/>
        <w:pBdr>
          <w:bottom w:val="single" w:color="1B3A6B" w:sz="6"/>
        </w:pBdr>
        <w:spacing w:after="120" w:before="28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🔍 Transparence — Points non sourcés sur source primaire</w:t>
      </w:r>
    </w:p>
    <w:p>
      <w:pPr>
        <w:pBdr>
          <w:left w:val="thick" w:color="D97706" w:sz="12"/>
        </w:pBdr>
        <w:shd w:fill="FFF4E5" w:val="clear"/>
        <w:spacing w:after="40" w:before="120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Conformément aux garde-fous qualité du parcours, voici les points qui n'ont PAS pu être vérifiés sur source primaire lors de cette exécution :</w:t>
      </w:r>
    </w:p>
    <w:p>
      <w:pPr>
        <w:pBdr>
          <w:left w:val="thick" w:color="D97706" w:sz="12"/>
        </w:pBdr>
        <w:shd w:fill="FFF4E5" w:val="clear"/>
        <w:spacing w:after="40" w:before="40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1. Taux URSSAF 2026 (25,6 % BNC, 23,2 % CIPAV) : urssaf.fr inaccessible (ECONNRESET/000). Source secondaire : abby.fr. À vérifier sur autoentrepreneur.urssaf.fr.</w:t>
      </w:r>
    </w:p>
    <w:p>
      <w:pPr>
        <w:pBdr>
          <w:left w:val="thick" w:color="D97706" w:sz="12"/>
        </w:pBdr>
        <w:shd w:fill="FFF4E5" w:val="clear"/>
        <w:spacing w:after="40" w:before="40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2. Seuils micro-entrepreneur 2026 (83 600 € / 203 100 €) : même situation. Source secondaire : abby.fr.</w:t>
      </w:r>
    </w:p>
    <w:p>
      <w:pPr>
        <w:pBdr>
          <w:left w:val="thick" w:color="D97706" w:sz="12"/>
        </w:pBdr>
        <w:shd w:fill="FFF4E5" w:val="clear"/>
        <w:spacing w:after="40" w:before="40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3. Abattements forfaitaires IR (34 % BNC, 50 % BIC services, 71 % BIC ventes) : impots.gouv.fr n'a pas renvoyé la page spécifique. Sources secondaires (WebSearch). À vérifier sur impots.gouv.fr.</w:t>
      </w:r>
    </w:p>
    <w:p>
      <w:pPr>
        <w:pBdr>
          <w:left w:val="thick" w:color="D97706" w:sz="12"/>
        </w:pBdr>
        <w:shd w:fill="FFF4E5" w:val="clear"/>
        <w:spacing w:after="40" w:before="40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4. Statistiques revenus affiliés (57,6 % &lt; 10 000€/an, débutants 0-100€/mois) : données issues de WebSearch citant Shopify/statistiques — source secondaire. Ordre de grandeur cohérent avec d'autres publications, mais non vérifié sur enquête primaire.</w:t>
      </w:r>
    </w:p>
    <w:p>
      <w:pPr>
        <w:pBdr>
          <w:left w:val="thick" w:color="D97706" w:sz="12"/>
        </w:pBdr>
        <w:shd w:fill="FFF4E5" w:val="clear"/>
        <w:spacing w:after="120" w:before="40"/>
        <w:ind w:left="36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5. Coûts des plateformes (Gumroad 10 %, Teachable 29€/mois) : tarifs publics vus lors de précédentes recherches, non récupérés lors de cette exécution. À vérifier sur les sites des plateformes.</w:t>
      </w:r>
    </w:p>
    <w:p>
      <w:pPr>
        <w:pStyle w:val="Heading2"/>
        <w:pBdr>
          <w:bottom w:val="single" w:color="1B3A6B" w:sz="6"/>
        </w:pBdr>
        <w:spacing w:after="120" w:before="28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🔜 Prochaine leçon (n°06)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Leçon 06 — Idées 3 et 4 : Placements à revenu (ETF distribuants, dividendes) et immobilier locatif / pierre-papier (SCPI).</w:t>
      </w:r>
    </w:p>
    <w:p>
      <w:pPr>
        <w:spacing w:after="80" w:before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Ce que vous aborderez : la mécanique d'un portefeuille de dividendes, les ETF distribuants disponibles en France, le rendement locatif réel vs brut vs net, et la comparaison SCPI vs immobilier en direct.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atesuixljswdikqf8yjw" Type="http://schemas.openxmlformats.org/officeDocument/2006/relationships/hyperlink" Target="https://www.amf-france.org/fr/espace-epargnants" TargetMode="External"/><Relationship Id="rIdmhmzo-oknoq6erv1yqnk-" Type="http://schemas.openxmlformats.org/officeDocument/2006/relationships/hyperlink" Target="https://www.amf-france.org/en/news-publications/news-releases/amf-news-releases/amf-draws-publics-attention-pyramid-structures-proposing-training-courses-trading" TargetMode="External"/><Relationship Id="rIdagxphdikr3hma6r2dkfxb" Type="http://schemas.openxmlformats.org/officeDocument/2006/relationships/hyperlink" Target="https://cyberini.com/statistiques-formation-en-ligne/" TargetMode="External"/><Relationship Id="rIdlrpswwgxdqpxyrahvwgka" Type="http://schemas.openxmlformats.org/officeDocument/2006/relationships/hyperlink" Target="https://www.shopify.com/fr/blog/statistiques-sur-le-marketing-d-affiliation" TargetMode="External"/><Relationship Id="rIdnp2q7izv_i9oullywpd4x" Type="http://schemas.openxmlformats.org/officeDocument/2006/relationships/hyperlink" Target="https://abby.fr/guide/fiscalite/bic-ou-bnc-micro-entreprise" TargetMode="External"/><Relationship Id="rIdnw0wjs2ij7f1j8z9y1eyi" Type="http://schemas.openxmlformats.org/officeDocument/2006/relationships/hyperlink" Target="https://www.autoentrepreneur.urssaf.fr/portail/accueil/sinformer-sur-le-statut/lessentiel-du-statut.html" TargetMode="External"/><Relationship Id="rIdfa15sgfxyj-nexj4f2fu-" Type="http://schemas.openxmlformats.org/officeDocument/2006/relationships/hyperlink" Target="https://www.impots.gouv.fr/particulier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2026-08-23T05:10:11.123Z</dcterms:created>
  <dcterms:modified xsi:type="dcterms:W3CDTF">2026-08-23T05:10:11.124Z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