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rPr>
          <w:rFonts w:ascii="Times New Roman" w:cs="Times New Roman" w:eastAsia="Times New Roman" w:hAnsi="Times New Roman"/>
          <w:b/>
          <w:bCs/>
          <w:color w:val="1B3A6B"/>
          <w:sz w:val="52"/>
          <w:szCs w:val="52"/>
        </w:rPr>
        <w:t xml:space="preserve">Leçon Stoïcisme n°12</w:t>
      </w:r>
    </w:p>
    <w:p>
      <w:pPr>
        <w:spacing w:after="60"/>
        <w:jc w:val="center"/>
      </w:pPr>
      <w:r>
        <w:rPr>
          <w:rFonts w:ascii="Times New Roman" w:cs="Times New Roman" w:eastAsia="Times New Roman" w:hAnsi="Times New Roman"/>
          <w:b/>
          <w:bCs/>
          <w:color w:val="1B3A6B"/>
          <w:sz w:val="40"/>
          <w:szCs w:val="40"/>
        </w:rPr>
        <w:t xml:space="preserve">Musonius Rufus : le stoïcisme comme exercice concret</w:t>
      </w:r>
    </w:p>
    <w:p>
      <w:pPr>
        <w:spacing w:after="80"/>
        <w:jc w:val="center"/>
      </w:pPr>
      <w:r>
        <w:rPr>
          <w:rFonts w:ascii="Times New Roman" w:cs="Times New Roman" w:eastAsia="Times New Roman" w:hAnsi="Times New Roman"/>
          <w:i/>
          <w:iCs/>
          <w:color w:val="1F2937"/>
          <w:sz w:val="22"/>
          <w:szCs w:val="22"/>
        </w:rPr>
        <w:t xml:space="preserve">27 août 2026  ·  Leçon 12 / 20</w:t>
      </w:r>
    </w:p>
    <w:p>
      <w:pPr>
        <w:pBdr>
          <w:bottom w:val="single" w:color="1B3A6B" w:sz="6" w:space="1"/>
        </w:pBdr>
        <w:spacing w:after="200"/>
      </w:pPr>
    </w:p>
    <w:p>
      <w:pPr>
        <w:pStyle w:val="Heading2"/>
        <w:spacing w:after="120" w:before="320"/>
      </w:pPr>
      <w:r>
        <w:rPr>
          <w:rFonts w:ascii="Times New Roman" w:cs="Times New Roman" w:eastAsia="Times New Roman" w:hAnsi="Times New Roman"/>
          <w:b/>
          <w:bCs/>
          <w:color w:val="1B3A6B"/>
          <w:sz w:val="30"/>
          <w:szCs w:val="30"/>
        </w:rPr>
        <w:t xml:space="preserve">🎯 Objectif &amp; continuité</w:t>
      </w:r>
    </w:p>
    <w:p>
      <w:pPr>
        <w:spacing w:after="120"/>
      </w:pPr>
      <w:r>
        <w:rPr>
          <w:rFonts w:ascii="Times New Roman" w:cs="Times New Roman" w:eastAsia="Times New Roman" w:hAnsi="Times New Roman"/>
          <w:b w:val="false"/>
          <w:bCs w:val="false"/>
          <w:i w:val="false"/>
          <w:iCs w:val="false"/>
          <w:color w:val="1F2937"/>
          <w:sz w:val="22"/>
          <w:szCs w:val="22"/>
        </w:rPr>
        <w:t xml:space="preserve">À la fin de cette leçon, tu sauras :</w:t>
      </w:r>
    </w:p>
    <w:p>
      <w:pPr>
        <w:pStyle w:val="ListParagraph"/>
        <w:numPr>
          <w:ilvl w:val="0"/>
          <w:numId w:val="1"/>
        </w:numPr>
        <w:spacing w:after="80"/>
      </w:pPr>
      <w:r>
        <w:rPr>
          <w:rFonts w:ascii="Times New Roman" w:cs="Times New Roman" w:eastAsia="Times New Roman" w:hAnsi="Times New Roman"/>
          <w:b w:val="false"/>
          <w:bCs w:val="false"/>
          <w:i w:val="false"/>
          <w:iCs w:val="false"/>
          <w:color w:val="1F2937"/>
          <w:sz w:val="22"/>
          <w:szCs w:val="22"/>
        </w:rPr>
        <w:t xml:space="preserve">Qui est Musonius Rufus et quelle est sa place dans la tradition stoïcienne.</w:t>
      </w:r>
    </w:p>
    <w:p>
      <w:pPr>
        <w:pStyle w:val="ListParagraph"/>
        <w:numPr>
          <w:ilvl w:val="0"/>
          <w:numId w:val="1"/>
        </w:numPr>
        <w:spacing w:after="80"/>
      </w:pPr>
      <w:r>
        <w:rPr>
          <w:rFonts w:ascii="Times New Roman" w:cs="Times New Roman" w:eastAsia="Times New Roman" w:hAnsi="Times New Roman"/>
          <w:b w:val="false"/>
          <w:bCs w:val="false"/>
          <w:i w:val="false"/>
          <w:iCs w:val="false"/>
          <w:color w:val="1F2937"/>
          <w:sz w:val="22"/>
          <w:szCs w:val="22"/>
        </w:rPr>
        <w:t xml:space="preserve">En quoi son approche tranche avec celle des autres auteurs du parcours : la philosophie comme formation du corps et de l'âme, avant d'être un corpus de textes.</w:t>
      </w:r>
    </w:p>
    <w:p>
      <w:pPr>
        <w:pStyle w:val="ListParagraph"/>
        <w:numPr>
          <w:ilvl w:val="0"/>
          <w:numId w:val="1"/>
        </w:numPr>
        <w:spacing w:after="80"/>
      </w:pPr>
      <w:r>
        <w:rPr>
          <w:rFonts w:ascii="Times New Roman" w:cs="Times New Roman" w:eastAsia="Times New Roman" w:hAnsi="Times New Roman"/>
          <w:b w:val="false"/>
          <w:bCs w:val="false"/>
          <w:i w:val="false"/>
          <w:iCs w:val="false"/>
          <w:color w:val="1F2937"/>
          <w:sz w:val="22"/>
          <w:szCs w:val="22"/>
        </w:rPr>
        <w:t xml:space="preserve">Appliquer concrètement ses trois principes pratiques à ta propre vie : discipline alimentaire, résistance volontaire à l'inconfort, et révision quotidienne des intentions.</w:t>
      </w:r>
    </w:p>
    <w:p>
      <w:pPr>
        <w:spacing w:after="80"/>
      </w:pPr>
      <w:r>
        <w:t xml:space="preserve"/>
      </w:r>
    </w:p>
    <w:p>
      <w:pPr>
        <w:spacing w:after="120"/>
      </w:pPr>
      <w:r>
        <w:rPr>
          <w:rFonts w:ascii="Times New Roman" w:cs="Times New Roman" w:eastAsia="Times New Roman" w:hAnsi="Times New Roman"/>
          <w:b w:val="false"/>
          <w:bCs w:val="false"/>
          <w:i/>
          <w:iCs/>
          <w:color w:val="1F2937"/>
          <w:sz w:val="22"/>
          <w:szCs w:val="22"/>
        </w:rPr>
        <w:t xml:space="preserve">Lien avec la leçon 11 (Adversité : deuil, colère, peur, échec) : nous avons vu comment le stoïcisme affronte les épreuves imposées par la vie. Musonius pousse plus loin : il n'attend pas l'adversité — il la convoque délibérément, par l'entraînement, pour rendre le caractère inaccessible aux coups du sort.</w:t>
      </w:r>
    </w:p>
    <w:p>
      <w:pPr>
        <w:pBdr>
          <w:bottom w:val="single" w:color="1B3A6B" w:sz="6" w:space="1"/>
        </w:pBdr>
        <w:spacing w:after="200"/>
      </w:pPr>
    </w:p>
    <w:p>
      <w:pPr>
        <w:pStyle w:val="Heading2"/>
        <w:spacing w:after="120" w:before="320"/>
      </w:pPr>
      <w:r>
        <w:rPr>
          <w:rFonts w:ascii="Times New Roman" w:cs="Times New Roman" w:eastAsia="Times New Roman" w:hAnsi="Times New Roman"/>
          <w:b/>
          <w:bCs/>
          <w:color w:val="1B3A6B"/>
          <w:sz w:val="30"/>
          <w:szCs w:val="30"/>
        </w:rPr>
        <w:t xml:space="preserve">🔬 Théorie (20 %) — Musonius Rufus, le Socrate romain</w:t>
      </w:r>
    </w:p>
    <w:p>
      <w:pPr>
        <w:pStyle w:val="Heading3"/>
        <w:spacing w:after="80" w:before="220"/>
      </w:pPr>
      <w:r>
        <w:rPr>
          <w:rFonts w:ascii="Times New Roman" w:cs="Times New Roman" w:eastAsia="Times New Roman" w:hAnsi="Times New Roman"/>
          <w:b/>
          <w:bCs/>
          <w:color w:val="1F2937"/>
          <w:sz w:val="26"/>
          <w:szCs w:val="26"/>
        </w:rPr>
        <w:t xml:space="preserve">1. Qui est-il ?</w:t>
      </w:r>
    </w:p>
    <w:p>
      <w:pPr>
        <w:spacing w:after="120"/>
      </w:pPr>
      <w:r>
        <w:rPr>
          <w:rFonts w:ascii="Times New Roman" w:cs="Times New Roman" w:eastAsia="Times New Roman" w:hAnsi="Times New Roman"/>
          <w:b w:val="false"/>
          <w:bCs w:val="false"/>
          <w:i w:val="false"/>
          <w:iCs w:val="false"/>
          <w:color w:val="1F2937"/>
          <w:sz w:val="22"/>
          <w:szCs w:val="22"/>
        </w:rPr>
        <w:t xml:space="preserve">Gaius Musonius Rufus (vers 30–101 apr. J.-C.) est l'un des quatre grands stoïciens romains, avec Sénèque, Épictète et Marc Aurèle. Né à Volsinii en Étrurie dans une famille équestre, il enseigna la philosophie à Rome au 1er siècle — et fut exilé à deux reprises : par Néron en 65, vers l'île de Gyaros, puis par Vespasien — il revint à Rome sous Titus. Tacite le qualifiait de « stoïcien le plus éminent de son époque » (selon la World History Encyclopedia).</w:t>
      </w:r>
    </w:p>
    <w:p>
      <w:pPr>
        <w:spacing w:after="80"/>
      </w:pPr>
      <w:r>
        <w:t xml:space="preserve"/>
      </w:r>
    </w:p>
    <w:p>
      <w:pPr>
        <w:spacing w:after="120"/>
      </w:pPr>
      <w:r>
        <w:rPr>
          <w:rFonts w:ascii="Times New Roman" w:cs="Times New Roman" w:eastAsia="Times New Roman" w:hAnsi="Times New Roman"/>
          <w:b w:val="false"/>
          <w:bCs w:val="false"/>
          <w:i w:val="false"/>
          <w:iCs w:val="false"/>
          <w:color w:val="1F2937"/>
          <w:sz w:val="22"/>
          <w:szCs w:val="22"/>
        </w:rPr>
        <w:t xml:space="preserve">Contrairement aux autres auteurs du parcours, Musonius n'a laissé aucun écrit de sa propre main. Ses 21 discours et 32 apophthegmes (sentences brèves) nous sont parvenus à travers des notes prises par ses élèves, principalement son étudiant Lucius et l'anthologiste Stobée. C'est ce mode de transmission — oral, vivant, pédagogique — qui dit déjà tout de sa philosophie.</w:t>
      </w:r>
    </w:p>
    <w:p>
      <w:pPr>
        <w:pStyle w:val="Heading3"/>
        <w:spacing w:after="80" w:before="220"/>
      </w:pPr>
      <w:r>
        <w:rPr>
          <w:rFonts w:ascii="Times New Roman" w:cs="Times New Roman" w:eastAsia="Times New Roman" w:hAnsi="Times New Roman"/>
          <w:b/>
          <w:bCs/>
          <w:color w:val="1F2937"/>
          <w:sz w:val="26"/>
          <w:szCs w:val="26"/>
        </w:rPr>
        <w:t xml:space="preserve">2. La philosophie comme entraînement, pas comme savoir</w:t>
      </w:r>
    </w:p>
    <w:p>
      <w:pPr>
        <w:spacing w:after="120"/>
      </w:pPr>
      <w:r>
        <w:rPr>
          <w:rFonts w:ascii="Times New Roman" w:cs="Times New Roman" w:eastAsia="Times New Roman" w:hAnsi="Times New Roman"/>
          <w:b w:val="false"/>
          <w:bCs w:val="false"/>
          <w:i w:val="false"/>
          <w:iCs w:val="false"/>
          <w:color w:val="1F2937"/>
          <w:sz w:val="22"/>
          <w:szCs w:val="22"/>
        </w:rPr>
        <w:t xml:space="preserve">La thèse centrale de Musonius : la philosophie n'est pas une discipline académique, c'est un entraînement au noble comportement. Il développe une analogie frappante avec la médecine et la musique :</w:t>
      </w:r>
    </w:p>
    <w:p>
      <w:pPr>
        <w:shd w:fill="F3F4F6" w:color="F3F4F6" w:val="clear"/>
        <w:spacing w:after="160" w:before="100"/>
        <w:ind w:left="720" w:right="720"/>
      </w:pPr>
      <w:r>
        <w:rPr>
          <w:rFonts w:ascii="Times New Roman" w:cs="Times New Roman" w:eastAsia="Times New Roman" w:hAnsi="Times New Roman"/>
          <w:i/>
          <w:iCs/>
          <w:color w:val="1B3A6B"/>
          <w:sz w:val="22"/>
          <w:szCs w:val="22"/>
        </w:rPr>
        <w:t xml:space="preserve">« Le médecin et le musicien ne se contentent pas d'apprendre les principes de leur art : ils s'entraînent à les appliquer. De même, celui qui veut être vertueux doit non seulement apprendre les leçons qui concernent la vertu, mais aussi s'entraîner ardemment et rigoureusement à les suivre. »</w:t>
      </w:r>
      <w:r>
        <w:rPr>
          <w:rFonts w:ascii="Times New Roman" w:cs="Times New Roman" w:eastAsia="Times New Roman" w:hAnsi="Times New Roman"/>
          <w:color w:val="1B3A6B"/>
          <w:sz w:val="20"/>
          <w:szCs w:val="20"/>
        </w:rPr>
        <w:t xml:space="preserve">
— Musonius Rufus — synthèse d'après IEP et Daily Stoic (non citation verbatim)</w:t>
      </w:r>
    </w:p>
    <w:p>
      <w:pPr>
        <w:spacing w:after="120"/>
      </w:pPr>
      <w:r>
        <w:rPr>
          <w:rFonts w:ascii="Times New Roman" w:cs="Times New Roman" w:eastAsia="Times New Roman" w:hAnsi="Times New Roman"/>
          <w:b w:val="false"/>
          <w:bCs w:val="false"/>
          <w:i w:val="false"/>
          <w:iCs w:val="false"/>
          <w:color w:val="1F2937"/>
          <w:sz w:val="22"/>
          <w:szCs w:val="22"/>
        </w:rPr>
        <w:t xml:space="preserve">Ce principe sépare Musonius de Sénèque (brillant essayiste) et rapproche son style pédagogique de celui d'Épictète — qui fut son élève.</w:t>
      </w:r>
    </w:p>
    <w:p>
      <w:pPr>
        <w:pStyle w:val="Heading3"/>
        <w:spacing w:after="80" w:before="220"/>
      </w:pPr>
      <w:r>
        <w:rPr>
          <w:rFonts w:ascii="Times New Roman" w:cs="Times New Roman" w:eastAsia="Times New Roman" w:hAnsi="Times New Roman"/>
          <w:b/>
          <w:bCs/>
          <w:color w:val="1F2937"/>
          <w:sz w:val="26"/>
          <w:szCs w:val="26"/>
        </w:rPr>
        <w:t xml:space="preserve">3. Les trois piliers de son enseignement</w:t>
      </w:r>
    </w:p>
    <w:p>
      <w:pPr>
        <w:spacing w:after="120"/>
      </w:pPr>
      <w:r>
        <w:rPr>
          <w:rFonts w:ascii="Times New Roman" w:cs="Times New Roman" w:eastAsia="Times New Roman" w:hAnsi="Times New Roman"/>
          <w:b w:val="false"/>
          <w:bCs w:val="false"/>
          <w:i w:val="false"/>
          <w:iCs w:val="false"/>
          <w:color w:val="1F2937"/>
          <w:sz w:val="22"/>
          <w:szCs w:val="22"/>
        </w:rPr>
        <w:t xml:space="preserve">Les sources convergent — World History Encyclopedia, William O. Stephens (Internet Encyclopedia of Philosophy) et Aurelio Silva (Modern Stoic Path) — pour identifier trois axes :</w:t>
      </w:r>
      <w:r>
        <w:rPr>
          <w:rFonts w:ascii="Times New Roman" w:cs="Times New Roman" w:eastAsia="Times New Roman" w:hAnsi="Times New Roman"/>
          <w:i/>
          <w:iCs/>
          <w:color w:val="6B7280"/>
          <w:sz w:val="20"/>
          <w:szCs w:val="20"/>
        </w:rPr>
        <w:t xml:space="preserve"> [Corrigé le 24/09/2026 : « IEP » et « Modern Stoic Path » nommaient les publications, pas les auteurs. L'article de l'IEP est signé William O. Stephens (Creighton University), celui de Modern Stoic Path Aurelio Silva : une encyclopédie publie, elle n'écrit pas.]</w:t>
      </w:r>
    </w:p>
    <w:p>
      <w:pPr>
        <w:spacing w:after="80"/>
      </w:pPr>
      <w:r>
        <w:t xml:space="preserve"/>
      </w:r>
    </w:p>
    <w:p>
      <w:pPr>
        <w:pStyle w:val="ListParagraph"/>
        <w:numPr>
          <w:ilvl w:val="0"/>
          <w:numId w:val="1"/>
        </w:numPr>
        <w:spacing w:after="80"/>
      </w:pPr>
      <w:r>
        <w:rPr>
          <w:rFonts w:ascii="Times New Roman" w:cs="Times New Roman" w:eastAsia="Times New Roman" w:hAnsi="Times New Roman"/>
          <w:b w:val="false"/>
          <w:bCs w:val="false"/>
          <w:i w:val="false"/>
          <w:iCs w:val="false"/>
          <w:color w:val="1F2937"/>
          <w:sz w:val="22"/>
          <w:szCs w:val="22"/>
        </w:rPr>
        <w:t xml:space="preserve">Discernement (distinguer le vrai bien du faux bien) : seule la vertu est un bien ; richesse, réputation et confort sont des « indifférents préférables ».</w:t>
      </w:r>
    </w:p>
    <w:p>
      <w:pPr>
        <w:pStyle w:val="ListParagraph"/>
        <w:numPr>
          <w:ilvl w:val="0"/>
          <w:numId w:val="1"/>
        </w:numPr>
        <w:spacing w:after="80"/>
      </w:pPr>
      <w:r>
        <w:rPr>
          <w:rFonts w:ascii="Times New Roman" w:cs="Times New Roman" w:eastAsia="Times New Roman" w:hAnsi="Times New Roman"/>
          <w:b w:val="false"/>
          <w:bCs w:val="false"/>
          <w:i w:val="false"/>
          <w:iCs w:val="false"/>
          <w:color w:val="1F2937"/>
          <w:sz w:val="22"/>
          <w:szCs w:val="22"/>
        </w:rPr>
        <w:t xml:space="preserve">Intégration (rendre la vertu automatique) : la répétition des bons actes grave le caractère. Musonius insiste sur l'habitude plus que sur la délibération consciente.</w:t>
      </w:r>
    </w:p>
    <w:p>
      <w:pPr>
        <w:pStyle w:val="ListParagraph"/>
        <w:numPr>
          <w:ilvl w:val="0"/>
          <w:numId w:val="1"/>
        </w:numPr>
        <w:spacing w:after="80"/>
      </w:pPr>
      <w:r>
        <w:rPr>
          <w:rFonts w:ascii="Times New Roman" w:cs="Times New Roman" w:eastAsia="Times New Roman" w:hAnsi="Times New Roman"/>
          <w:b w:val="false"/>
          <w:bCs w:val="false"/>
          <w:i w:val="false"/>
          <w:iCs w:val="false"/>
          <w:color w:val="1F2937"/>
          <w:sz w:val="22"/>
          <w:szCs w:val="22"/>
        </w:rPr>
        <w:t xml:space="preserve">Application concrète : la philosophie se vérifie à table, dans la chambre, dans la façon de se vêtir, d'élever ses enfants, de choisir un conjoint.</w:t>
      </w:r>
    </w:p>
    <w:p>
      <w:pPr>
        <w:pStyle w:val="Heading3"/>
        <w:spacing w:after="80" w:before="220"/>
      </w:pPr>
      <w:r>
        <w:rPr>
          <w:rFonts w:ascii="Times New Roman" w:cs="Times New Roman" w:eastAsia="Times New Roman" w:hAnsi="Times New Roman"/>
          <w:b/>
          <w:bCs/>
          <w:color w:val="1F2937"/>
          <w:sz w:val="26"/>
          <w:szCs w:val="26"/>
        </w:rPr>
        <w:t xml:space="preserve">4. La dimension corporelle : un stoïcisme incarné</w:t>
      </w:r>
    </w:p>
    <w:p>
      <w:pPr>
        <w:spacing w:after="120"/>
      </w:pPr>
      <w:r>
        <w:rPr>
          <w:rFonts w:ascii="Times New Roman" w:cs="Times New Roman" w:eastAsia="Times New Roman" w:hAnsi="Times New Roman"/>
          <w:b w:val="false"/>
          <w:bCs w:val="false"/>
          <w:i w:val="false"/>
          <w:iCs w:val="false"/>
          <w:color w:val="1F2937"/>
          <w:sz w:val="22"/>
          <w:szCs w:val="22"/>
        </w:rPr>
        <w:t xml:space="preserve">Musonius est le stoïcien qui va le plus loin dans la discipline du corps. Il prescrit une alimentation lacto-végétarienne simple, des vêtements modestes, l'exposition volontaire au froid et à la chaleur, et un entraînement physique régulier — non pour l'ascétisme en lui-même, mais pour fortifier la résistance intérieure. Il travaillait avec ses élèves dans les champs pendant son exil à Gyaros.</w:t>
      </w:r>
    </w:p>
    <w:p>
      <w:pPr>
        <w:spacing w:after="120"/>
      </w:pPr>
      <w:r>
        <w:rPr>
          <w:rFonts w:ascii="Times New Roman" w:cs="Times New Roman" w:eastAsia="Times New Roman" w:hAnsi="Times New Roman"/>
          <w:b w:val="false"/>
          <w:bCs w:val="false"/>
          <w:i w:val="false"/>
          <w:iCs w:val="false"/>
          <w:color w:val="1F2937"/>
          <w:sz w:val="22"/>
          <w:szCs w:val="22"/>
        </w:rPr>
        <w:t xml:space="preserve">Cette posture est cohérente avec la physique stoïcienne : le corps est traversé par le logos, et sa discipline renforce l'hégémonikon (la faculté directrice de l'âme).</w:t>
      </w:r>
    </w:p>
    <w:p>
      <w:pPr>
        <w:pStyle w:val="Heading3"/>
        <w:spacing w:after="80" w:before="220"/>
      </w:pPr>
      <w:r>
        <w:rPr>
          <w:rFonts w:ascii="Times New Roman" w:cs="Times New Roman" w:eastAsia="Times New Roman" w:hAnsi="Times New Roman"/>
          <w:b/>
          <w:bCs/>
          <w:color w:val="1F2937"/>
          <w:sz w:val="26"/>
          <w:szCs w:val="26"/>
        </w:rPr>
        <w:t xml:space="preserve">5. Sa postérité : Épictète et au-delà</w:t>
      </w:r>
    </w:p>
    <w:p>
      <w:pPr>
        <w:spacing w:after="120"/>
      </w:pPr>
      <w:r>
        <w:rPr>
          <w:rFonts w:ascii="Times New Roman" w:cs="Times New Roman" w:eastAsia="Times New Roman" w:hAnsi="Times New Roman"/>
          <w:b w:val="false"/>
          <w:bCs w:val="false"/>
          <w:i w:val="false"/>
          <w:iCs w:val="false"/>
          <w:color w:val="1F2937"/>
          <w:sz w:val="22"/>
          <w:szCs w:val="22"/>
        </w:rPr>
        <w:t xml:space="preserve">Épictète — esclave affranchi, devenu l'un des plus grands philosophes stoïciens — était l'élève de Musonius. Il obtint l'autorisation de son maître Épaphrodite d'assister aux cours. Il mentionnera Musonius plusieurs fois dans les Entretiens, rapportant notamment que Musonius décourageait volontairement certains étudiants pour tester leur sérieux. C'est par Épictète que les enseignements de Musonius ont traversé les siècles.</w:t>
      </w:r>
    </w:p>
    <w:p>
      <w:pPr>
        <w:pBdr>
          <w:bottom w:val="single" w:color="1B3A6B" w:sz="6" w:space="1"/>
        </w:pBdr>
        <w:spacing w:after="200"/>
      </w:pPr>
    </w:p>
    <w:p>
      <w:pPr>
        <w:pStyle w:val="Heading2"/>
        <w:spacing w:after="120" w:before="320"/>
      </w:pPr>
      <w:r>
        <w:rPr>
          <w:rFonts w:ascii="Times New Roman" w:cs="Times New Roman" w:eastAsia="Times New Roman" w:hAnsi="Times New Roman"/>
          <w:b/>
          <w:bCs/>
          <w:color w:val="1B3A6B"/>
          <w:sz w:val="30"/>
          <w:szCs w:val="30"/>
        </w:rPr>
        <w:t xml:space="preserve">🛠️ Pratique (80 %) — Trois exercices</w:t>
      </w:r>
    </w:p>
    <w:p>
      <w:pPr>
        <w:pStyle w:val="Heading3"/>
        <w:spacing w:after="80" w:before="220"/>
      </w:pPr>
      <w:r>
        <w:rPr>
          <w:rFonts w:ascii="Times New Roman" w:cs="Times New Roman" w:eastAsia="Times New Roman" w:hAnsi="Times New Roman"/>
          <w:b/>
          <w:bCs/>
          <w:color w:val="1F2937"/>
          <w:sz w:val="26"/>
          <w:szCs w:val="26"/>
        </w:rPr>
        <w:t xml:space="preserve">Exercice 1 — Lire Musonius directement : un discours commenté</w:t>
      </w:r>
    </w:p>
    <w:p>
      <w:pPr>
        <w:spacing w:after="120"/>
      </w:pPr>
      <w:r>
        <w:rPr>
          <w:rFonts w:ascii="Times New Roman" w:cs="Times New Roman" w:eastAsia="Times New Roman" w:hAnsi="Times New Roman"/>
          <w:b w:val="false"/>
          <w:bCs w:val="false"/>
          <w:i w:val="false"/>
          <w:iCs w:val="false"/>
          <w:color w:val="1F2937"/>
          <w:sz w:val="22"/>
          <w:szCs w:val="22"/>
        </w:rPr>
        <w:t xml:space="preserve">Musonius s'apprend en le lisant, pas en lisant sur lui. Cet exercice te plonge dans un de ses discours.</w:t>
      </w:r>
    </w:p>
    <w:p>
      <w:pPr>
        <w:spacing w:after="80"/>
      </w:pPr>
      <w:r>
        <w:t xml:space="preserve"/>
      </w:r>
    </w:p>
    <w:p>
      <w:pPr>
        <w:spacing w:after="120"/>
      </w:pPr>
      <w:r>
        <w:rPr>
          <w:rFonts w:ascii="Times New Roman" w:cs="Times New Roman" w:eastAsia="Times New Roman" w:hAnsi="Times New Roman"/>
          <w:b w:val="false"/>
          <w:bCs w:val="false"/>
          <w:i w:val="false"/>
          <w:iCs w:val="false"/>
          <w:color w:val="1F2937"/>
          <w:sz w:val="22"/>
          <w:szCs w:val="22"/>
        </w:rPr>
        <w:t xml:space="preserve">Discours à lire : Discours 3 — « Que les femmes aussi doivent étudier la philosophie » (numérotation de l'édition Cora E. Lutz, qui fait référence — ne pas confondre avec le Discours 6, « Sur l'entraînement », d'où provient l'analogie du médecin et du musicien citée plus haut)</w:t>
      </w:r>
    </w:p>
    <w:p>
      <w:pPr>
        <w:spacing w:after="120"/>
      </w:pPr>
      <w:r>
        <w:rPr>
          <w:rFonts w:ascii="Times New Roman" w:cs="Times New Roman" w:eastAsia="Times New Roman" w:hAnsi="Times New Roman"/>
          <w:b w:val="false"/>
          <w:bCs w:val="false"/>
          <w:i w:val="false"/>
          <w:iCs w:val="false"/>
          <w:color w:val="1F2937"/>
          <w:sz w:val="22"/>
          <w:szCs w:val="22"/>
        </w:rPr>
        <w:t xml:space="preserve">(Accessible via une traduction libre ou la collection Cora E. Lutz.)</w:t>
      </w:r>
    </w:p>
    <w:p>
      <w:pPr>
        <w:spacing w:after="80"/>
      </w:pPr>
      <w:r>
        <w:t xml:space="preserve"/>
      </w:r>
    </w:p>
    <w:p>
      <w:pPr>
        <w:spacing w:after="120"/>
      </w:pPr>
      <w:r>
        <w:rPr>
          <w:rFonts w:ascii="Times New Roman" w:cs="Times New Roman" w:eastAsia="Times New Roman" w:hAnsi="Times New Roman"/>
          <w:b/>
          <w:bCs/>
          <w:i w:val="false"/>
          <w:iCs w:val="false"/>
          <w:color w:val="1F2937"/>
          <w:sz w:val="22"/>
          <w:szCs w:val="22"/>
        </w:rPr>
        <w:t xml:space="preserve">Questions de lecture active (réponds par écrit dans ton carnet) :</w:t>
      </w:r>
    </w:p>
    <w:p>
      <w:pPr>
        <w:pStyle w:val="ListParagraph"/>
        <w:numPr>
          <w:ilvl w:val="0"/>
          <w:numId w:val="1"/>
        </w:numPr>
        <w:spacing w:after="80"/>
      </w:pPr>
      <w:r>
        <w:rPr>
          <w:rFonts w:ascii="Times New Roman" w:cs="Times New Roman" w:eastAsia="Times New Roman" w:hAnsi="Times New Roman"/>
          <w:b w:val="false"/>
          <w:bCs w:val="false"/>
          <w:i w:val="false"/>
          <w:iCs w:val="false"/>
          <w:color w:val="1F2937"/>
          <w:sz w:val="22"/>
          <w:szCs w:val="22"/>
        </w:rPr>
        <w:t xml:space="preserve">Quel argument Musonius utilise-t-il pour justifier l'accès des femmes à la philosophie ? Est-ce un argument moral, rationnel, ou les deux ?</w:t>
      </w:r>
    </w:p>
    <w:p>
      <w:pPr>
        <w:pStyle w:val="ListParagraph"/>
        <w:numPr>
          <w:ilvl w:val="0"/>
          <w:numId w:val="1"/>
        </w:numPr>
        <w:spacing w:after="80"/>
      </w:pPr>
      <w:r>
        <w:rPr>
          <w:rFonts w:ascii="Times New Roman" w:cs="Times New Roman" w:eastAsia="Times New Roman" w:hAnsi="Times New Roman"/>
          <w:b w:val="false"/>
          <w:bCs w:val="false"/>
          <w:i w:val="false"/>
          <w:iCs w:val="false"/>
          <w:color w:val="1F2937"/>
          <w:sz w:val="22"/>
          <w:szCs w:val="22"/>
        </w:rPr>
        <w:t xml:space="preserve">En quoi cet argument est-il cohérent avec la thèse stoïcienne de l'universalité du logos ?</w:t>
      </w:r>
    </w:p>
    <w:p>
      <w:pPr>
        <w:pStyle w:val="ListParagraph"/>
        <w:numPr>
          <w:ilvl w:val="0"/>
          <w:numId w:val="1"/>
        </w:numPr>
        <w:spacing w:after="80"/>
      </w:pPr>
      <w:r>
        <w:rPr>
          <w:rFonts w:ascii="Times New Roman" w:cs="Times New Roman" w:eastAsia="Times New Roman" w:hAnsi="Times New Roman"/>
          <w:b w:val="false"/>
          <w:bCs w:val="false"/>
          <w:i w:val="false"/>
          <w:iCs w:val="false"/>
          <w:color w:val="1F2937"/>
          <w:sz w:val="22"/>
          <w:szCs w:val="22"/>
        </w:rPr>
        <w:t xml:space="preserve">Quel est le contre-argument implicite que Musonius anticipe ? Comment le neutralise-t-il ?</w:t>
      </w:r>
    </w:p>
    <w:p>
      <w:pPr>
        <w:spacing w:after="80"/>
      </w:pPr>
      <w:r>
        <w:t xml:space="preserve"/>
      </w:r>
    </w:p>
    <w:p>
      <w:pPr>
        <w:spacing w:after="120"/>
      </w:pPr>
      <w:r>
        <w:rPr>
          <w:rFonts w:ascii="Times New Roman" w:cs="Times New Roman" w:eastAsia="Times New Roman" w:hAnsi="Times New Roman"/>
          <w:b/>
          <w:bCs/>
          <w:i w:val="false"/>
          <w:iCs w:val="false"/>
          <w:color w:val="1F2937"/>
          <w:sz w:val="22"/>
          <w:szCs w:val="22"/>
        </w:rPr>
        <w:t xml:space="preserve">Éléments de réponse :</w:t>
      </w:r>
    </w:p>
    <w:p>
      <w:pPr>
        <w:spacing w:after="120"/>
      </w:pPr>
      <w:r>
        <w:rPr>
          <w:rFonts w:ascii="Times New Roman" w:cs="Times New Roman" w:eastAsia="Times New Roman" w:hAnsi="Times New Roman"/>
          <w:b w:val="false"/>
          <w:bCs w:val="false"/>
          <w:i w:val="false"/>
          <w:iCs w:val="false"/>
          <w:color w:val="1F2937"/>
          <w:sz w:val="22"/>
          <w:szCs w:val="22"/>
        </w:rPr>
        <w:t xml:space="preserve">L'argument de Musonius est rationnel et universel : si la vertu est le but de la vie humaine, et si les femmes sont douées de raison (logos) au même titre que les hommes, alors elles ont la même capacité à acquérir la vertu. L'argument s'appuie sur le principe stoïcien d'égalité rationnelle des êtres humains. Le contre-argument implicite (les femmes ont d'autres rôles) est retourné : les vertus nécessaires au foyer (tempérance, justice, prudence) sont exactement celles que la philosophie cultive.</w:t>
      </w:r>
    </w:p>
    <w:p>
      <w:pPr>
        <w:spacing w:after="120"/>
      </w:pPr>
      <w:r>
        <w:rPr>
          <w:rFonts w:ascii="Times New Roman" w:cs="Times New Roman" w:eastAsia="Times New Roman" w:hAnsi="Times New Roman"/>
          <w:b w:val="false"/>
          <w:bCs w:val="false"/>
          <w:i w:val="false"/>
          <w:iCs w:val="false"/>
          <w:color w:val="1F2937"/>
          <w:sz w:val="22"/>
          <w:szCs w:val="22"/>
        </w:rPr>
        <w:t xml:space="preserve">Note : ce discours est souvent cité comme l'un des premiers arguments philosophiques explicites en faveur de l'éducation des femmes dans l'Antiquité gréco-romaine.</w:t>
      </w:r>
    </w:p>
    <w:p>
      <w:pPr>
        <w:pStyle w:val="Heading3"/>
        <w:spacing w:after="80" w:before="220"/>
      </w:pPr>
      <w:r>
        <w:rPr>
          <w:rFonts w:ascii="Times New Roman" w:cs="Times New Roman" w:eastAsia="Times New Roman" w:hAnsi="Times New Roman"/>
          <w:b/>
          <w:bCs/>
          <w:color w:val="1F2937"/>
          <w:sz w:val="26"/>
          <w:szCs w:val="26"/>
        </w:rPr>
        <w:t xml:space="preserve">Exercice 2 — La discipline du corps : une semaine de « petite contrainte volontaire »</w:t>
      </w:r>
    </w:p>
    <w:p>
      <w:pPr>
        <w:spacing w:after="120"/>
      </w:pPr>
      <w:r>
        <w:rPr>
          <w:rFonts w:ascii="Times New Roman" w:cs="Times New Roman" w:eastAsia="Times New Roman" w:hAnsi="Times New Roman"/>
          <w:b w:val="false"/>
          <w:bCs w:val="false"/>
          <w:i w:val="false"/>
          <w:iCs w:val="false"/>
          <w:color w:val="1F2937"/>
          <w:sz w:val="22"/>
          <w:szCs w:val="22"/>
        </w:rPr>
        <w:t xml:space="preserve">Musonius enseigne que le philosophe entraîne son corps comme un athlète entraîne ses muscles — non pour souffrir, mais pour ne plus avoir peur de l'inconfort.</w:t>
      </w:r>
    </w:p>
    <w:p>
      <w:pPr>
        <w:spacing w:after="80"/>
      </w:pPr>
      <w:r>
        <w:t xml:space="preserve"/>
      </w:r>
    </w:p>
    <w:p>
      <w:pPr>
        <w:spacing w:after="120"/>
      </w:pPr>
      <w:r>
        <w:rPr>
          <w:rFonts w:ascii="Times New Roman" w:cs="Times New Roman" w:eastAsia="Times New Roman" w:hAnsi="Times New Roman"/>
          <w:b/>
          <w:bCs/>
          <w:i w:val="false"/>
          <w:iCs w:val="false"/>
          <w:color w:val="1F2937"/>
          <w:sz w:val="22"/>
          <w:szCs w:val="22"/>
        </w:rPr>
        <w:t xml:space="preserve">Protocole sur 7 jours :</w:t>
      </w:r>
    </w:p>
    <w:p>
      <w:pPr>
        <w:pStyle w:val="ListParagraph"/>
        <w:numPr>
          <w:ilvl w:val="0"/>
          <w:numId w:val="1"/>
        </w:numPr>
        <w:spacing w:after="80"/>
      </w:pPr>
      <w:r>
        <w:rPr>
          <w:rFonts w:ascii="Times New Roman" w:cs="Times New Roman" w:eastAsia="Times New Roman" w:hAnsi="Times New Roman"/>
          <w:b w:val="false"/>
          <w:bCs w:val="false"/>
          <w:i w:val="false"/>
          <w:iCs w:val="false"/>
          <w:color w:val="1F2937"/>
          <w:sz w:val="22"/>
          <w:szCs w:val="22"/>
        </w:rPr>
        <w:t xml:space="preserve">Choisis une contrainte corporelle volontaire et modeste (exemples : manger sans sel un repas par jour, se lever 15 min plus tôt que d'habitude, finir sa douche à l'eau froide, refuser un aliment plaisant mais superflu).</w:t>
      </w:r>
    </w:p>
    <w:p>
      <w:pPr>
        <w:pStyle w:val="ListParagraph"/>
        <w:numPr>
          <w:ilvl w:val="0"/>
          <w:numId w:val="1"/>
        </w:numPr>
        <w:spacing w:after="80"/>
      </w:pPr>
      <w:r>
        <w:rPr>
          <w:rFonts w:ascii="Times New Roman" w:cs="Times New Roman" w:eastAsia="Times New Roman" w:hAnsi="Times New Roman"/>
          <w:b w:val="false"/>
          <w:bCs w:val="false"/>
          <w:i w:val="false"/>
          <w:iCs w:val="false"/>
          <w:color w:val="1F2937"/>
          <w:sz w:val="22"/>
          <w:szCs w:val="22"/>
        </w:rPr>
        <w:t xml:space="preserve">Tiens une note quotidienne en 3 lignes : (a) ce que tu as fait, (b) ce que tu as ressenti dans le moment, (c) ce que tu observes sur toi-même après coup.</w:t>
      </w:r>
    </w:p>
    <w:p>
      <w:pPr>
        <w:pStyle w:val="ListParagraph"/>
        <w:numPr>
          <w:ilvl w:val="0"/>
          <w:numId w:val="1"/>
        </w:numPr>
        <w:spacing w:after="80"/>
      </w:pPr>
      <w:r>
        <w:rPr>
          <w:rFonts w:ascii="Times New Roman" w:cs="Times New Roman" w:eastAsia="Times New Roman" w:hAnsi="Times New Roman"/>
          <w:b w:val="false"/>
          <w:bCs w:val="false"/>
          <w:i w:val="false"/>
          <w:iCs w:val="false"/>
          <w:color w:val="1F2937"/>
          <w:sz w:val="22"/>
          <w:szCs w:val="22"/>
        </w:rPr>
        <w:t xml:space="preserve">Après 7 jours, relis les 7 notes et identifie : est-ce que la résistance a changé ? Est-ce que ton rapport à l'inconfort s'est modifié ?</w:t>
      </w:r>
    </w:p>
    <w:p>
      <w:pPr>
        <w:spacing w:after="80"/>
      </w:pPr>
      <w:r>
        <w:t xml:space="preserve"/>
      </w:r>
    </w:p>
    <w:p>
      <w:pPr>
        <w:spacing w:after="120"/>
      </w:pPr>
      <w:r>
        <w:rPr>
          <w:rFonts w:ascii="Times New Roman" w:cs="Times New Roman" w:eastAsia="Times New Roman" w:hAnsi="Times New Roman"/>
          <w:b/>
          <w:bCs/>
          <w:i w:val="false"/>
          <w:iCs w:val="false"/>
          <w:color w:val="1F2937"/>
          <w:sz w:val="22"/>
          <w:szCs w:val="22"/>
        </w:rPr>
        <w:t xml:space="preserve">Mise en perspective philosophique :</w:t>
      </w:r>
    </w:p>
    <w:p>
      <w:pPr>
        <w:spacing w:after="120"/>
      </w:pPr>
      <w:r>
        <w:rPr>
          <w:rFonts w:ascii="Times New Roman" w:cs="Times New Roman" w:eastAsia="Times New Roman" w:hAnsi="Times New Roman"/>
          <w:b w:val="false"/>
          <w:bCs w:val="false"/>
          <w:i w:val="false"/>
          <w:iCs w:val="false"/>
          <w:color w:val="1F2937"/>
          <w:sz w:val="22"/>
          <w:szCs w:val="22"/>
        </w:rPr>
        <w:t xml:space="preserve">Musonius ne prescrit pas l'ascétisme pour punir le corps, mais pour démontrer que le confort n'est pas nécessaire au bien-vivre. L'exercice crée une preuve expérientielle que tu peux vérifier toi-même : « Je suis passé par là, et je n'en suis pas mort. Je peux donc faire face à bien d'autres difficultés. »</w:t>
      </w:r>
    </w:p>
    <w:p>
      <w:pPr>
        <w:spacing w:after="120"/>
      </w:pPr>
      <w:r>
        <w:rPr>
          <w:rFonts w:ascii="Times New Roman" w:cs="Times New Roman" w:eastAsia="Times New Roman" w:hAnsi="Times New Roman"/>
          <w:b w:val="false"/>
          <w:bCs w:val="false"/>
          <w:i w:val="false"/>
          <w:iCs w:val="false"/>
          <w:color w:val="1F2937"/>
          <w:sz w:val="22"/>
          <w:szCs w:val="22"/>
        </w:rPr>
        <w:t xml:space="preserve">C'est la même logique que la premeditatio malorum (leçon 7), mais transposée dans le corps plutôt que dans l'imagination.</w:t>
      </w:r>
    </w:p>
    <w:p>
      <w:pPr>
        <w:pStyle w:val="Heading3"/>
        <w:spacing w:after="80" w:before="220"/>
      </w:pPr>
      <w:r>
        <w:rPr>
          <w:rFonts w:ascii="Times New Roman" w:cs="Times New Roman" w:eastAsia="Times New Roman" w:hAnsi="Times New Roman"/>
          <w:b/>
          <w:bCs/>
          <w:color w:val="1F2937"/>
          <w:sz w:val="26"/>
          <w:szCs w:val="26"/>
        </w:rPr>
        <w:t xml:space="preserve">Exercice 3 — Révision du soir selon Musonius</w:t>
      </w:r>
    </w:p>
    <w:p>
      <w:pPr>
        <w:spacing w:after="120"/>
      </w:pPr>
      <w:r>
        <w:rPr>
          <w:rFonts w:ascii="Times New Roman" w:cs="Times New Roman" w:eastAsia="Times New Roman" w:hAnsi="Times New Roman"/>
          <w:b w:val="false"/>
          <w:bCs w:val="false"/>
          <w:i w:val="false"/>
          <w:iCs w:val="false"/>
          <w:color w:val="1F2937"/>
          <w:sz w:val="22"/>
          <w:szCs w:val="22"/>
        </w:rPr>
        <w:t xml:space="preserve">Musonius s'inscrit dans la tradition pythagoricienne du « triple examen du soir » — tradition que les stoïciens ont adoptée et que Sénèque évoque également. L'idée : revenir chaque soir sur les actes du jour, non pour se flageller, mais pour corriger le tir.</w:t>
      </w:r>
    </w:p>
    <w:p>
      <w:pPr>
        <w:spacing w:after="80"/>
      </w:pPr>
      <w:r>
        <w:t xml:space="preserve"/>
      </w:r>
    </w:p>
    <w:p>
      <w:pPr>
        <w:spacing w:after="120"/>
      </w:pPr>
      <w:r>
        <w:rPr>
          <w:rFonts w:ascii="Times New Roman" w:cs="Times New Roman" w:eastAsia="Times New Roman" w:hAnsi="Times New Roman"/>
          <w:b/>
          <w:bCs/>
          <w:i w:val="false"/>
          <w:iCs w:val="false"/>
          <w:color w:val="1F2937"/>
          <w:sz w:val="22"/>
          <w:szCs w:val="22"/>
        </w:rPr>
        <w:t xml:space="preserve">Protocole d'une semaine :</w:t>
      </w:r>
    </w:p>
    <w:p>
      <w:pPr>
        <w:spacing w:after="120"/>
      </w:pPr>
      <w:r>
        <w:rPr>
          <w:rFonts w:ascii="Times New Roman" w:cs="Times New Roman" w:eastAsia="Times New Roman" w:hAnsi="Times New Roman"/>
          <w:b w:val="false"/>
          <w:bCs w:val="false"/>
          <w:i w:val="false"/>
          <w:iCs w:val="false"/>
          <w:color w:val="1F2937"/>
          <w:sz w:val="22"/>
          <w:szCs w:val="22"/>
        </w:rPr>
        <w:t xml:space="preserve">Chaque soir, avant de t'endormir, réponds par écrit (5 min maximum) à trois questions :</w:t>
      </w:r>
    </w:p>
    <w:p>
      <w:pPr>
        <w:pStyle w:val="ListParagraph"/>
        <w:numPr>
          <w:ilvl w:val="0"/>
          <w:numId w:val="1"/>
        </w:numPr>
        <w:spacing w:after="80"/>
      </w:pPr>
      <w:r>
        <w:rPr>
          <w:rFonts w:ascii="Times New Roman" w:cs="Times New Roman" w:eastAsia="Times New Roman" w:hAnsi="Times New Roman"/>
          <w:b w:val="false"/>
          <w:bCs w:val="false"/>
          <w:i w:val="false"/>
          <w:iCs w:val="false"/>
          <w:color w:val="1F2937"/>
          <w:sz w:val="22"/>
          <w:szCs w:val="22"/>
        </w:rPr>
        <w:t xml:space="preserve">Où ai-je agi en accord avec la vertu aujourd'hui ?</w:t>
      </w:r>
    </w:p>
    <w:p>
      <w:pPr>
        <w:pStyle w:val="ListParagraph"/>
        <w:numPr>
          <w:ilvl w:val="0"/>
          <w:numId w:val="1"/>
        </w:numPr>
        <w:spacing w:after="80"/>
      </w:pPr>
      <w:r>
        <w:rPr>
          <w:rFonts w:ascii="Times New Roman" w:cs="Times New Roman" w:eastAsia="Times New Roman" w:hAnsi="Times New Roman"/>
          <w:b w:val="false"/>
          <w:bCs w:val="false"/>
          <w:i w:val="false"/>
          <w:iCs w:val="false"/>
          <w:color w:val="1F2937"/>
          <w:sz w:val="22"/>
          <w:szCs w:val="22"/>
        </w:rPr>
        <w:t xml:space="preserve">Où ai-je failli (impatience, distraction, indulgence inutile, parole inutile) ?</w:t>
      </w:r>
    </w:p>
    <w:p>
      <w:pPr>
        <w:pStyle w:val="ListParagraph"/>
        <w:numPr>
          <w:ilvl w:val="0"/>
          <w:numId w:val="1"/>
        </w:numPr>
        <w:spacing w:after="80"/>
      </w:pPr>
      <w:r>
        <w:rPr>
          <w:rFonts w:ascii="Times New Roman" w:cs="Times New Roman" w:eastAsia="Times New Roman" w:hAnsi="Times New Roman"/>
          <w:b w:val="false"/>
          <w:bCs w:val="false"/>
          <w:i w:val="false"/>
          <w:iCs w:val="false"/>
          <w:color w:val="1F2937"/>
          <w:sz w:val="22"/>
          <w:szCs w:val="22"/>
        </w:rPr>
        <w:t xml:space="preserve">Que ferais-je différemment si la situation se représente ?</w:t>
      </w:r>
    </w:p>
    <w:p>
      <w:pPr>
        <w:spacing w:after="80"/>
      </w:pPr>
      <w:r>
        <w:t xml:space="preserve"/>
      </w:r>
    </w:p>
    <w:p>
      <w:pPr>
        <w:spacing w:after="120"/>
      </w:pPr>
      <w:r>
        <w:rPr>
          <w:rFonts w:ascii="Times New Roman" w:cs="Times New Roman" w:eastAsia="Times New Roman" w:hAnsi="Times New Roman"/>
          <w:b/>
          <w:bCs/>
          <w:i w:val="false"/>
          <w:iCs w:val="false"/>
          <w:color w:val="1F2937"/>
          <w:sz w:val="22"/>
          <w:szCs w:val="22"/>
        </w:rPr>
        <w:t xml:space="preserve">Variante Musonius :</w:t>
      </w:r>
    </w:p>
    <w:p>
      <w:pPr>
        <w:spacing w:after="120"/>
      </w:pPr>
      <w:r>
        <w:rPr>
          <w:rFonts w:ascii="Times New Roman" w:cs="Times New Roman" w:eastAsia="Times New Roman" w:hAnsi="Times New Roman"/>
          <w:b w:val="false"/>
          <w:bCs w:val="false"/>
          <w:i w:val="false"/>
          <w:iCs w:val="false"/>
          <w:color w:val="1F2937"/>
          <w:sz w:val="22"/>
          <w:szCs w:val="22"/>
        </w:rPr>
        <w:t xml:space="preserve">Ajoute une quatrième question : « Y a-t-il quelque chose que j'ai repoussé par peur de l'inconfort, alors que c'était la bonne chose à faire ? » — Cette question cible précisément le point aveugle que Musonius travaille : la mollesse habituée.</w:t>
      </w:r>
    </w:p>
    <w:p>
      <w:pPr>
        <w:spacing w:after="80"/>
      </w:pPr>
      <w:r>
        <w:t xml:space="preserve"/>
      </w:r>
    </w:p>
    <w:p>
      <w:pPr>
        <w:spacing w:after="120"/>
      </w:pPr>
      <w:r>
        <w:rPr>
          <w:rFonts w:ascii="Times New Roman" w:cs="Times New Roman" w:eastAsia="Times New Roman" w:hAnsi="Times New Roman"/>
          <w:b/>
          <w:bCs/>
          <w:i w:val="false"/>
          <w:iCs w:val="false"/>
          <w:color w:val="1F2937"/>
          <w:sz w:val="22"/>
          <w:szCs w:val="22"/>
        </w:rPr>
        <w:t xml:space="preserve">Corrigé (critères de bonne pratique) :</w:t>
      </w:r>
    </w:p>
    <w:p>
      <w:pPr>
        <w:spacing w:after="120"/>
      </w:pPr>
      <w:r>
        <w:rPr>
          <w:rFonts w:ascii="Times New Roman" w:cs="Times New Roman" w:eastAsia="Times New Roman" w:hAnsi="Times New Roman"/>
          <w:b w:val="false"/>
          <w:bCs w:val="false"/>
          <w:i w:val="false"/>
          <w:iCs w:val="false"/>
          <w:color w:val="1F2937"/>
          <w:sz w:val="22"/>
          <w:szCs w:val="22"/>
        </w:rPr>
        <w:t xml:space="preserve">La révision est correcte si : (1) tu identifies des actes concrets, pas des états généraux (« j'ai été patient avec X dans la réunion à 14h » et non « j'ai été patient »), (2) la question 3 produit une intention précise et réaliste, (3) tu n'utilises pas l'exercice pour ruminer — la revue est factuelle, pas émotionnelle. Si tu remarques que tu passes plus de 5 minutes en rumination, c'est le signe que tu cherches la punition plutôt que la correction.</w:t>
      </w:r>
    </w:p>
    <w:p>
      <w:pPr>
        <w:pBdr>
          <w:bottom w:val="single" w:color="1B3A6B" w:sz="6" w:space="1"/>
        </w:pBdr>
        <w:spacing w:after="200"/>
      </w:pPr>
    </w:p>
    <w:p>
      <w:pPr>
        <w:pStyle w:val="Heading2"/>
        <w:spacing w:after="120" w:before="320"/>
      </w:pPr>
      <w:r>
        <w:rPr>
          <w:rFonts w:ascii="Times New Roman" w:cs="Times New Roman" w:eastAsia="Times New Roman" w:hAnsi="Times New Roman"/>
          <w:b/>
          <w:bCs/>
          <w:color w:val="1B3A6B"/>
          <w:sz w:val="30"/>
          <w:szCs w:val="30"/>
        </w:rPr>
        <w:t xml:space="preserve">🎯 Challenge — Rédiger ton propre « discours de Musonius »</w:t>
      </w:r>
    </w:p>
    <w:p>
      <w:pPr>
        <w:spacing w:after="120"/>
      </w:pPr>
      <w:r>
        <w:rPr>
          <w:rFonts w:ascii="Times New Roman" w:cs="Times New Roman" w:eastAsia="Times New Roman" w:hAnsi="Times New Roman"/>
          <w:b w:val="false"/>
          <w:bCs w:val="false"/>
          <w:i w:val="false"/>
          <w:iCs w:val="false"/>
          <w:color w:val="1F2937"/>
          <w:sz w:val="22"/>
          <w:szCs w:val="22"/>
        </w:rPr>
        <w:t xml:space="preserve">Musonius enseignait par discours courts centrés sur une question concrète. Son style : question directe, argument par analogie, conclusion pratique. Aucune rhétorique inutile.</w:t>
      </w:r>
    </w:p>
    <w:p>
      <w:pPr>
        <w:spacing w:after="80"/>
      </w:pPr>
      <w:r>
        <w:t xml:space="preserve"/>
      </w:r>
    </w:p>
    <w:p>
      <w:pPr>
        <w:spacing w:after="120"/>
      </w:pPr>
      <w:r>
        <w:rPr>
          <w:rFonts w:ascii="Times New Roman" w:cs="Times New Roman" w:eastAsia="Times New Roman" w:hAnsi="Times New Roman"/>
          <w:b/>
          <w:bCs/>
          <w:i w:val="false"/>
          <w:iCs w:val="false"/>
          <w:color w:val="1F2937"/>
          <w:sz w:val="22"/>
          <w:szCs w:val="22"/>
        </w:rPr>
        <w:t xml:space="preserve">Consigne :</w:t>
      </w:r>
    </w:p>
    <w:p>
      <w:pPr>
        <w:spacing w:after="120"/>
      </w:pPr>
      <w:r>
        <w:rPr>
          <w:rFonts w:ascii="Times New Roman" w:cs="Times New Roman" w:eastAsia="Times New Roman" w:hAnsi="Times New Roman"/>
          <w:b w:val="false"/>
          <w:bCs w:val="false"/>
          <w:i w:val="false"/>
          <w:iCs w:val="false"/>
          <w:color w:val="1F2937"/>
          <w:sz w:val="22"/>
          <w:szCs w:val="22"/>
        </w:rPr>
        <w:t xml:space="preserve">Rédige un court discours (300–400 mots) à la manière de Musonius sur l'une des questions suivantes — au choix :</w:t>
      </w:r>
    </w:p>
    <w:p>
      <w:pPr>
        <w:pStyle w:val="ListParagraph"/>
        <w:numPr>
          <w:ilvl w:val="0"/>
          <w:numId w:val="1"/>
        </w:numPr>
        <w:spacing w:after="80"/>
      </w:pPr>
      <w:r>
        <w:rPr>
          <w:rFonts w:ascii="Times New Roman" w:cs="Times New Roman" w:eastAsia="Times New Roman" w:hAnsi="Times New Roman"/>
          <w:b w:val="false"/>
          <w:bCs w:val="false"/>
          <w:i w:val="false"/>
          <w:iCs w:val="false"/>
          <w:color w:val="1F2937"/>
          <w:sz w:val="22"/>
          <w:szCs w:val="22"/>
        </w:rPr>
        <w:t xml:space="preserve">« Faut-il vérifier ses notifications dès le réveil ? »</w:t>
      </w:r>
    </w:p>
    <w:p>
      <w:pPr>
        <w:pStyle w:val="ListParagraph"/>
        <w:numPr>
          <w:ilvl w:val="0"/>
          <w:numId w:val="1"/>
        </w:numPr>
        <w:spacing w:after="80"/>
      </w:pPr>
      <w:r>
        <w:rPr>
          <w:rFonts w:ascii="Times New Roman" w:cs="Times New Roman" w:eastAsia="Times New Roman" w:hAnsi="Times New Roman"/>
          <w:b w:val="false"/>
          <w:bCs w:val="false"/>
          <w:i w:val="false"/>
          <w:iCs w:val="false"/>
          <w:color w:val="1F2937"/>
          <w:sz w:val="22"/>
          <w:szCs w:val="22"/>
        </w:rPr>
        <w:t xml:space="preserve">« Faut-il accepter une réunion inutile pour ne pas déplaire ? »</w:t>
      </w:r>
    </w:p>
    <w:p>
      <w:pPr>
        <w:pStyle w:val="ListParagraph"/>
        <w:numPr>
          <w:ilvl w:val="0"/>
          <w:numId w:val="1"/>
        </w:numPr>
        <w:spacing w:after="80"/>
      </w:pPr>
      <w:r>
        <w:rPr>
          <w:rFonts w:ascii="Times New Roman" w:cs="Times New Roman" w:eastAsia="Times New Roman" w:hAnsi="Times New Roman"/>
          <w:b w:val="false"/>
          <w:bCs w:val="false"/>
          <w:i w:val="false"/>
          <w:iCs w:val="false"/>
          <w:color w:val="1F2937"/>
          <w:sz w:val="22"/>
          <w:szCs w:val="22"/>
        </w:rPr>
        <w:t xml:space="preserve">« Faut-il offrir un cadeau coûteux pour montrer son affection ? »</w:t>
      </w:r>
    </w:p>
    <w:p>
      <w:pPr>
        <w:spacing w:after="80"/>
      </w:pPr>
      <w:r>
        <w:t xml:space="preserve"/>
      </w:r>
    </w:p>
    <w:p>
      <w:pPr>
        <w:spacing w:after="120"/>
      </w:pPr>
      <w:r>
        <w:rPr>
          <w:rFonts w:ascii="Times New Roman" w:cs="Times New Roman" w:eastAsia="Times New Roman" w:hAnsi="Times New Roman"/>
          <w:b/>
          <w:bCs/>
          <w:i w:val="false"/>
          <w:iCs w:val="false"/>
          <w:color w:val="1F2937"/>
          <w:sz w:val="22"/>
          <w:szCs w:val="22"/>
        </w:rPr>
        <w:t xml:space="preserve">Structure attendue :</w:t>
      </w:r>
    </w:p>
    <w:p>
      <w:pPr>
        <w:pStyle w:val="ListParagraph"/>
        <w:numPr>
          <w:ilvl w:val="0"/>
          <w:numId w:val="1"/>
        </w:numPr>
        <w:spacing w:after="80"/>
      </w:pPr>
      <w:r>
        <w:rPr>
          <w:rFonts w:ascii="Times New Roman" w:cs="Times New Roman" w:eastAsia="Times New Roman" w:hAnsi="Times New Roman"/>
          <w:b w:val="false"/>
          <w:bCs w:val="false"/>
          <w:i w:val="false"/>
          <w:iCs w:val="false"/>
          <w:color w:val="1F2937"/>
          <w:sz w:val="22"/>
          <w:szCs w:val="22"/>
        </w:rPr>
        <w:t xml:space="preserve">Une question de départ directe et concrète.</w:t>
      </w:r>
    </w:p>
    <w:p>
      <w:pPr>
        <w:pStyle w:val="ListParagraph"/>
        <w:numPr>
          <w:ilvl w:val="0"/>
          <w:numId w:val="1"/>
        </w:numPr>
        <w:spacing w:after="80"/>
      </w:pPr>
      <w:r>
        <w:rPr>
          <w:rFonts w:ascii="Times New Roman" w:cs="Times New Roman" w:eastAsia="Times New Roman" w:hAnsi="Times New Roman"/>
          <w:b w:val="false"/>
          <w:bCs w:val="false"/>
          <w:i w:val="false"/>
          <w:iCs w:val="false"/>
          <w:color w:val="1F2937"/>
          <w:sz w:val="22"/>
          <w:szCs w:val="22"/>
        </w:rPr>
        <w:t xml:space="preserve">Une analogie (comme Musonius avec le médecin et le musicien) qui éclaire le principe stoïcien en jeu.</w:t>
      </w:r>
    </w:p>
    <w:p>
      <w:pPr>
        <w:pStyle w:val="ListParagraph"/>
        <w:numPr>
          <w:ilvl w:val="0"/>
          <w:numId w:val="1"/>
        </w:numPr>
        <w:spacing w:after="80"/>
      </w:pPr>
      <w:r>
        <w:rPr>
          <w:rFonts w:ascii="Times New Roman" w:cs="Times New Roman" w:eastAsia="Times New Roman" w:hAnsi="Times New Roman"/>
          <w:b w:val="false"/>
          <w:bCs w:val="false"/>
          <w:i w:val="false"/>
          <w:iCs w:val="false"/>
          <w:color w:val="1F2937"/>
          <w:sz w:val="22"/>
          <w:szCs w:val="22"/>
        </w:rPr>
        <w:t xml:space="preserve">Un argument central fondé sur la dichotomie du contrôle ou les quatre vertus.</w:t>
      </w:r>
    </w:p>
    <w:p>
      <w:pPr>
        <w:pStyle w:val="ListParagraph"/>
        <w:numPr>
          <w:ilvl w:val="0"/>
          <w:numId w:val="1"/>
        </w:numPr>
        <w:spacing w:after="80"/>
      </w:pPr>
      <w:r>
        <w:rPr>
          <w:rFonts w:ascii="Times New Roman" w:cs="Times New Roman" w:eastAsia="Times New Roman" w:hAnsi="Times New Roman"/>
          <w:b w:val="false"/>
          <w:bCs w:val="false"/>
          <w:i w:val="false"/>
          <w:iCs w:val="false"/>
          <w:color w:val="1F2937"/>
          <w:sz w:val="22"/>
          <w:szCs w:val="22"/>
        </w:rPr>
        <w:t xml:space="preserve">Une conclusion qui formule une règle de conduite applicable immédiatement.</w:t>
      </w:r>
    </w:p>
    <w:p>
      <w:pPr>
        <w:spacing w:after="80"/>
      </w:pPr>
      <w:r>
        <w:t xml:space="preserve"/>
      </w:r>
    </w:p>
    <w:p>
      <w:pPr>
        <w:spacing w:after="120"/>
      </w:pPr>
      <w:r>
        <w:rPr>
          <w:rFonts w:ascii="Times New Roman" w:cs="Times New Roman" w:eastAsia="Times New Roman" w:hAnsi="Times New Roman"/>
          <w:b/>
          <w:bCs/>
          <w:i w:val="false"/>
          <w:iCs w:val="false"/>
          <w:color w:val="1F2937"/>
          <w:sz w:val="22"/>
          <w:szCs w:val="22"/>
        </w:rPr>
        <w:t xml:space="preserve">Ce que cet exercice travaille :</w:t>
      </w:r>
    </w:p>
    <w:p>
      <w:pPr>
        <w:spacing w:after="120"/>
      </w:pPr>
      <w:r>
        <w:rPr>
          <w:rFonts w:ascii="Times New Roman" w:cs="Times New Roman" w:eastAsia="Times New Roman" w:hAnsi="Times New Roman"/>
          <w:b w:val="false"/>
          <w:bCs w:val="false"/>
          <w:i w:val="false"/>
          <w:iCs w:val="false"/>
          <w:color w:val="1F2937"/>
          <w:sz w:val="22"/>
          <w:szCs w:val="22"/>
        </w:rPr>
        <w:t xml:space="preserve">Écrire à la manière d'un philosophe force à identifier le principe derrière la règle. C'est l'intégration en acte : si tu peux l'expliquer à quelqu'un d'autre avec une analogie, c'est que tu l'as vraiment compris.</w:t>
      </w:r>
    </w:p>
    <w:p>
      <w:pPr>
        <w:pBdr>
          <w:bottom w:val="single" w:color="1B3A6B" w:sz="6" w:space="1"/>
        </w:pBdr>
        <w:spacing w:after="200"/>
      </w:pPr>
    </w:p>
    <w:p>
      <w:pPr>
        <w:pStyle w:val="Heading2"/>
        <w:spacing w:after="120" w:before="320"/>
      </w:pPr>
      <w:r>
        <w:rPr>
          <w:rFonts w:ascii="Times New Roman" w:cs="Times New Roman" w:eastAsia="Times New Roman" w:hAnsi="Times New Roman"/>
          <w:b/>
          <w:bCs/>
          <w:color w:val="1B3A6B"/>
          <w:sz w:val="30"/>
          <w:szCs w:val="30"/>
        </w:rPr>
        <w:t xml:space="preserve">🌉 Pont pro — Pertinence pour le chef de service en ESSMS</w:t>
      </w:r>
    </w:p>
    <w:p>
      <w:pPr>
        <w:spacing w:after="120"/>
      </w:pPr>
      <w:r>
        <w:rPr>
          <w:rFonts w:ascii="Times New Roman" w:cs="Times New Roman" w:eastAsia="Times New Roman" w:hAnsi="Times New Roman"/>
          <w:b w:val="false"/>
          <w:bCs w:val="false"/>
          <w:i w:val="false"/>
          <w:iCs w:val="false"/>
          <w:color w:val="1F2937"/>
          <w:sz w:val="22"/>
          <w:szCs w:val="22"/>
        </w:rPr>
        <w:t xml:space="preserve">La thèse de Musonius — « la philosophie est ce que l'on fait, pas ce que l'on sait » — a un écho direct dans la conduite d'équipe. Une posture professionnelle vertueuse (équité, sang-froid, disponibilité, franchise) ne s'improvise pas dans l'urgence : elle se forge dans l'entraînement quotidien des petits actes. L'exercice de révision du soir s'apparente à ce que le secteur appelle l'ANALYSE DES PRATIQUES PROFESSIONNELLES (APP) — c'est le terme consacré, à employer de préférence à toute autre formulation. Une réserve de méthode, toutefois : l'APP est un dispositif COLLECTIF et animé par un tiers extérieur, là où la révision de Musonius est solitaire et sans témoin. La seconde peut nourrir la posture de l'encadrant ; elle ne remplace ni ne prépare la première. Si une référence est nécessaire sur le rôle de l'encadrement, c'est la recommandation citée en ressources qu'il faut nommer — pas « les RBPP » en général.</w:t>
      </w:r>
    </w:p>
    <w:p>
      <w:pPr>
        <w:pBdr>
          <w:bottom w:val="single" w:color="1B3A6B" w:sz="6" w:space="1"/>
        </w:pBdr>
        <w:spacing w:after="200"/>
      </w:pPr>
    </w:p>
    <w:p>
      <w:pPr>
        <w:pStyle w:val="Heading2"/>
        <w:spacing w:after="120" w:before="320"/>
      </w:pPr>
      <w:r>
        <w:rPr>
          <w:rFonts w:ascii="Times New Roman" w:cs="Times New Roman" w:eastAsia="Times New Roman" w:hAnsi="Times New Roman"/>
          <w:b/>
          <w:bCs/>
          <w:color w:val="1B3A6B"/>
          <w:sz w:val="30"/>
          <w:szCs w:val="30"/>
        </w:rPr>
        <w:t xml:space="preserve">📚 Ressources cliquables — Pour approfondir</w:t>
      </w:r>
    </w:p>
    <w:p>
      <w:pPr>
        <w:pStyle w:val="ListParagraph"/>
        <w:numPr>
          <w:ilvl w:val="0"/>
          <w:numId w:val="1"/>
        </w:numPr>
        <w:spacing w:after="80"/>
      </w:pPr>
      <w:hyperlink w:history="1" r:id="rIdfvdd7pppauvirwsckrlud">
        <w:r>
          <w:rPr>
            <w:rFonts w:ascii="Times New Roman" w:cs="Times New Roman" w:eastAsia="Times New Roman" w:hAnsi="Times New Roman"/>
            <w:color w:val="1155CC"/>
            <w:sz w:val="22"/>
            <w:szCs w:val="22"/>
            <w:u w:val="single"/>
          </w:rPr>
          <w:t xml:space="preserve">Wikipedia — Gaius Musonius Rufus (biographie complète, liste des discours, influence)</w:t>
        </w:r>
      </w:hyperlink>
    </w:p>
    <w:p>
      <w:pPr>
        <w:pStyle w:val="ListParagraph"/>
        <w:numPr>
          <w:ilvl w:val="0"/>
          <w:numId w:val="1"/>
        </w:numPr>
        <w:spacing w:after="80"/>
      </w:pPr>
      <w:hyperlink w:history="1" r:id="rIdo7mm794z4u3hz9hsk59gb">
        <w:r>
          <w:rPr>
            <w:rFonts w:ascii="Times New Roman" w:cs="Times New Roman" w:eastAsia="Times New Roman" w:hAnsi="Times New Roman"/>
            <w:color w:val="1155CC"/>
            <w:sz w:val="22"/>
            <w:szCs w:val="22"/>
            <w:u w:val="single"/>
          </w:rPr>
          <w:t xml:space="preserve">Musonius Rufus — William O. Stephens, Internet Encyclopedia of Philosophy (analyse philosophique)</w:t>
        </w:r>
      </w:hyperlink>
    </w:p>
    <w:p>
      <w:pPr>
        <w:pStyle w:val="ListParagraph"/>
        <w:numPr>
          <w:ilvl w:val="0"/>
          <w:numId w:val="1"/>
        </w:numPr>
        <w:spacing w:after="80"/>
      </w:pPr>
      <w:hyperlink w:history="1" r:id="rId9srkwzdxsus50dtutauq2">
        <w:r>
          <w:rPr>
            <w:rFonts w:ascii="Times New Roman" w:cs="Times New Roman" w:eastAsia="Times New Roman" w:hAnsi="Times New Roman"/>
            <w:color w:val="1155CC"/>
            <w:sz w:val="22"/>
            <w:szCs w:val="22"/>
            <w:u w:val="single"/>
          </w:rPr>
          <w:t xml:space="preserve">Daily Stoic — Who is Musonius Rufus? The Socrates of Stoicism (accessible, synthèse pratique)</w:t>
        </w:r>
      </w:hyperlink>
    </w:p>
    <w:p>
      <w:pPr>
        <w:pStyle w:val="ListParagraph"/>
        <w:numPr>
          <w:ilvl w:val="0"/>
          <w:numId w:val="1"/>
        </w:numPr>
        <w:spacing w:after="80"/>
      </w:pPr>
      <w:hyperlink w:history="1" r:id="rIdxrj-lgtaheg_en_wcqwkj">
        <w:r>
          <w:rPr>
            <w:rFonts w:ascii="Times New Roman" w:cs="Times New Roman" w:eastAsia="Times New Roman" w:hAnsi="Times New Roman"/>
            <w:color w:val="1155CC"/>
            <w:sz w:val="22"/>
            <w:szCs w:val="22"/>
            <w:u w:val="single"/>
          </w:rPr>
          <w:t xml:space="preserve">World History Encyclopedia — Musonius Rufus (contexte historique, exils, œuvres)</w:t>
        </w:r>
      </w:hyperlink>
    </w:p>
    <w:p>
      <w:pPr>
        <w:pStyle w:val="ListParagraph"/>
        <w:numPr>
          <w:ilvl w:val="0"/>
          <w:numId w:val="1"/>
        </w:numPr>
        <w:spacing w:after="80"/>
      </w:pPr>
      <w:hyperlink w:history="1" r:id="rIdfvqobnji0c4iqoe4gf6ke">
        <w:r>
          <w:rPr>
            <w:rFonts w:ascii="Times New Roman" w:cs="Times New Roman" w:eastAsia="Times New Roman" w:hAnsi="Times New Roman"/>
            <w:color w:val="1155CC"/>
            <w:sz w:val="22"/>
            <w:szCs w:val="22"/>
            <w:u w:val="single"/>
          </w:rPr>
          <w:t xml:space="preserve">Musonius Rufus: Stoic Philosophy for Everyday Life — Aurelio Silva, Modern Stoic Path (applications contemporaines)</w:t>
        </w:r>
      </w:hyperlink>
    </w:p>
    <w:p>
      <w:pPr>
        <w:pStyle w:val="ListParagraph"/>
        <w:numPr>
          <w:ilvl w:val="0"/>
          <w:numId w:val="1"/>
        </w:numPr>
        <w:spacing w:after="80"/>
      </w:pPr>
      <w:hyperlink w:history="1" r:id="rIdb8r0z87y5om6nkxdlupcq">
        <w:r>
          <w:rPr>
            <w:rFonts w:ascii="Times New Roman" w:cs="Times New Roman" w:eastAsia="Times New Roman" w:hAnsi="Times New Roman"/>
            <w:color w:val="1155CC"/>
            <w:sz w:val="22"/>
            <w:szCs w:val="22"/>
            <w:u w:val="single"/>
          </w:rPr>
          <w:t xml:space="preserve">Stoic Choice — Musonius Rufus: The Practical Stoic (résumé des enseignements avec exemples)</w:t>
        </w:r>
      </w:hyperlink>
    </w:p>
    <w:p>
      <w:pPr>
        <w:pBdr>
          <w:bottom w:val="single" w:color="1B3A6B" w:sz="6" w:space="1"/>
        </w:pBdr>
        <w:spacing w:after="200"/>
      </w:pPr>
    </w:p>
    <w:p>
      <w:pPr>
        <w:spacing w:after="80" w:before="80"/>
      </w:pPr>
      <w:r>
        <w:rPr>
          <w:rFonts w:ascii="Times New Roman" w:cs="Times New Roman" w:eastAsia="Times New Roman" w:hAnsi="Times New Roman"/>
          <w:color w:val="1F2937"/>
          <w:sz w:val="22"/>
          <w:szCs w:val="22"/>
        </w:rPr>
        <w:t xml:space="preserve">Référence professionnelle ajoutée le 27/08/2026, testée ce jour (200) — pour le pont pro uniquement :</w:t>
      </w:r>
    </w:p>
    <w:p>
      <w:pPr>
        <w:spacing w:after="80" w:before="80"/>
      </w:pPr>
      <w:r>
        <w:rPr>
          <w:rFonts w:ascii="Times New Roman" w:cs="Times New Roman" w:eastAsia="Times New Roman" w:hAnsi="Times New Roman"/>
          <w:color w:val="1F2937"/>
          <w:sz w:val="22"/>
          <w:szCs w:val="22"/>
        </w:rPr>
        <w:t xml:space="preserve">• </w:t>
      </w:r>
      <w:hyperlink w:history="1" r:id="rIdanesmencadrementmalt">
        <w:r>
          <w:rPr>
            <w:rFonts w:ascii="Times New Roman" w:cs="Times New Roman" w:eastAsia="Times New Roman" w:hAnsi="Times New Roman"/>
            <w:color w:val="1155CC"/>
            <w:sz w:val="22"/>
            <w:szCs w:val="22"/>
            <w:u w:val="single"/>
          </w:rPr>
          <w:t xml:space="preserve">ANESM / HAS — Mission du responsable d'établissement et rôle de l'encadrement dans la prévention et le traitement de la maltraitance. C'est la recommandation à nommer quand on parle du rôle de l'encadrement ; elle traite notamment des dispositifs de soutien aux équipes.</w:t>
        </w:r>
      </w:hyperlink>
    </w:p>
    <w:p>
      <w:pPr>
        <w:pStyle w:val="Heading2"/>
        <w:spacing w:after="120" w:before="320"/>
      </w:pPr>
      <w:r>
        <w:rPr>
          <w:rFonts w:ascii="Times New Roman" w:cs="Times New Roman" w:eastAsia="Times New Roman" w:hAnsi="Times New Roman"/>
          <w:b/>
          <w:bCs/>
          <w:color w:val="1B3A6B"/>
          <w:sz w:val="30"/>
          <w:szCs w:val="30"/>
        </w:rPr>
        <w:t xml:space="preserve">🔜 Prochaine leçon — Leçon 13 / 20</w:t>
      </w:r>
    </w:p>
    <w:p>
      <w:pPr>
        <w:spacing w:after="120"/>
      </w:pPr>
      <w:r>
        <w:rPr>
          <w:rFonts w:ascii="Times New Roman" w:cs="Times New Roman" w:eastAsia="Times New Roman" w:hAnsi="Times New Roman"/>
          <w:b/>
          <w:bCs/>
          <w:i w:val="false"/>
          <w:iCs w:val="false"/>
          <w:color w:val="1F2937"/>
          <w:sz w:val="22"/>
          <w:szCs w:val="22"/>
        </w:rPr>
        <w:t xml:space="preserve">Zénon, Chrysippe et l'ancien Portique : retour aux origines de l'école stoïcienne.</w:t>
      </w:r>
    </w:p>
    <w:p>
      <w:pPr>
        <w:spacing w:after="80"/>
      </w:pPr>
      <w:r>
        <w:t xml:space="preserve"/>
      </w:r>
    </w:p>
    <w:p>
      <w:pPr>
        <w:spacing w:after="120"/>
      </w:pPr>
      <w:r>
        <w:rPr>
          <w:rFonts w:ascii="Times New Roman" w:cs="Times New Roman" w:eastAsia="Times New Roman" w:hAnsi="Times New Roman"/>
          <w:b w:val="false"/>
          <w:bCs w:val="false"/>
          <w:i w:val="false"/>
          <w:iCs w:val="false"/>
          <w:color w:val="1F2937"/>
          <w:sz w:val="22"/>
          <w:szCs w:val="22"/>
        </w:rPr>
        <w:t xml:space="preserve">Après avoir vu les grands stoïciens romains du 1er siècle (Sénèque, Musonius, Épictète, Marc Aurèle), la leçon 13 remonte aux fondateurs grecs du Portique (vers 300 av. J.-C.) : Zénon de Kition, Cléanthe, Chrysippe. C'est l'occasion de comprendre comment la doctrine s'est constituée, et en quoi le stoïcisme romain s'en est éloigné sur plusieurs points.</w:t>
      </w:r>
    </w:p>
    <w:p>
      <w:pPr>
        <w:spacing w:after="120" w:before="300"/>
      </w:pPr>
      <w:r>
        <w:rPr>
          <w:rFonts w:ascii="Times New Roman" w:cs="Times New Roman" w:eastAsia="Times New Roman" w:hAnsi="Times New Roman"/>
          <w:b/>
          <w:bCs/>
          <w:color w:val="1B3A6B"/>
          <w:sz w:val="28"/>
          <w:szCs w:val="28"/>
        </w:rPr>
        <w:t xml:space="preserve">📝 Journal des corrections</w:t>
      </w:r>
    </w:p>
    <w:p>
      <w:pPr>
        <w:spacing w:after="80" w:before="80"/>
      </w:pPr>
      <w:r>
        <w:rPr>
          <w:rFonts w:ascii="Times New Roman" w:cs="Times New Roman" w:eastAsia="Times New Roman" w:hAnsi="Times New Roman"/>
          <w:color w:val="1F2937"/>
          <w:sz w:val="22"/>
          <w:szCs w:val="22"/>
        </w:rPr>
        <w:t xml:space="preserve">Leçon produite et relue le 27/08/2026. Les corrections sont fondues dans le texte ci-dessus ; les formulations d'origine sont conservées ici.</w:t>
      </w:r>
    </w:p>
    <w:p>
      <w:pPr>
        <w:spacing w:after="80" w:before="80"/>
      </w:pPr>
      <w:r>
        <w:rPr>
          <w:rFonts w:ascii="Times New Roman" w:cs="Times New Roman" w:eastAsia="Times New Roman" w:hAnsi="Times New Roman"/>
          <w:color w:val="1F2937"/>
          <w:sz w:val="22"/>
          <w:szCs w:val="22"/>
        </w:rPr>
        <w:t xml:space="preserve">1. Exercice 1 — le lecteur était envoyé vers le mauvais discours.</w:t>
      </w:r>
    </w:p>
    <w:p>
      <w:pPr>
        <w:spacing w:after="80" w:before="80"/>
      </w:pPr>
      <w:r>
        <w:rPr>
          <w:rFonts w:ascii="Times New Roman" w:cs="Times New Roman" w:eastAsia="Times New Roman" w:hAnsi="Times New Roman"/>
          <w:color w:val="1F2937"/>
          <w:sz w:val="22"/>
          <w:szCs w:val="22"/>
        </w:rPr>
        <w:t xml:space="preserve">Version initiale : « Discours 6 — Que les femmes aussi doivent étudier la philosophie ». Dans la numérotation de l'édition Cora E. Lutz, qui fait référence, c'est le DISCOURS 3. Le Discours 6 s'intitule « Sur l'entraînement » — c'est-à-dire, précisément, celui d'où provient l'analogie du médecin et du musicien citée en section 2 de cette même leçon. Un lecteur suivant la consigne ouvrait donc un texte ne répondant à aucune des trois questions posées. Vérifié le 27/08/2026 sur la page citée en première ressource de cette leçon.</w:t>
      </w:r>
    </w:p>
    <w:p>
      <w:pPr>
        <w:spacing w:after="80" w:before="80"/>
      </w:pPr>
      <w:r>
        <w:rPr>
          <w:rFonts w:ascii="Times New Roman" w:cs="Times New Roman" w:eastAsia="Times New Roman" w:hAnsi="Times New Roman"/>
          <w:color w:val="1F2937"/>
          <w:sz w:val="22"/>
          <w:szCs w:val="22"/>
        </w:rPr>
        <w:t xml:space="preserve">2. Nombre d'exils.</w:t>
      </w:r>
    </w:p>
    <w:p>
      <w:pPr>
        <w:spacing w:after="80" w:before="80"/>
      </w:pPr>
      <w:r>
        <w:rPr>
          <w:rFonts w:ascii="Times New Roman" w:cs="Times New Roman" w:eastAsia="Times New Roman" w:hAnsi="Times New Roman"/>
          <w:color w:val="1F2937"/>
          <w:sz w:val="22"/>
          <w:szCs w:val="22"/>
        </w:rPr>
        <w:t xml:space="preserve">Version initiale : « fut exilé à trois reprises par les empereurs qui le craignaient ». L'Internet Encyclopedia of Philosophy, ressource n° 2 de cette leçon, en compte deux : Néron en 65 vers l'île de Gyaros, puis Vespasien, avec retour à Rome sous Titus. Le texte donne désormais les deux exils avec leur auteur et leur date.</w:t>
      </w:r>
    </w:p>
    <w:p>
      <w:pPr>
        <w:spacing w:after="80" w:before="80"/>
      </w:pPr>
      <w:r>
        <w:rPr>
          <w:rFonts w:ascii="Times New Roman" w:cs="Times New Roman" w:eastAsia="Times New Roman" w:hAnsi="Times New Roman"/>
          <w:color w:val="1F2937"/>
          <w:sz w:val="22"/>
          <w:szCs w:val="22"/>
        </w:rPr>
        <w:t xml:space="preserve">3. Pont pro — une attribution HAS fabriquée.</w:t>
      </w:r>
    </w:p>
    <w:p>
      <w:pPr>
        <w:spacing w:after="80" w:before="80"/>
      </w:pPr>
      <w:r>
        <w:rPr>
          <w:rFonts w:ascii="Times New Roman" w:cs="Times New Roman" w:eastAsia="Times New Roman" w:hAnsi="Times New Roman"/>
          <w:color w:val="1F2937"/>
          <w:sz w:val="22"/>
          <w:szCs w:val="22"/>
        </w:rPr>
        <w:t xml:space="preserve">Version initiale : « une pratique que les RBPP HAS recommandent sous le nom de “soutien des pratiques professionnelles” ». Cette formulation n'a pas été retrouvée dans les recommandations ; le terme consacré du secteur est ANALYSE DES PRATIQUES PROFESSIONNELLES (APP). Le passage emploie désormais ce terme, et ajoute une réserve de méthode que la version initiale masquait : l'APP est un dispositif collectif animé par un tiers extérieur, quand la révision du soir est solitaire — la seconde ne prépare ni ne remplace la première. Une recommandation réellement nommée a été ajoutée en ressources pour le rôle de l'encadrement.</w:t>
      </w:r>
    </w:p>
    <w:p>
      <w:pPr>
        <w:spacing w:after="80" w:before="80"/>
      </w:pPr>
      <w:r>
        <w:rPr>
          <w:rFonts w:ascii="Times New Roman" w:cs="Times New Roman" w:eastAsia="Times New Roman" w:hAnsi="Times New Roman"/>
          <w:color w:val="1F2937"/>
          <w:sz w:val="22"/>
          <w:szCs w:val="22"/>
        </w:rPr>
        <w:t xml:space="preserve">5. Deux articles signés, cités par le nom de leur publication — théorie et ressources (24/09/2026). « (World History Encyclopedia, IEP, Modern Stoic Path) » : l'article de l'IEP sur Musonius est signé William O. Stephens, celui de Modern Stoic Path Aurelio Silva. Les deux noms sont désormais dans le corps et sur leur ligne de ressources.</w:t>
      </w:r>
    </w:p>
    <w:p>
      <w:pPr>
        <w:spacing w:after="80" w:before="80"/>
      </w:pPr>
      <w:r>
        <w:rPr>
          <w:rFonts w:ascii="Times New Roman" w:cs="Times New Roman" w:eastAsia="Times New Roman" w:hAnsi="Times New Roman"/>
          <w:color w:val="1F2937"/>
          <w:sz w:val="22"/>
          <w:szCs w:val="22"/>
        </w:rPr>
        <w:t xml:space="preserve">Vérifié lors de la relecture et inchangé : les 21 discours et 32 apophtegmes, transmis par Lucius et Stobée ; le fait que Musonius n'ait rien écrit lui-même ; Épictète son élève, autorisé à suivre les cours par Épaphrodite ; la filiation pythagoricienne de l'examen du soir ; l'analogie du médecin et du musicien, honnêtement présentée comme une synthèse et non comme une citation verbatim ; et les dates approximatives de naissance et de mort.</w:t>
      </w:r>
    </w:p>
    <w:sectPr>
      <w:pgSz w:w="11906" w:h="16838" w:orient="portrait"/>
      <w:pgMar w:top="1440" w:right="1584" w:bottom="1440"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anesmencadrementmalt" Type="http://schemas.openxmlformats.org/officeDocument/2006/relationships/hyperlink" Target="https://www.has-sante.fr/jcms/c_2835208/fr/mission-du-responsable-d-etablissement-et-role-de-l-encadrement-dans-la-prevention-et-le-traitement-de-la-maltraitance" TargetMode="External"/><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fvdd7pppauvirwsckrlud" Type="http://schemas.openxmlformats.org/officeDocument/2006/relationships/hyperlink" Target="https://en.wikipedia.org/wiki/Gaius_Musonius_Rufus" TargetMode="External"/><Relationship Id="rIdo7mm794z4u3hz9hsk59gb" Type="http://schemas.openxmlformats.org/officeDocument/2006/relationships/hyperlink" Target="https://iep.utm.edu/musonius/" TargetMode="External"/><Relationship Id="rId9srkwzdxsus50dtutauq2" Type="http://schemas.openxmlformats.org/officeDocument/2006/relationships/hyperlink" Target="https://dailystoic.com/musonius-rufus/" TargetMode="External"/><Relationship Id="rIdxrj-lgtaheg_en_wcqwkj" Type="http://schemas.openxmlformats.org/officeDocument/2006/relationships/hyperlink" Target="https://www.worldhistory.org/Musonius_Rufus/" TargetMode="External"/><Relationship Id="rIdfvqobnji0c4iqoe4gf6ke" Type="http://schemas.openxmlformats.org/officeDocument/2006/relationships/hyperlink" Target="https://modernstoicpath.com/musonius-rufus-stoic-philosophy-for-everyday-life/" TargetMode="External"/><Relationship Id="rIdb8r0z87y5om6nkxdlupcq" Type="http://schemas.openxmlformats.org/officeDocument/2006/relationships/hyperlink" Target="https://www.stoicchoice.com/musonius-rufus/"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Leçon Stoïcisme n°12 — Musonius Rufus</dc:title>
  <dc:creator>Claude — Parcours Stoïcisme</dc:creator>
  <dc:description>Leçon 12/20 du parcours Stoïcisme — Musonius Rufus : le stoïcisme comme exercice concret</dc:description>
  <cp:lastModifiedBy>Un-named</cp:lastModifiedBy>
  <cp:revision>1</cp:revision>
  <dcterms:created xsi:type="dcterms:W3CDTF">2026-08-27T06:08:47.171Z</dcterms:created>
  <dcterms:modified xsi:type="dcterms:W3CDTF">2026-08-27T06:08:47.172Z</dcterms:modified>
</cp:coreProperties>
</file>

<file path=docProps/custom.xml><?xml version="1.0" encoding="utf-8"?>
<Properties xmlns="http://schemas.openxmlformats.org/officeDocument/2006/custom-properties" xmlns:vt="http://schemas.openxmlformats.org/officeDocument/2006/docPropsVTypes"/>
</file>