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200"/>
        <w:jc w:val="center"/>
      </w:pPr>
      <w:r>
        <w:rPr>
          <w:rFonts w:ascii="Times New Roman" w:cs="Times New Roman" w:eastAsia="Times New Roman" w:hAnsi="Times New Roman"/>
          <w:b/>
          <w:bCs/>
          <w:color w:val="1B3A6B"/>
          <w:sz w:val="52"/>
          <w:szCs w:val="52"/>
        </w:rPr>
        <w:t xml:space="preserve">Leçon Stoïcisme n°13 — Zénon, Chrysippe et l'ancien Portique</w:t>
      </w:r>
    </w:p>
    <w:p>
      <w:pPr>
        <w:spacing w:after="80" w:before="80"/>
        <w:jc w:val="center"/>
      </w:pPr>
      <w:r>
        <w:rPr>
          <w:rFonts w:ascii="Times New Roman" w:cs="Times New Roman" w:eastAsia="Times New Roman" w:hAnsi="Times New Roman"/>
          <w:i/>
          <w:iCs/>
          <w:color w:val="555555"/>
          <w:sz w:val="22"/>
          <w:szCs w:val="22"/>
        </w:rPr>
        <w:t xml:space="preserve">3 septembre 2026   ·   Leçon 13 / 20</w:t>
      </w:r>
    </w:p>
    <w:p>
      <w:pPr>
        <w:pBdr>
          <w:bottom w:val="single" w:color="1B3A6B" w:sz="6"/>
        </w:pBdr>
        <w:spacing w:after="160" w:before="160"/>
      </w:pPr>
    </w:p>
    <w:p>
      <w:pPr>
        <w:pStyle w:val="Heading2"/>
        <w:spacing w:after="120" w:before="320"/>
      </w:pPr>
      <w:r>
        <w:rPr>
          <w:rFonts w:ascii="Times New Roman" w:cs="Times New Roman" w:eastAsia="Times New Roman" w:hAnsi="Times New Roman"/>
          <w:b/>
          <w:bCs/>
          <w:color w:val="1B3A6B"/>
          <w:sz w:val="30"/>
          <w:szCs w:val="30"/>
        </w:rPr>
        <w:t xml:space="preserve">🎯 Objectif &amp; continuité</w:t>
      </w:r>
    </w:p>
    <w:p>
      <w:pPr>
        <w:spacing w:after="80" w:before="80"/>
      </w:pPr>
      <w:r>
        <w:rPr>
          <w:rFonts w:ascii="Times New Roman" w:cs="Times New Roman" w:eastAsia="Times New Roman" w:hAnsi="Times New Roman"/>
          <w:b w:val="false"/>
          <w:bCs w:val="false"/>
          <w:i w:val="false"/>
          <w:iCs w:val="false"/>
          <w:color w:val="1F2937"/>
          <w:sz w:val="22"/>
          <w:szCs w:val="22"/>
        </w:rPr>
        <w:t xml:space="preserve">À l'issue de cette leçon, tu pourras nommer et situer les trois fondateurs de l'ancien Portique (Zénon, Cléanthe, Chrysippe), distinguer leurs contributions respectives, et comprendre comment la doctrine stoïcienne initiale a été systématisée avant de parvenir aux figures que tu connais déjà (Épictète, Marc Aurèle, Sénèque).</w:t>
      </w:r>
    </w:p>
    <w:p>
      <w:pPr>
        <w:spacing w:after="80" w:before="80"/>
      </w:pPr>
      <w:r>
        <w:rPr>
          <w:rFonts w:ascii="Times New Roman" w:cs="Times New Roman" w:eastAsia="Times New Roman" w:hAnsi="Times New Roman"/>
          <w:b w:val="false"/>
          <w:bCs w:val="false"/>
          <w:i w:val="false"/>
          <w:iCs w:val="false"/>
          <w:color w:val="1F2937"/>
          <w:sz w:val="22"/>
          <w:szCs w:val="22"/>
        </w:rPr>
        <w:t xml:space="preserve">Lien avec la leçon précédente (n°12) : Musonius Rufus t'a montré le stoïcisme comme discipline incarnée, appliquée au quotidien. Cette leçon remonte aux sources — aux trois scholarques qui ont fondé et structuré l'édifice philosophique que tu pratiques depuis le début du parcours.</w:t>
      </w:r>
    </w:p>
    <w:p>
      <w:pPr>
        <w:pBdr>
          <w:bottom w:val="single" w:color="1B3A6B" w:sz="6"/>
        </w:pBdr>
        <w:spacing w:after="160" w:before="160"/>
      </w:pPr>
    </w:p>
    <w:p>
      <w:pPr>
        <w:pStyle w:val="Heading2"/>
        <w:spacing w:after="120" w:before="320"/>
      </w:pPr>
      <w:r>
        <w:rPr>
          <w:rFonts w:ascii="Times New Roman" w:cs="Times New Roman" w:eastAsia="Times New Roman" w:hAnsi="Times New Roman"/>
          <w:b/>
          <w:bCs/>
          <w:color w:val="1B3A6B"/>
          <w:sz w:val="30"/>
          <w:szCs w:val="30"/>
        </w:rPr>
        <w:t xml:space="preserve">🔬 Théorie (20%) — L'ancien Portique : trois hommes, un édifice</w:t>
      </w:r>
    </w:p>
    <w:p>
      <w:pPr>
        <w:pStyle w:val="Heading3"/>
        <w:spacing w:after="80" w:before="240"/>
      </w:pPr>
      <w:r>
        <w:rPr>
          <w:rFonts w:ascii="Times New Roman" w:cs="Times New Roman" w:eastAsia="Times New Roman" w:hAnsi="Times New Roman"/>
          <w:b/>
          <w:bCs/>
          <w:color w:val="1F2937"/>
          <w:sz w:val="26"/>
          <w:szCs w:val="26"/>
        </w:rPr>
        <w:t xml:space="preserve">1. Zénon de Kition (c. 334 – 262 av. J.-C.) : le fondateur</w:t>
      </w:r>
    </w:p>
    <w:p>
      <w:pPr>
        <w:spacing w:after="80" w:before="80"/>
      </w:pPr>
      <w:r>
        <w:rPr>
          <w:rFonts w:ascii="Times New Roman" w:cs="Times New Roman" w:eastAsia="Times New Roman" w:hAnsi="Times New Roman"/>
          <w:b w:val="false"/>
          <w:bCs w:val="false"/>
          <w:i w:val="false"/>
          <w:iCs w:val="false"/>
          <w:color w:val="1F2937"/>
          <w:sz w:val="22"/>
          <w:szCs w:val="22"/>
        </w:rPr>
        <w:t xml:space="preserve">Né à Kition (Chypre), Zénon arrive à Athènes après un naufrage — événement dont la tradition fait volontiers un symbole : perdre ses biens pour gagner la philosophie. Il étudie d'abord avec Cratès le Cynique, puis fréquente les Académiciens et les Mégariques.</w:t>
      </w:r>
    </w:p>
    <w:p>
      <w:pPr>
        <w:spacing w:after="80" w:before="80"/>
      </w:pPr>
      <w:r>
        <w:rPr>
          <w:rFonts w:ascii="Times New Roman" w:cs="Times New Roman" w:eastAsia="Times New Roman" w:hAnsi="Times New Roman"/>
          <w:b w:val="false"/>
          <w:bCs w:val="false"/>
          <w:i w:val="false"/>
          <w:iCs w:val="false"/>
          <w:color w:val="1F2937"/>
          <w:sz w:val="22"/>
          <w:szCs w:val="22"/>
        </w:rPr>
        <w:t xml:space="preserve">Vers 301 av. J.-C., il commence à enseigner sous le Portique peint d'Athènes (la Stoa Poikilè, décorée de fresques des guerres médiques). Le lieu n'est pas anodin : c'est un espace public, ouvert, non lié à une institution fermée comme l'Académie de Platon. Ses disciples seront appelés « stoïciens ».</w:t>
      </w:r>
    </w:p>
    <w:p>
      <w:pPr>
        <w:spacing w:after="80" w:before="80"/>
      </w:pPr>
      <w:r>
        <w:rPr>
          <w:rFonts w:ascii="Times New Roman" w:cs="Times New Roman" w:eastAsia="Times New Roman" w:hAnsi="Times New Roman"/>
          <w:b w:val="false"/>
          <w:bCs w:val="false"/>
          <w:i w:val="false"/>
          <w:iCs w:val="false"/>
          <w:color w:val="1F2937"/>
          <w:sz w:val="22"/>
          <w:szCs w:val="22"/>
        </w:rPr>
        <w:t xml:space="preserve">Doctrine centrale de Zénon : la vertu est le seul vrai bien ; tout le reste — santé, richesse, réputation — est moralement « indifférent ». Il formule le critère du bonheur comme « vivre en accord » — Cléanthe y ajoutera « avec la nature ». ⚠️ Point discuté : c'est la version que rapporte la Stanford Encyclopedia of Philosophy, mais la même page signale que la formule complète, « vivre en accord avec la nature », est AILLEURS attribuée à Zénon lui-même. La répartition entre les deux hommes n'est donc pas établie : retiens la doctrine, pas l'attribution.</w:t>
      </w:r>
    </w:p>
    <w:p>
      <w:pPr>
        <w:spacing w:after="80" w:before="80"/>
      </w:pPr>
      <w:r>
        <w:rPr>
          <w:rFonts w:ascii="Times New Roman" w:cs="Times New Roman" w:eastAsia="Times New Roman" w:hAnsi="Times New Roman"/>
          <w:b w:val="false"/>
          <w:bCs w:val="false"/>
          <w:i w:val="false"/>
          <w:iCs w:val="false"/>
          <w:color w:val="1F2937"/>
          <w:sz w:val="22"/>
          <w:szCs w:val="22"/>
        </w:rPr>
        <w:t xml:space="preserve">Sa théorie de la connaissance distingue quatre étapes : la phantasia (impression), l'assentiment (synkatathesis), la katalepsis (appréhension certaine) et l'episteme (science). Il accompagnait cette progression d'un geste pédagogique fameux : main ouverte (impression) → main fermée (assentiment) → poing serré (katalepsis) → poing de l'autre main enserrant le premier (science dans l'âme du sage).</w:t>
      </w:r>
    </w:p>
    <w:p>
      <w:pPr>
        <w:shd w:fill="F3F4F6" w:val="clear"/>
        <w:spacing w:after="120" w:before="120"/>
        <w:ind w:left="720"/>
      </w:pPr>
      <w:r>
        <w:rPr>
          <w:rFonts w:ascii="Times New Roman" w:cs="Times New Roman" w:eastAsia="Times New Roman" w:hAnsi="Times New Roman"/>
          <w:i/>
          <w:iCs/>
          <w:color w:val="1B3A6B"/>
          <w:sz w:val="22"/>
          <w:szCs w:val="22"/>
        </w:rPr>
        <w:t xml:space="preserve">« Vivre en accord »</w:t>
      </w:r>
      <w:r>
        <w:rPr>
          <w:rFonts w:ascii="Times New Roman" w:cs="Times New Roman" w:eastAsia="Times New Roman" w:hAnsi="Times New Roman"/>
          <w:color w:val="555555"/>
          <w:sz w:val="20"/>
          <w:szCs w:val="20"/>
        </w:rPr>
        <w:t xml:space="preserve">  — formule attribuée à Zénon par Diogène Laërce, Vies des philosophes, VII</w:t>
      </w:r>
    </w:p>
    <w:p>
      <w:r>
        <w:t xml:space="preserve"/>
      </w:r>
    </w:p>
    <w:p>
      <w:pPr>
        <w:pStyle w:val="Heading3"/>
        <w:spacing w:after="80" w:before="240"/>
      </w:pPr>
      <w:r>
        <w:rPr>
          <w:rFonts w:ascii="Times New Roman" w:cs="Times New Roman" w:eastAsia="Times New Roman" w:hAnsi="Times New Roman"/>
          <w:b/>
          <w:bCs/>
          <w:color w:val="1F2937"/>
          <w:sz w:val="26"/>
          <w:szCs w:val="26"/>
        </w:rPr>
        <w:t xml:space="preserve">2. Cléanthe d'Assos (c. 330 – 230 av. J.-C.) : le maillon fidèle</w:t>
      </w:r>
    </w:p>
    <w:p>
      <w:pPr>
        <w:spacing w:after="80" w:before="80"/>
      </w:pPr>
      <w:r>
        <w:rPr>
          <w:rFonts w:ascii="Times New Roman" w:cs="Times New Roman" w:eastAsia="Times New Roman" w:hAnsi="Times New Roman"/>
          <w:b w:val="false"/>
          <w:bCs w:val="false"/>
          <w:i w:val="false"/>
          <w:iCs w:val="false"/>
          <w:color w:val="1F2937"/>
          <w:sz w:val="22"/>
          <w:szCs w:val="22"/>
        </w:rPr>
        <w:t xml:space="preserve">Ancien boxeur, Cléanthe finance ses études en travaillant la nuit comme porteur d'eau — cohérence remarquable entre doctrine (la vertu s'exerce dans les conditions concrètes de vie) et existence. Il succède à Zénon comme scholarque pendant trente-deux ans.</w:t>
      </w:r>
    </w:p>
    <w:p>
      <w:pPr>
        <w:spacing w:after="80" w:before="80"/>
      </w:pPr>
      <w:r>
        <w:rPr>
          <w:rFonts w:ascii="Times New Roman" w:cs="Times New Roman" w:eastAsia="Times New Roman" w:hAnsi="Times New Roman"/>
          <w:b w:val="false"/>
          <w:bCs w:val="false"/>
          <w:i w:val="false"/>
          <w:iCs w:val="false"/>
          <w:color w:val="1F2937"/>
          <w:sz w:val="22"/>
          <w:szCs w:val="22"/>
        </w:rPr>
        <w:t xml:space="preserve">Son apport doctrinal principal : il complète la formule de Zénon en y ajoutant « avec la nature », donnant naissance à l'expression canonique du but stoïcien. Il développe aussi la théorie du tonos (tension interne) : la vertu serait un état de tension optimale du pneuma dans l'âme, ni trop lâche (vice passif) ni trop rigide.</w:t>
      </w:r>
    </w:p>
    <w:p>
      <w:pPr>
        <w:spacing w:after="80" w:before="80"/>
      </w:pPr>
      <w:r>
        <w:rPr>
          <w:rFonts w:ascii="Times New Roman" w:cs="Times New Roman" w:eastAsia="Times New Roman" w:hAnsi="Times New Roman"/>
          <w:b w:val="false"/>
          <w:bCs w:val="false"/>
          <w:i w:val="false"/>
          <w:iCs w:val="false"/>
          <w:color w:val="1F2937"/>
          <w:sz w:val="22"/>
          <w:szCs w:val="22"/>
        </w:rPr>
        <w:t xml:space="preserve">Son Hymne à Zeus est la seule grande œuvre conservée de l'ancien Portique. Elle célèbre le logos divin comme principe ordonnateur de l'univers, à la fois rationnel et providentiel. C'est une source primaire irremplaçable pour comprendre la piété stoïcienne.</w:t>
      </w:r>
    </w:p>
    <w:p>
      <w:pPr>
        <w:shd w:fill="F3F4F6" w:val="clear"/>
        <w:spacing w:after="120" w:before="120"/>
        <w:ind w:left="720"/>
      </w:pPr>
      <w:r>
        <w:rPr>
          <w:rFonts w:ascii="Times New Roman" w:cs="Times New Roman" w:eastAsia="Times New Roman" w:hAnsi="Times New Roman"/>
          <w:i/>
          <w:iCs/>
          <w:color w:val="1B3A6B"/>
          <w:sz w:val="22"/>
          <w:szCs w:val="22"/>
        </w:rPr>
        <w:t xml:space="preserve">L'hymne s'ouvre sur l'invocation d'un Zeus aux noms multiples, souverain de la nature et gouvernant toutes choses par une loi ; il s'achève sur une prière demandant la connaissance de cette loi. (Reformulation indirecte : le texte n'est pas cité, les traductions françaises variant sensiblement. Texte intégral accessible via la page Cleanthes en ressources.)</w:t>
      </w:r>
      <w:r>
        <w:rPr>
          <w:rFonts w:ascii="Times New Roman" w:cs="Times New Roman" w:eastAsia="Times New Roman" w:hAnsi="Times New Roman"/>
          <w:color w:val="555555"/>
          <w:sz w:val="20"/>
          <w:szCs w:val="20"/>
        </w:rPr>
        <w:t xml:space="preserve">  — d'après Cléanthe, Hymne à Zeus</w:t>
      </w:r>
    </w:p>
    <w:p>
      <w:r>
        <w:t xml:space="preserve"/>
      </w:r>
    </w:p>
    <w:p>
      <w:pPr>
        <w:pStyle w:val="Heading3"/>
        <w:spacing w:after="80" w:before="240"/>
      </w:pPr>
      <w:r>
        <w:rPr>
          <w:rFonts w:ascii="Times New Roman" w:cs="Times New Roman" w:eastAsia="Times New Roman" w:hAnsi="Times New Roman"/>
          <w:b/>
          <w:bCs/>
          <w:color w:val="1F2937"/>
          <w:sz w:val="26"/>
          <w:szCs w:val="26"/>
        </w:rPr>
        <w:t xml:space="preserve">3. Chrysippe de Soles (c. 279 – 206 av. J.-C.) : le second fondateur</w:t>
      </w:r>
    </w:p>
    <w:p>
      <w:pPr>
        <w:spacing w:after="80" w:before="80"/>
      </w:pPr>
      <w:r>
        <w:rPr>
          <w:rFonts w:ascii="Times New Roman" w:cs="Times New Roman" w:eastAsia="Times New Roman" w:hAnsi="Times New Roman"/>
          <w:b w:val="false"/>
          <w:bCs w:val="false"/>
          <w:i w:val="false"/>
          <w:iCs w:val="false"/>
          <w:color w:val="1F2937"/>
          <w:sz w:val="22"/>
          <w:szCs w:val="22"/>
        </w:rPr>
        <w:t xml:space="preserve">Né en Cilicie, Chrysippe est le troisième scholarque. Il aurait rédigé plus de 705 ouvrages (Diogène Laërce, Vies, VII, 180) — une prolificité sans équivalent dans l'Antiquité. Paradoxalement, aucun ne nous est parvenu intégralement : nous ne connaissons sa pensée qu'à travers des fragments, des résumés et des adversaires (notamment Plutarque, qui lui est hostile).</w:t>
      </w:r>
    </w:p>
    <w:p>
      <w:pPr>
        <w:spacing w:after="80" w:before="80"/>
      </w:pPr>
      <w:r>
        <w:rPr>
          <w:rFonts w:ascii="Times New Roman" w:cs="Times New Roman" w:eastAsia="Times New Roman" w:hAnsi="Times New Roman"/>
          <w:b w:val="false"/>
          <w:bCs w:val="false"/>
          <w:i w:val="false"/>
          <w:iCs w:val="false"/>
          <w:color w:val="1F2937"/>
          <w:sz w:val="22"/>
          <w:szCs w:val="22"/>
        </w:rPr>
        <w:t xml:space="preserve">L'adage antique, rapporté par Diogène Laërce (Vies, VII, 183), dit : « Sans Chrysippe, il n'y aurait pas eu de Portique. » Ce qu'il a fait : face aux attaques sceptiques de la Nouvelle Académie (Arcésilas, puis Carnéade), il a systématisé et défendu chaque partie de la doctrine stoïcienne — logique, physique, éthique — en répondant point par point aux objections.</w:t>
      </w:r>
    </w:p>
    <w:p>
      <w:pPr>
        <w:spacing w:after="80" w:before="80"/>
      </w:pPr>
      <w:r>
        <w:rPr>
          <w:rFonts w:ascii="Times New Roman" w:cs="Times New Roman" w:eastAsia="Times New Roman" w:hAnsi="Times New Roman"/>
          <w:b w:val="false"/>
          <w:bCs w:val="false"/>
          <w:i w:val="false"/>
          <w:iCs w:val="false"/>
          <w:color w:val="1F2937"/>
          <w:sz w:val="22"/>
          <w:szCs w:val="22"/>
        </w:rPr>
        <w:t xml:space="preserve">Sa contribution à la logique est historiquement majeure : il fonde la logique propositionnelle, distincte de la logique des termes d'Aristote. Il établit cinq formes syllogistiques indémontrables qui anticipent ce que la logique moderne appellera modus ponens et modus tollens. C'est une révolution intellectuelle dont les philosophes de l'Antiquité tardive et les logiciens du XXe siècle (Łukasiewicz) ont reconnu l'importance.</w:t>
      </w:r>
    </w:p>
    <w:p>
      <w:pPr>
        <w:spacing w:after="80" w:before="80"/>
      </w:pPr>
      <w:r>
        <w:rPr>
          <w:rFonts w:ascii="Times New Roman" w:cs="Times New Roman" w:eastAsia="Times New Roman" w:hAnsi="Times New Roman"/>
          <w:b w:val="false"/>
          <w:bCs w:val="false"/>
          <w:i w:val="false"/>
          <w:iCs w:val="false"/>
          <w:color w:val="1F2937"/>
          <w:sz w:val="22"/>
          <w:szCs w:val="22"/>
        </w:rPr>
        <w:t xml:space="preserve">Sur le problème du destin et de la liberté, Chrysippe développe une position compatibiliste : le destin (heimarmenê) détermine le cours des choses, mais l'assentiment que nous donnons aux impressions relève de notre propre nature — et c'est là que réside la responsabilité morale.</w:t>
      </w:r>
    </w:p>
    <w:p>
      <w:r>
        <w:t xml:space="preserve"/>
      </w:r>
    </w:p>
    <w:p>
      <w:pPr>
        <w:pStyle w:val="Heading3"/>
        <w:spacing w:after="80" w:before="240"/>
      </w:pPr>
      <w:r>
        <w:rPr>
          <w:rFonts w:ascii="Times New Roman" w:cs="Times New Roman" w:eastAsia="Times New Roman" w:hAnsi="Times New Roman"/>
          <w:b/>
          <w:bCs/>
          <w:color w:val="1F2937"/>
          <w:sz w:val="26"/>
          <w:szCs w:val="26"/>
        </w:rPr>
        <w:t xml:space="preserve">4. Les doctrines fondamentales de l'ancien Portique</w:t>
      </w:r>
    </w:p>
    <w:p>
      <w:pPr>
        <w:spacing w:after="80" w:before="80"/>
      </w:pPr>
      <w:r>
        <w:rPr>
          <w:rFonts w:ascii="Times New Roman" w:cs="Times New Roman" w:eastAsia="Times New Roman" w:hAnsi="Times New Roman"/>
          <w:b w:val="false"/>
          <w:bCs w:val="false"/>
          <w:i w:val="false"/>
          <w:iCs w:val="false"/>
          <w:color w:val="1F2937"/>
          <w:sz w:val="22"/>
          <w:szCs w:val="22"/>
        </w:rPr>
        <w:t xml:space="preserve">Le système stoïcien est tripartite : logique, physique, éthique. La métaphore antique dit que la logique est les os et les tendons, la physique la chair et le sang, l'éthique l'âme. Les trois parties sont indissociables : comprendre l'éthique exige de connaître la physique (ce qu'est le cosmos et notre place en lui) et la logique (comment former des jugements fiables).</w:t>
      </w:r>
    </w:p>
    <w:p>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1B3A6B" w:val="clear"/>
          </w:tcPr>
          <w:p>
            <w:r>
              <w:rPr>
                <w:rFonts w:ascii="Times New Roman" w:cs="Times New Roman" w:eastAsia="Times New Roman" w:hAnsi="Times New Roman"/>
                <w:b/>
                <w:bCs/>
                <w:color w:val="FFFFFF"/>
                <w:sz w:val="20"/>
                <w:szCs w:val="20"/>
              </w:rPr>
              <w:t xml:space="preserve">Domaine</w:t>
            </w:r>
          </w:p>
        </w:tc>
        <w:tc>
          <w:tcPr>
            <w:shd w:fill="1B3A6B" w:val="clear"/>
          </w:tcPr>
          <w:p>
            <w:r>
              <w:rPr>
                <w:rFonts w:ascii="Times New Roman" w:cs="Times New Roman" w:eastAsia="Times New Roman" w:hAnsi="Times New Roman"/>
                <w:b/>
                <w:bCs/>
                <w:color w:val="FFFFFF"/>
                <w:sz w:val="20"/>
                <w:szCs w:val="20"/>
              </w:rPr>
              <w:t xml:space="preserve">Doctrine centrale</w:t>
            </w:r>
          </w:p>
        </w:tc>
        <w:tc>
          <w:tcPr>
            <w:shd w:fill="1B3A6B" w:val="clear"/>
          </w:tcPr>
          <w:p>
            <w:r>
              <w:rPr>
                <w:rFonts w:ascii="Times New Roman" w:cs="Times New Roman" w:eastAsia="Times New Roman" w:hAnsi="Times New Roman"/>
                <w:b/>
                <w:bCs/>
                <w:color w:val="FFFFFF"/>
                <w:sz w:val="20"/>
                <w:szCs w:val="20"/>
              </w:rPr>
              <w:t xml:space="preserve">Terme grec clé</w:t>
            </w:r>
          </w:p>
        </w:tc>
      </w:tr>
      <w:tr>
        <w:tc>
          <w:tcPr>
            <w:shd w:fill="FFFFFF" w:val="clear"/>
          </w:tcPr>
          <w:p>
            <w:r>
              <w:rPr>
                <w:rFonts w:ascii="Times New Roman" w:cs="Times New Roman" w:eastAsia="Times New Roman" w:hAnsi="Times New Roman"/>
                <w:b w:val="false"/>
                <w:bCs w:val="false"/>
                <w:color w:val="1F2937"/>
                <w:sz w:val="20"/>
                <w:szCs w:val="20"/>
              </w:rPr>
              <w:t xml:space="preserve">Logique</w:t>
            </w:r>
          </w:p>
        </w:tc>
        <w:tc>
          <w:tcPr>
            <w:shd w:fill="EEF2F7" w:val="clear"/>
          </w:tcPr>
          <w:p>
            <w:r>
              <w:rPr>
                <w:rFonts w:ascii="Times New Roman" w:cs="Times New Roman" w:eastAsia="Times New Roman" w:hAnsi="Times New Roman"/>
                <w:b w:val="false"/>
                <w:bCs w:val="false"/>
                <w:color w:val="1F2937"/>
                <w:sz w:val="20"/>
                <w:szCs w:val="20"/>
              </w:rPr>
              <w:t xml:space="preserve">Assentiment aux impressions kataleptiques ; fondement de la connaissance certaine</w:t>
            </w:r>
          </w:p>
        </w:tc>
        <w:tc>
          <w:tcPr>
            <w:shd w:fill="FFFFFF" w:val="clear"/>
          </w:tcPr>
          <w:p>
            <w:r>
              <w:rPr>
                <w:rFonts w:ascii="Times New Roman" w:cs="Times New Roman" w:eastAsia="Times New Roman" w:hAnsi="Times New Roman"/>
                <w:b w:val="false"/>
                <w:bCs w:val="false"/>
                <w:color w:val="1F2937"/>
                <w:sz w:val="20"/>
                <w:szCs w:val="20"/>
              </w:rPr>
              <w:t xml:space="preserve">katalêpsis, synkatathesis</w:t>
            </w:r>
          </w:p>
        </w:tc>
      </w:tr>
      <w:tr>
        <w:tc>
          <w:tcPr>
            <w:shd w:fill="FFFFFF" w:val="clear"/>
          </w:tcPr>
          <w:p>
            <w:r>
              <w:rPr>
                <w:rFonts w:ascii="Times New Roman" w:cs="Times New Roman" w:eastAsia="Times New Roman" w:hAnsi="Times New Roman"/>
                <w:b w:val="false"/>
                <w:bCs w:val="false"/>
                <w:color w:val="1F2937"/>
                <w:sz w:val="20"/>
                <w:szCs w:val="20"/>
              </w:rPr>
              <w:t xml:space="preserve">Physique</w:t>
            </w:r>
          </w:p>
        </w:tc>
        <w:tc>
          <w:tcPr>
            <w:shd w:fill="EEF2F7" w:val="clear"/>
          </w:tcPr>
          <w:p>
            <w:r>
              <w:rPr>
                <w:rFonts w:ascii="Times New Roman" w:cs="Times New Roman" w:eastAsia="Times New Roman" w:hAnsi="Times New Roman"/>
                <w:b w:val="false"/>
                <w:bCs w:val="false"/>
                <w:color w:val="1F2937"/>
                <w:sz w:val="20"/>
                <w:szCs w:val="20"/>
              </w:rPr>
              <w:t xml:space="preserve">Logos universel + pneuma matériel animant tout le cosmos</w:t>
            </w:r>
          </w:p>
        </w:tc>
        <w:tc>
          <w:tcPr>
            <w:shd w:fill="FFFFFF" w:val="clear"/>
          </w:tcPr>
          <w:p>
            <w:r>
              <w:rPr>
                <w:rFonts w:ascii="Times New Roman" w:cs="Times New Roman" w:eastAsia="Times New Roman" w:hAnsi="Times New Roman"/>
                <w:b w:val="false"/>
                <w:bCs w:val="false"/>
                <w:color w:val="1F2937"/>
                <w:sz w:val="20"/>
                <w:szCs w:val="20"/>
              </w:rPr>
              <w:t xml:space="preserve">logos, pneuma</w:t>
            </w:r>
          </w:p>
        </w:tc>
      </w:tr>
      <w:tr>
        <w:tc>
          <w:tcPr>
            <w:shd w:fill="FFFFFF" w:val="clear"/>
          </w:tcPr>
          <w:p>
            <w:r>
              <w:rPr>
                <w:rFonts w:ascii="Times New Roman" w:cs="Times New Roman" w:eastAsia="Times New Roman" w:hAnsi="Times New Roman"/>
                <w:b w:val="false"/>
                <w:bCs w:val="false"/>
                <w:color w:val="1F2937"/>
                <w:sz w:val="20"/>
                <w:szCs w:val="20"/>
              </w:rPr>
              <w:t xml:space="preserve">Éthique</w:t>
            </w:r>
          </w:p>
        </w:tc>
        <w:tc>
          <w:tcPr>
            <w:shd w:fill="EEF2F7" w:val="clear"/>
          </w:tcPr>
          <w:p>
            <w:r>
              <w:rPr>
                <w:rFonts w:ascii="Times New Roman" w:cs="Times New Roman" w:eastAsia="Times New Roman" w:hAnsi="Times New Roman"/>
                <w:b w:val="false"/>
                <w:bCs w:val="false"/>
                <w:color w:val="1F2937"/>
                <w:sz w:val="20"/>
                <w:szCs w:val="20"/>
              </w:rPr>
              <w:t xml:space="preserve">Vertu seul bien ; indifférents préférés</w:t>
            </w:r>
          </w:p>
        </w:tc>
        <w:tc>
          <w:tcPr>
            <w:shd w:fill="FFFFFF" w:val="clear"/>
          </w:tcPr>
          <w:p>
            <w:r>
              <w:rPr>
                <w:rFonts w:ascii="Times New Roman" w:cs="Times New Roman" w:eastAsia="Times New Roman" w:hAnsi="Times New Roman"/>
                <w:b w:val="false"/>
                <w:bCs w:val="false"/>
                <w:color w:val="1F2937"/>
                <w:sz w:val="20"/>
                <w:szCs w:val="20"/>
              </w:rPr>
              <w:t xml:space="preserve">aretê, adiaphora proêgmena</w:t>
            </w:r>
          </w:p>
        </w:tc>
      </w:tr>
      <w:tr>
        <w:tc>
          <w:tcPr>
            <w:shd w:fill="FFFFFF" w:val="clear"/>
          </w:tcPr>
          <w:p>
            <w:r>
              <w:rPr>
                <w:rFonts w:ascii="Times New Roman" w:cs="Times New Roman" w:eastAsia="Times New Roman" w:hAnsi="Times New Roman"/>
                <w:b w:val="false"/>
                <w:bCs w:val="false"/>
                <w:color w:val="1F2937"/>
                <w:sz w:val="20"/>
                <w:szCs w:val="20"/>
              </w:rPr>
              <w:t xml:space="preserve">Cosmologie</w:t>
            </w:r>
          </w:p>
        </w:tc>
        <w:tc>
          <w:tcPr>
            <w:shd w:fill="EEF2F7" w:val="clear"/>
          </w:tcPr>
          <w:p>
            <w:r>
              <w:rPr>
                <w:rFonts w:ascii="Times New Roman" w:cs="Times New Roman" w:eastAsia="Times New Roman" w:hAnsi="Times New Roman"/>
                <w:b w:val="false"/>
                <w:bCs w:val="false"/>
                <w:color w:val="1F2937"/>
                <w:sz w:val="20"/>
                <w:szCs w:val="20"/>
              </w:rPr>
              <w:t xml:space="preserve">Déterminisme providentiel ; conflagration cyclique</w:t>
            </w:r>
          </w:p>
        </w:tc>
        <w:tc>
          <w:tcPr>
            <w:shd w:fill="FFFFFF" w:val="clear"/>
          </w:tcPr>
          <w:p>
            <w:r>
              <w:rPr>
                <w:rFonts w:ascii="Times New Roman" w:cs="Times New Roman" w:eastAsia="Times New Roman" w:hAnsi="Times New Roman"/>
                <w:b w:val="false"/>
                <w:bCs w:val="false"/>
                <w:color w:val="1F2937"/>
                <w:sz w:val="20"/>
                <w:szCs w:val="20"/>
              </w:rPr>
              <w:t xml:space="preserve">heimarmenê, ekpyrôsis</w:t>
            </w:r>
          </w:p>
        </w:tc>
      </w:tr>
      <w:tr>
        <w:tc>
          <w:tcPr>
            <w:shd w:fill="FFFFFF" w:val="clear"/>
          </w:tcPr>
          <w:p>
            <w:r>
              <w:rPr>
                <w:rFonts w:ascii="Times New Roman" w:cs="Times New Roman" w:eastAsia="Times New Roman" w:hAnsi="Times New Roman"/>
                <w:b w:val="false"/>
                <w:bCs w:val="false"/>
                <w:color w:val="1F2937"/>
                <w:sz w:val="20"/>
                <w:szCs w:val="20"/>
              </w:rPr>
              <w:t xml:space="preserve">Anthropologie</w:t>
            </w:r>
          </w:p>
        </w:tc>
        <w:tc>
          <w:tcPr>
            <w:shd w:fill="EEF2F7" w:val="clear"/>
          </w:tcPr>
          <w:p>
            <w:r>
              <w:rPr>
                <w:rFonts w:ascii="Times New Roman" w:cs="Times New Roman" w:eastAsia="Times New Roman" w:hAnsi="Times New Roman"/>
                <w:b w:val="false"/>
                <w:bCs w:val="false"/>
                <w:color w:val="1F2937"/>
                <w:sz w:val="20"/>
                <w:szCs w:val="20"/>
              </w:rPr>
              <w:t xml:space="preserve">Attachement naturel progressif de soi vers autrui</w:t>
            </w:r>
          </w:p>
        </w:tc>
        <w:tc>
          <w:tcPr>
            <w:shd w:fill="FFFFFF" w:val="clear"/>
          </w:tcPr>
          <w:p>
            <w:r>
              <w:rPr>
                <w:rFonts w:ascii="Times New Roman" w:cs="Times New Roman" w:eastAsia="Times New Roman" w:hAnsi="Times New Roman"/>
                <w:b w:val="false"/>
                <w:bCs w:val="false"/>
                <w:color w:val="1F2937"/>
                <w:sz w:val="20"/>
                <w:szCs w:val="20"/>
              </w:rPr>
              <w:t xml:space="preserve">oikeiôsis</w:t>
            </w:r>
          </w:p>
        </w:tc>
      </w:tr>
    </w:tbl>
    <w:p>
      <w:r>
        <w:t xml:space="preserve"/>
      </w:r>
    </w:p>
    <w:p>
      <w:pPr>
        <w:spacing w:after="80" w:before="80"/>
      </w:pPr>
      <w:r>
        <w:rPr>
          <w:rFonts w:ascii="Times New Roman" w:cs="Times New Roman" w:eastAsia="Times New Roman" w:hAnsi="Times New Roman"/>
          <w:b w:val="false"/>
          <w:bCs w:val="false"/>
          <w:i w:val="false"/>
          <w:iCs w:val="false"/>
          <w:color w:val="1F2937"/>
          <w:sz w:val="22"/>
          <w:szCs w:val="22"/>
        </w:rPr>
        <w:t xml:space="preserve">Note sur les sources textuelles : aucune œuvre originale de Zénon, Cléanthe ou Chrysippe n'est parvenue intacte. Les sources principales sont Diogène Laërce (Vies des philosophes, Livre VII), Cicéron, Plutarque, Sextus Empiricus et Stobée. En grec et latin bilingue, le recueil de référence reste Long &amp; Sedley, The Hellenistic Philosophers (Cambridge, 1987).</w:t>
      </w:r>
    </w:p>
    <w:p>
      <w:pPr>
        <w:spacing w:after="80" w:before="80"/>
      </w:pPr>
      <w:r>
        <w:rPr>
          <w:rFonts w:ascii="Times New Roman" w:cs="Times New Roman" w:eastAsia="Times New Roman" w:hAnsi="Times New Roman"/>
          <w:b/>
          <w:bCs/>
          <w:color w:val="1F2937"/>
          <w:sz w:val="22"/>
          <w:szCs w:val="22"/>
        </w:rPr>
        <w:t xml:space="preserve">⚠️ Ces sources doivent être atteignables, pas seulement nommées. </w:t>
      </w:r>
      <w:r>
        <w:rPr>
          <w:rFonts w:ascii="Times New Roman" w:cs="Times New Roman" w:eastAsia="Times New Roman" w:hAnsi="Times New Roman"/>
          <w:color w:val="1F2937"/>
          <w:sz w:val="22"/>
          <w:szCs w:val="22"/>
        </w:rPr>
        <w:t xml:space="preserve">Le Livre VII de Diogène Laërce — d'où proviennent la quasi-totalité des faits de cette leçon, y compris VII, 180 et VII, 183 — se lit en ligne : </w:t>
      </w:r>
      <w:hyperlink w:history="1" r:id="rIdcorr03sept26laerce">
        <w:r>
          <w:rPr>
            <w:rFonts w:ascii="Times New Roman" w:cs="Times New Roman" w:eastAsia="Times New Roman" w:hAnsi="Times New Roman"/>
            <w:color w:val="1155CC"/>
            <w:sz w:val="22"/>
            <w:szCs w:val="22"/>
            <w:u w:val="single"/>
          </w:rPr>
          <w:t xml:space="preserve">Lives of the Eminent Philosophers, Livre VII (traduction R. D. Hicks, Wikisource)</w:t>
        </w:r>
      </w:hyperlink>
      <w:r>
        <w:rPr>
          <w:rFonts w:ascii="Times New Roman" w:cs="Times New Roman" w:eastAsia="Times New Roman" w:hAnsi="Times New Roman"/>
          <w:color w:val="1F2937"/>
          <w:sz w:val="22"/>
          <w:szCs w:val="22"/>
        </w:rPr>
        <w:t xml:space="preserve"> (200 ✅, ouvert et vérifié le 03/09/2026). Long &amp; Sedley n'a pas de page éditeur répondant au test automatique : la référence est donnée sans lien plutôt qu'avec un lien non vérifié.</w:t>
      </w:r>
    </w:p>
    <w:p>
      <w:pPr>
        <w:pBdr>
          <w:bottom w:val="single" w:color="1B3A6B" w:sz="6"/>
        </w:pBdr>
        <w:spacing w:after="160" w:before="160"/>
      </w:pPr>
    </w:p>
    <w:p>
      <w:pPr>
        <w:pStyle w:val="Heading2"/>
        <w:spacing w:after="120" w:before="320"/>
      </w:pPr>
      <w:r>
        <w:rPr>
          <w:rFonts w:ascii="Times New Roman" w:cs="Times New Roman" w:eastAsia="Times New Roman" w:hAnsi="Times New Roman"/>
          <w:b/>
          <w:bCs/>
          <w:color w:val="1B3A6B"/>
          <w:sz w:val="30"/>
          <w:szCs w:val="30"/>
        </w:rPr>
        <w:t xml:space="preserve">🛠️ Pratique (80%) — Trois exercices d'apprentissage actif</w:t>
      </w:r>
    </w:p>
    <w:p>
      <w:pPr>
        <w:pStyle w:val="Heading3"/>
        <w:spacing w:after="80" w:before="240"/>
      </w:pPr>
      <w:r>
        <w:rPr>
          <w:rFonts w:ascii="Times New Roman" w:cs="Times New Roman" w:eastAsia="Times New Roman" w:hAnsi="Times New Roman"/>
          <w:b/>
          <w:bCs/>
          <w:color w:val="1F2937"/>
          <w:sz w:val="26"/>
          <w:szCs w:val="26"/>
        </w:rPr>
        <w:t xml:space="preserve">Exercice 1 — Cartographie vivante (compréhension active)</w:t>
      </w:r>
    </w:p>
    <w:p>
      <w:pPr>
        <w:spacing w:after="80" w:before="80"/>
      </w:pPr>
      <w:r>
        <w:rPr>
          <w:rFonts w:ascii="Times New Roman" w:cs="Times New Roman" w:eastAsia="Times New Roman" w:hAnsi="Times New Roman"/>
          <w:b w:val="false"/>
          <w:bCs w:val="false"/>
          <w:i w:val="false"/>
          <w:iCs w:val="false"/>
          <w:color w:val="1F2937"/>
          <w:sz w:val="22"/>
          <w:szCs w:val="22"/>
        </w:rPr>
        <w:t xml:space="preserve">Durée estimée : 20 min.</w:t>
      </w:r>
    </w:p>
    <w:p>
      <w:pPr>
        <w:spacing w:after="80" w:before="80"/>
      </w:pPr>
      <w:r>
        <w:rPr>
          <w:rFonts w:ascii="Times New Roman" w:cs="Times New Roman" w:eastAsia="Times New Roman" w:hAnsi="Times New Roman"/>
          <w:b w:val="false"/>
          <w:bCs w:val="false"/>
          <w:i w:val="false"/>
          <w:iCs w:val="false"/>
          <w:color w:val="1F2937"/>
          <w:sz w:val="22"/>
          <w:szCs w:val="22"/>
        </w:rPr>
        <w:t xml:space="preserve">Sur une feuille blanche, crée une carte mentale articulée en trois nœuds principaux : ZÉNON, CLÉANTHE, CHRYSIPPE. Pour chacun, note :</w:t>
      </w:r>
    </w:p>
    <w:p>
      <w:pPr>
        <w:pStyle w:val="ListParagraph"/>
        <w:numPr>
          <w:ilvl w:val="0"/>
          <w:numId w:val="1"/>
        </w:numPr>
        <w:spacing w:after="60" w:before="60"/>
      </w:pPr>
      <w:r>
        <w:rPr>
          <w:rFonts w:ascii="Times New Roman" w:cs="Times New Roman" w:eastAsia="Times New Roman" w:hAnsi="Times New Roman"/>
          <w:b w:val="false"/>
          <w:bCs w:val="false"/>
          <w:i w:val="false"/>
          <w:iCs w:val="false"/>
          <w:color w:val="1F2937"/>
          <w:sz w:val="22"/>
          <w:szCs w:val="22"/>
        </w:rPr>
        <w:t xml:space="preserve">Un fait biographique marquant (l'événement ou la condition de vie qui éclaire sa philosophie)</w:t>
      </w:r>
    </w:p>
    <w:p>
      <w:pPr>
        <w:pStyle w:val="ListParagraph"/>
        <w:numPr>
          <w:ilvl w:val="0"/>
          <w:numId w:val="1"/>
        </w:numPr>
        <w:spacing w:after="60" w:before="60"/>
      </w:pPr>
      <w:r>
        <w:rPr>
          <w:rFonts w:ascii="Times New Roman" w:cs="Times New Roman" w:eastAsia="Times New Roman" w:hAnsi="Times New Roman"/>
          <w:b w:val="false"/>
          <w:bCs w:val="false"/>
          <w:i w:val="false"/>
          <w:iCs w:val="false"/>
          <w:color w:val="1F2937"/>
          <w:sz w:val="22"/>
          <w:szCs w:val="22"/>
        </w:rPr>
        <w:t xml:space="preserve">Sa contribution doctrinale principale (en une phrase)</w:t>
      </w:r>
    </w:p>
    <w:p>
      <w:pPr>
        <w:pStyle w:val="ListParagraph"/>
        <w:numPr>
          <w:ilvl w:val="0"/>
          <w:numId w:val="1"/>
        </w:numPr>
        <w:spacing w:after="60" w:before="60"/>
      </w:pPr>
      <w:r>
        <w:rPr>
          <w:rFonts w:ascii="Times New Roman" w:cs="Times New Roman" w:eastAsia="Times New Roman" w:hAnsi="Times New Roman"/>
          <w:b w:val="false"/>
          <w:bCs w:val="false"/>
          <w:i w:val="false"/>
          <w:iCs w:val="false"/>
          <w:color w:val="1F2937"/>
          <w:sz w:val="22"/>
          <w:szCs w:val="22"/>
        </w:rPr>
        <w:t xml:space="preserve">Ce qui le relie au suivant (transmission, ajout, défense)</w:t>
      </w:r>
    </w:p>
    <w:p>
      <w:pPr>
        <w:spacing w:after="80" w:before="80"/>
      </w:pPr>
      <w:r>
        <w:rPr>
          <w:rFonts w:ascii="Times New Roman" w:cs="Times New Roman" w:eastAsia="Times New Roman" w:hAnsi="Times New Roman"/>
          <w:b w:val="false"/>
          <w:bCs w:val="false"/>
          <w:i w:val="false"/>
          <w:iCs w:val="false"/>
          <w:color w:val="1F2937"/>
          <w:sz w:val="22"/>
          <w:szCs w:val="22"/>
        </w:rPr>
        <w:t xml:space="preserve">Puis relie les trois nœuds à un quatrième au centre : L'ANCIEN PORTIQUE. Sur les liens, inscris ce que ce trio a légué à l'ensemble du stoïcisme.</w:t>
      </w:r>
    </w:p>
    <w:p>
      <w:r>
        <w:t xml:space="preserve"/>
      </w:r>
    </w:p>
    <w:p>
      <w:pPr>
        <w:spacing w:after="80" w:before="80"/>
      </w:pPr>
      <w:r>
        <w:rPr>
          <w:rFonts w:ascii="Times New Roman" w:cs="Times New Roman" w:eastAsia="Times New Roman" w:hAnsi="Times New Roman"/>
          <w:b/>
          <w:bCs/>
          <w:i w:val="false"/>
          <w:iCs w:val="false"/>
          <w:color w:val="1F2937"/>
          <w:sz w:val="22"/>
          <w:szCs w:val="22"/>
        </w:rPr>
        <w:t xml:space="preserve">Corrigé indicatif :</w:t>
      </w:r>
    </w:p>
    <w:p>
      <w:pPr>
        <w:pStyle w:val="ListParagraph"/>
        <w:numPr>
          <w:ilvl w:val="0"/>
          <w:numId w:val="1"/>
        </w:numPr>
        <w:spacing w:after="60" w:before="60"/>
      </w:pPr>
      <w:r>
        <w:rPr>
          <w:rFonts w:ascii="Times New Roman" w:cs="Times New Roman" w:eastAsia="Times New Roman" w:hAnsi="Times New Roman"/>
          <w:b w:val="false"/>
          <w:bCs w:val="false"/>
          <w:i w:val="false"/>
          <w:iCs w:val="false"/>
          <w:color w:val="1F2937"/>
          <w:sz w:val="22"/>
          <w:szCs w:val="22"/>
        </w:rPr>
        <w:t xml:space="preserve">Zénon → formule éthique initiale (« vivre en accord »), méthode kataleptique, fondation du lieu d'enseignement.</w:t>
      </w:r>
    </w:p>
    <w:p>
      <w:pPr>
        <w:pStyle w:val="ListParagraph"/>
        <w:numPr>
          <w:ilvl w:val="0"/>
          <w:numId w:val="1"/>
        </w:numPr>
        <w:spacing w:after="60" w:before="60"/>
      </w:pPr>
      <w:r>
        <w:rPr>
          <w:rFonts w:ascii="Times New Roman" w:cs="Times New Roman" w:eastAsia="Times New Roman" w:hAnsi="Times New Roman"/>
          <w:b w:val="false"/>
          <w:bCs w:val="false"/>
          <w:i w:val="false"/>
          <w:iCs w:val="false"/>
          <w:color w:val="1F2937"/>
          <w:sz w:val="22"/>
          <w:szCs w:val="22"/>
        </w:rPr>
        <w:t xml:space="preserve">Cléanthe → complète la formule (« avec la nature »), ajoute le tonos, conserve l'Hymne à Zeus.</w:t>
      </w:r>
    </w:p>
    <w:p>
      <w:pPr>
        <w:pStyle w:val="ListParagraph"/>
        <w:numPr>
          <w:ilvl w:val="0"/>
          <w:numId w:val="1"/>
        </w:numPr>
        <w:spacing w:after="60" w:before="60"/>
      </w:pPr>
      <w:r>
        <w:rPr>
          <w:rFonts w:ascii="Times New Roman" w:cs="Times New Roman" w:eastAsia="Times New Roman" w:hAnsi="Times New Roman"/>
          <w:b w:val="false"/>
          <w:bCs w:val="false"/>
          <w:i w:val="false"/>
          <w:iCs w:val="false"/>
          <w:color w:val="1F2937"/>
          <w:sz w:val="22"/>
          <w:szCs w:val="22"/>
        </w:rPr>
        <w:t xml:space="preserve">Chrysippe → systématise face aux sceptiques, crée la logique propositionnelle, défend le compatibilisme.</w:t>
      </w:r>
    </w:p>
    <w:p>
      <w:pPr>
        <w:pStyle w:val="ListParagraph"/>
        <w:numPr>
          <w:ilvl w:val="0"/>
          <w:numId w:val="1"/>
        </w:numPr>
        <w:spacing w:after="60" w:before="60"/>
      </w:pPr>
      <w:r>
        <w:rPr>
          <w:rFonts w:ascii="Times New Roman" w:cs="Times New Roman" w:eastAsia="Times New Roman" w:hAnsi="Times New Roman"/>
          <w:b w:val="false"/>
          <w:bCs w:val="false"/>
          <w:i w:val="false"/>
          <w:iCs w:val="false"/>
          <w:color w:val="1F2937"/>
          <w:sz w:val="22"/>
          <w:szCs w:val="22"/>
        </w:rPr>
        <w:t xml:space="preserve">Lien : chacun répond à un besoin de l'école (fondation → conservation → défense/systématisation).</w:t>
      </w:r>
    </w:p>
    <w:p>
      <w:pPr>
        <w:spacing w:after="80" w:before="80"/>
      </w:pPr>
      <w:r>
        <w:rPr>
          <w:rFonts w:ascii="Times New Roman" w:cs="Times New Roman" w:eastAsia="Times New Roman" w:hAnsi="Times New Roman"/>
          <w:b w:val="false"/>
          <w:bCs w:val="false"/>
          <w:i w:val="false"/>
          <w:iCs w:val="false"/>
          <w:color w:val="1F2937"/>
          <w:sz w:val="22"/>
          <w:szCs w:val="22"/>
        </w:rPr>
        <w:t xml:space="preserve">Cohérence avec la théorie : la tripartition logique/physique/éthique est le cadre que Chrysippe a systématisé ; Zénon et Cléanthe en avaient posé les éléments.</w:t>
      </w:r>
    </w:p>
    <w:p>
      <w:r>
        <w:t xml:space="preserve"/>
      </w:r>
    </w:p>
    <w:p>
      <w:pPr>
        <w:pStyle w:val="Heading3"/>
        <w:spacing w:after="80" w:before="240"/>
      </w:pPr>
      <w:r>
        <w:rPr>
          <w:rFonts w:ascii="Times New Roman" w:cs="Times New Roman" w:eastAsia="Times New Roman" w:hAnsi="Times New Roman"/>
          <w:b/>
          <w:bCs/>
          <w:color w:val="1F2937"/>
          <w:sz w:val="26"/>
          <w:szCs w:val="26"/>
        </w:rPr>
        <w:t xml:space="preserve">Exercice 2 — Le geste de Zénon (mémorisation et ancrage)</w:t>
      </w:r>
    </w:p>
    <w:p>
      <w:pPr>
        <w:spacing w:after="80" w:before="80"/>
      </w:pPr>
      <w:r>
        <w:rPr>
          <w:rFonts w:ascii="Times New Roman" w:cs="Times New Roman" w:eastAsia="Times New Roman" w:hAnsi="Times New Roman"/>
          <w:b w:val="false"/>
          <w:bCs w:val="false"/>
          <w:i w:val="false"/>
          <w:iCs w:val="false"/>
          <w:color w:val="1F2937"/>
          <w:sz w:val="22"/>
          <w:szCs w:val="22"/>
        </w:rPr>
        <w:t xml:space="preserve">Durée estimée : 10 min.</w:t>
      </w:r>
    </w:p>
    <w:p>
      <w:pPr>
        <w:spacing w:after="80" w:before="80"/>
      </w:pPr>
      <w:r>
        <w:rPr>
          <w:rFonts w:ascii="Times New Roman" w:cs="Times New Roman" w:eastAsia="Times New Roman" w:hAnsi="Times New Roman"/>
          <w:b w:val="false"/>
          <w:bCs w:val="false"/>
          <w:i w:val="false"/>
          <w:iCs w:val="false"/>
          <w:color w:val="1F2937"/>
          <w:sz w:val="22"/>
          <w:szCs w:val="22"/>
        </w:rPr>
        <w:t xml:space="preserve">Reproduis physiquement le geste pédagogique de Zénon décrit dans la théorie. Pose-toi ensuite ces questions à voix haute, en t'appliquant une situation concrète de la journée :</w:t>
      </w:r>
    </w:p>
    <w:p>
      <w:pPr>
        <w:pStyle w:val="ListParagraph"/>
        <w:numPr>
          <w:ilvl w:val="0"/>
          <w:numId w:val="1"/>
        </w:numPr>
        <w:spacing w:after="60" w:before="60"/>
      </w:pPr>
      <w:r>
        <w:rPr>
          <w:rFonts w:ascii="Times New Roman" w:cs="Times New Roman" w:eastAsia="Times New Roman" w:hAnsi="Times New Roman"/>
          <w:b w:val="false"/>
          <w:bCs w:val="false"/>
          <w:i w:val="false"/>
          <w:iCs w:val="false"/>
          <w:color w:val="1F2937"/>
          <w:sz w:val="22"/>
          <w:szCs w:val="22"/>
        </w:rPr>
        <w:t xml:space="preserve">Quelle impression (phantasia) ai-je reçue ? Est-elle fidèle à la réalité ou déformée par mes attentes ?</w:t>
      </w:r>
    </w:p>
    <w:p>
      <w:pPr>
        <w:pStyle w:val="ListParagraph"/>
        <w:numPr>
          <w:ilvl w:val="0"/>
          <w:numId w:val="1"/>
        </w:numPr>
        <w:spacing w:after="60" w:before="60"/>
      </w:pPr>
      <w:r>
        <w:rPr>
          <w:rFonts w:ascii="Times New Roman" w:cs="Times New Roman" w:eastAsia="Times New Roman" w:hAnsi="Times New Roman"/>
          <w:b w:val="false"/>
          <w:bCs w:val="false"/>
          <w:i w:val="false"/>
          <w:iCs w:val="false"/>
          <w:color w:val="1F2937"/>
          <w:sz w:val="22"/>
          <w:szCs w:val="22"/>
        </w:rPr>
        <w:t xml:space="preserve">Quel assentiment (synkatathesis) ai-je donné ? Était-il précipité ou réfléchi ?</w:t>
      </w:r>
    </w:p>
    <w:p>
      <w:pPr>
        <w:pStyle w:val="ListParagraph"/>
        <w:numPr>
          <w:ilvl w:val="0"/>
          <w:numId w:val="1"/>
        </w:numPr>
        <w:spacing w:after="60" w:before="60"/>
      </w:pPr>
      <w:r>
        <w:rPr>
          <w:rFonts w:ascii="Times New Roman" w:cs="Times New Roman" w:eastAsia="Times New Roman" w:hAnsi="Times New Roman"/>
          <w:b w:val="false"/>
          <w:bCs w:val="false"/>
          <w:i w:val="false"/>
          <w:iCs w:val="false"/>
          <w:color w:val="1F2937"/>
          <w:sz w:val="22"/>
          <w:szCs w:val="22"/>
        </w:rPr>
        <w:t xml:space="preserve">Aurais-je pu « suspendre l'assentiment » (epoché) si j'avais douté de l'impression ?</w:t>
      </w:r>
    </w:p>
    <w:p>
      <w:pPr>
        <w:spacing w:after="80" w:before="80"/>
      </w:pPr>
      <w:r>
        <w:rPr>
          <w:rFonts w:ascii="Times New Roman" w:cs="Times New Roman" w:eastAsia="Times New Roman" w:hAnsi="Times New Roman"/>
          <w:b w:val="false"/>
          <w:bCs w:val="false"/>
          <w:i w:val="false"/>
          <w:iCs w:val="false"/>
          <w:color w:val="1F2937"/>
          <w:sz w:val="22"/>
          <w:szCs w:val="22"/>
        </w:rPr>
        <w:t xml:space="preserve">Note ta réponse en deux ou trois phrases dans ton journal stoïcien.</w:t>
      </w:r>
    </w:p>
    <w:p>
      <w:pPr>
        <w:spacing w:after="80" w:before="80"/>
      </w:pPr>
      <w:r>
        <w:rPr>
          <w:rFonts w:ascii="Times New Roman" w:cs="Times New Roman" w:eastAsia="Times New Roman" w:hAnsi="Times New Roman"/>
          <w:b w:val="false"/>
          <w:bCs w:val="false"/>
          <w:i w:val="false"/>
          <w:iCs w:val="false"/>
          <w:color w:val="1F2937"/>
          <w:sz w:val="22"/>
          <w:szCs w:val="22"/>
        </w:rPr>
        <w:t xml:space="preserve">Pourquoi cet exercice : la catalepsis est la porte d'entrée de toute la pratique stoïcienne. Avant de désirer, agir ou juger, Zénon pose une question : est-ce que je vois vraiment ce que je crois voir ? L'exercice rend le concept concret, ancré dans une situation vécue aujourd'hui — et non dans un texte abstrait.</w:t>
      </w:r>
    </w:p>
    <w:p>
      <w:r>
        <w:t xml:space="preserve"/>
      </w:r>
    </w:p>
    <w:p>
      <w:pPr>
        <w:pStyle w:val="Heading3"/>
        <w:spacing w:after="80" w:before="240"/>
      </w:pPr>
      <w:r>
        <w:rPr>
          <w:rFonts w:ascii="Times New Roman" w:cs="Times New Roman" w:eastAsia="Times New Roman" w:hAnsi="Times New Roman"/>
          <w:b/>
          <w:bCs/>
          <w:color w:val="1F2937"/>
          <w:sz w:val="26"/>
          <w:szCs w:val="26"/>
        </w:rPr>
        <w:t xml:space="preserve">Exercice 3 — Journal stoïcien : la leçon du fragment (réflexion écrite)</w:t>
      </w:r>
    </w:p>
    <w:p>
      <w:pPr>
        <w:spacing w:after="80" w:before="80"/>
      </w:pPr>
      <w:r>
        <w:rPr>
          <w:rFonts w:ascii="Times New Roman" w:cs="Times New Roman" w:eastAsia="Times New Roman" w:hAnsi="Times New Roman"/>
          <w:b w:val="false"/>
          <w:bCs w:val="false"/>
          <w:i w:val="false"/>
          <w:iCs w:val="false"/>
          <w:color w:val="1F2937"/>
          <w:sz w:val="22"/>
          <w:szCs w:val="22"/>
        </w:rPr>
        <w:t xml:space="preserve">Durée estimée : 20 min.</w:t>
      </w:r>
    </w:p>
    <w:p>
      <w:pPr>
        <w:spacing w:after="80" w:before="80"/>
      </w:pPr>
      <w:r>
        <w:rPr>
          <w:rFonts w:ascii="Times New Roman" w:cs="Times New Roman" w:eastAsia="Times New Roman" w:hAnsi="Times New Roman"/>
          <w:b w:val="false"/>
          <w:bCs w:val="false"/>
          <w:i w:val="false"/>
          <w:iCs w:val="false"/>
          <w:color w:val="1F2937"/>
          <w:sz w:val="22"/>
          <w:szCs w:val="22"/>
        </w:rPr>
        <w:t xml:space="preserve">Chrysippe est l'un des philosophes les plus cités de l'Antiquité, et pourtant aucune de ses œuvres n'est intacte. Nous ne le connaissons qu'à travers des paraphrases, des résumés d'adversaires, des fragments.</w:t>
      </w:r>
    </w:p>
    <w:p>
      <w:pPr>
        <w:spacing w:after="80" w:before="80"/>
      </w:pPr>
      <w:r>
        <w:rPr>
          <w:rFonts w:ascii="Times New Roman" w:cs="Times New Roman" w:eastAsia="Times New Roman" w:hAnsi="Times New Roman"/>
          <w:b w:val="false"/>
          <w:bCs w:val="false"/>
          <w:i w:val="false"/>
          <w:iCs w:val="false"/>
          <w:color w:val="1F2937"/>
          <w:sz w:val="22"/>
          <w:szCs w:val="22"/>
        </w:rPr>
        <w:t xml:space="preserve">Médite sur cette situation paradoxale et réponds dans ton journal :</w:t>
      </w:r>
    </w:p>
    <w:p>
      <w:pPr>
        <w:pStyle w:val="ListParagraph"/>
        <w:numPr>
          <w:ilvl w:val="0"/>
          <w:numId w:val="1"/>
        </w:numPr>
        <w:spacing w:after="60" w:before="60"/>
      </w:pPr>
      <w:r>
        <w:rPr>
          <w:rFonts w:ascii="Times New Roman" w:cs="Times New Roman" w:eastAsia="Times New Roman" w:hAnsi="Times New Roman"/>
          <w:b w:val="false"/>
          <w:bCs w:val="false"/>
          <w:i w:val="false"/>
          <w:iCs w:val="false"/>
          <w:color w:val="1F2937"/>
          <w:sz w:val="22"/>
          <w:szCs w:val="22"/>
        </w:rPr>
        <w:t xml:space="preserve">Qu'est-ce que cela change, pour toi lecteur, de savoir que les idées que tu appliques ont été transmises de cette façon — indirectement, partiellement, parfois par des détracteurs ?</w:t>
      </w:r>
    </w:p>
    <w:p>
      <w:pPr>
        <w:pStyle w:val="ListParagraph"/>
        <w:numPr>
          <w:ilvl w:val="0"/>
          <w:numId w:val="1"/>
        </w:numPr>
        <w:spacing w:after="60" w:before="60"/>
      </w:pPr>
      <w:r>
        <w:rPr>
          <w:rFonts w:ascii="Times New Roman" w:cs="Times New Roman" w:eastAsia="Times New Roman" w:hAnsi="Times New Roman"/>
          <w:b w:val="false"/>
          <w:bCs w:val="false"/>
          <w:i w:val="false"/>
          <w:iCs w:val="false"/>
          <w:color w:val="1F2937"/>
          <w:sz w:val="22"/>
          <w:szCs w:val="22"/>
        </w:rPr>
        <w:t xml:space="preserve">Y a-t-il une idée que tu as attribuée à Épictète ou à Marc Aurèle au fil des leçons précédentes, et qui pourrait en réalité venir de Chrysippe ?</w:t>
      </w:r>
    </w:p>
    <w:p>
      <w:pPr>
        <w:pStyle w:val="ListParagraph"/>
        <w:numPr>
          <w:ilvl w:val="0"/>
          <w:numId w:val="1"/>
        </w:numPr>
        <w:spacing w:after="60" w:before="60"/>
      </w:pPr>
      <w:r>
        <w:rPr>
          <w:rFonts w:ascii="Times New Roman" w:cs="Times New Roman" w:eastAsia="Times New Roman" w:hAnsi="Times New Roman"/>
          <w:b w:val="false"/>
          <w:bCs w:val="false"/>
          <w:i w:val="false"/>
          <w:iCs w:val="false"/>
          <w:color w:val="1F2937"/>
          <w:sz w:val="22"/>
          <w:szCs w:val="22"/>
        </w:rPr>
        <w:t xml:space="preserve">La doctrine reste-t-elle valide quand on sait qu'on ne peut pas lire son auteur principal en direct ?</w:t>
      </w:r>
    </w:p>
    <w:p>
      <w:pPr>
        <w:spacing w:after="80" w:before="80"/>
      </w:pPr>
      <w:r>
        <w:rPr>
          <w:rFonts w:ascii="Times New Roman" w:cs="Times New Roman" w:eastAsia="Times New Roman" w:hAnsi="Times New Roman"/>
          <w:b w:val="false"/>
          <w:bCs w:val="false"/>
          <w:i w:val="false"/>
          <w:iCs w:val="false"/>
          <w:color w:val="1F2937"/>
          <w:sz w:val="22"/>
          <w:szCs w:val="22"/>
        </w:rPr>
        <w:t xml:space="preserve">Cet exercice n'a pas de corrigé-type : il s'agit de ton rapport personnel à la transmission des idées. La réponse honnête est plus précieuse qu'une réponse correcte.</w:t>
      </w:r>
    </w:p>
    <w:p>
      <w:pPr>
        <w:pBdr>
          <w:bottom w:val="single" w:color="1B3A6B" w:sz="6"/>
        </w:pBdr>
        <w:spacing w:after="160" w:before="160"/>
      </w:pPr>
    </w:p>
    <w:p>
      <w:pPr>
        <w:pStyle w:val="Heading2"/>
        <w:spacing w:after="120" w:before="320"/>
      </w:pPr>
      <w:r>
        <w:rPr>
          <w:rFonts w:ascii="Times New Roman" w:cs="Times New Roman" w:eastAsia="Times New Roman" w:hAnsi="Times New Roman"/>
          <w:b/>
          <w:bCs/>
          <w:color w:val="1B3A6B"/>
          <w:sz w:val="30"/>
          <w:szCs w:val="30"/>
        </w:rPr>
        <w:t xml:space="preserve">🎯 Challenge — Défendre la tripartition</w:t>
      </w:r>
    </w:p>
    <w:p>
      <w:pPr>
        <w:spacing w:after="80" w:before="80"/>
      </w:pPr>
      <w:r>
        <w:rPr>
          <w:rFonts w:ascii="Times New Roman" w:cs="Times New Roman" w:eastAsia="Times New Roman" w:hAnsi="Times New Roman"/>
          <w:b w:val="false"/>
          <w:bCs w:val="false"/>
          <w:i w:val="false"/>
          <w:iCs w:val="false"/>
          <w:color w:val="1F2937"/>
          <w:sz w:val="22"/>
          <w:szCs w:val="22"/>
        </w:rPr>
        <w:t xml:space="preserve">Durée estimée : 30 min.</w:t>
      </w:r>
    </w:p>
    <w:p>
      <w:pPr>
        <w:spacing w:after="80" w:before="80"/>
      </w:pPr>
      <w:r>
        <w:rPr>
          <w:rFonts w:ascii="Times New Roman" w:cs="Times New Roman" w:eastAsia="Times New Roman" w:hAnsi="Times New Roman"/>
          <w:b w:val="false"/>
          <w:bCs w:val="false"/>
          <w:i w:val="false"/>
          <w:iCs w:val="false"/>
          <w:color w:val="1F2937"/>
          <w:sz w:val="22"/>
          <w:szCs w:val="22"/>
        </w:rPr>
        <w:t xml:space="preserve">Un ami te dit : « La philosophie stoïcienne, c'est juste du bon sens : ne t'énerve pas pour ce que tu ne contrôles pas. Pourquoi compliquer avec de la logique et de la physique ? »</w:t>
      </w:r>
    </w:p>
    <w:p>
      <w:pPr>
        <w:spacing w:after="80" w:before="80"/>
      </w:pPr>
      <w:r>
        <w:rPr>
          <w:rFonts w:ascii="Times New Roman" w:cs="Times New Roman" w:eastAsia="Times New Roman" w:hAnsi="Times New Roman"/>
          <w:b w:val="false"/>
          <w:bCs w:val="false"/>
          <w:i w:val="false"/>
          <w:iCs w:val="false"/>
          <w:color w:val="1F2937"/>
          <w:sz w:val="22"/>
          <w:szCs w:val="22"/>
        </w:rPr>
        <w:t xml:space="preserve">Rédige une réponse de 200 à 300 mots qui explique, sans jargon technique, pourquoi Chrysippe avait raison de traiter les trois parties comme indissociables. Aide-toi des éléments suivants :</w:t>
      </w:r>
    </w:p>
    <w:p>
      <w:pPr>
        <w:pStyle w:val="ListParagraph"/>
        <w:numPr>
          <w:ilvl w:val="0"/>
          <w:numId w:val="1"/>
        </w:numPr>
        <w:spacing w:after="60" w:before="60"/>
      </w:pPr>
      <w:r>
        <w:rPr>
          <w:rFonts w:ascii="Times New Roman" w:cs="Times New Roman" w:eastAsia="Times New Roman" w:hAnsi="Times New Roman"/>
          <w:b w:val="false"/>
          <w:bCs w:val="false"/>
          <w:i w:val="false"/>
          <w:iCs w:val="false"/>
          <w:color w:val="1F2937"/>
          <w:sz w:val="22"/>
          <w:szCs w:val="22"/>
        </w:rPr>
        <w:t xml:space="preserve">Si je ne comprends pas comment le cosmos fonctionne (physique), comment puis-je savoir ce qui dépend de moi ou non ? La dichotomie du contrôle n'est pas un simple slogan : elle suppose une vision du monde.</w:t>
      </w:r>
    </w:p>
    <w:p>
      <w:pPr>
        <w:pStyle w:val="ListParagraph"/>
        <w:numPr>
          <w:ilvl w:val="0"/>
          <w:numId w:val="1"/>
        </w:numPr>
        <w:spacing w:after="60" w:before="60"/>
      </w:pPr>
      <w:r>
        <w:rPr>
          <w:rFonts w:ascii="Times New Roman" w:cs="Times New Roman" w:eastAsia="Times New Roman" w:hAnsi="Times New Roman"/>
          <w:b w:val="false"/>
          <w:bCs w:val="false"/>
          <w:i w:val="false"/>
          <w:iCs w:val="false"/>
          <w:color w:val="1F2937"/>
          <w:sz w:val="22"/>
          <w:szCs w:val="22"/>
        </w:rPr>
        <w:t xml:space="preserve">Si je n'ai pas d'outil pour distinguer une impression fiable d'une impression trompeuse (logique), comment puis-je ne pas donner un mauvais assentiment ? L'éthique sans logique est aveugle.</w:t>
      </w:r>
    </w:p>
    <w:p>
      <w:pPr>
        <w:pStyle w:val="ListParagraph"/>
        <w:numPr>
          <w:ilvl w:val="0"/>
          <w:numId w:val="1"/>
        </w:numPr>
        <w:spacing w:after="60" w:before="60"/>
      </w:pPr>
      <w:r>
        <w:rPr>
          <w:rFonts w:ascii="Times New Roman" w:cs="Times New Roman" w:eastAsia="Times New Roman" w:hAnsi="Times New Roman"/>
          <w:b w:val="false"/>
          <w:bCs w:val="false"/>
          <w:i w:val="false"/>
          <w:iCs w:val="false"/>
          <w:color w:val="1F2937"/>
          <w:sz w:val="22"/>
          <w:szCs w:val="22"/>
        </w:rPr>
        <w:t xml:space="preserve">L'éthique est le but, mais elle n'est pas autosuffisante : elle repose sur la physique (ce qu'est la nature) et sur la logique (comment on y accède par le jugement).</w:t>
      </w:r>
    </w:p>
    <w:p>
      <w:pPr>
        <w:spacing w:after="80" w:before="80"/>
      </w:pPr>
      <w:r>
        <w:rPr>
          <w:rFonts w:ascii="Times New Roman" w:cs="Times New Roman" w:eastAsia="Times New Roman" w:hAnsi="Times New Roman"/>
          <w:b w:val="false"/>
          <w:bCs w:val="false"/>
          <w:i w:val="false"/>
          <w:iCs w:val="false"/>
          <w:color w:val="1F2937"/>
          <w:sz w:val="22"/>
          <w:szCs w:val="22"/>
        </w:rPr>
        <w:t xml:space="preserve">Critère de réussite : ta réponse doit être compréhensible par quelqu'un qui n'a jamais lu de philosophie, tout en restant fidèle aux distinctions de la leçon.</w:t>
      </w:r>
    </w:p>
    <w:p>
      <w:pPr>
        <w:pBdr>
          <w:bottom w:val="single" w:color="1B3A6B" w:sz="6"/>
        </w:pBdr>
        <w:spacing w:after="160" w:before="160"/>
      </w:pPr>
    </w:p>
    <w:p>
      <w:pPr>
        <w:pStyle w:val="Heading2"/>
        <w:spacing w:after="120" w:before="320"/>
      </w:pPr>
      <w:r>
        <w:rPr>
          <w:rFonts w:ascii="Times New Roman" w:cs="Times New Roman" w:eastAsia="Times New Roman" w:hAnsi="Times New Roman"/>
          <w:b/>
          <w:bCs/>
          <w:color w:val="1B3A6B"/>
          <w:sz w:val="30"/>
          <w:szCs w:val="30"/>
        </w:rPr>
        <w:t xml:space="preserve">🌉 Pont pro (court)</w:t>
      </w:r>
    </w:p>
    <w:p>
      <w:pPr>
        <w:spacing w:after="80" w:before="80"/>
      </w:pPr>
      <w:r>
        <w:rPr>
          <w:rFonts w:ascii="Times New Roman" w:cs="Times New Roman" w:eastAsia="Times New Roman" w:hAnsi="Times New Roman"/>
          <w:b w:val="false"/>
          <w:bCs w:val="false"/>
          <w:i w:val="false"/>
          <w:iCs w:val="false"/>
          <w:color w:val="1F2937"/>
          <w:sz w:val="22"/>
          <w:szCs w:val="22"/>
        </w:rPr>
        <w:t xml:space="preserve">La question de la transmission fragmentée que soulève l'étude de Chrysippe n'est pas sans écho dans un contexte institutionnel. Les pratiques professionnelles d'une équipe éducative se transmettent aussi de façon indirecte : par l'observation, les transmissions orales, les habitudes de service. L'essentiel n'est pas toujours écrit, et ce qui est écrit est parfois paraphrasé ou résumé.</w:t>
      </w:r>
    </w:p>
    <w:p>
      <w:pPr>
        <w:spacing w:after="80" w:before="80"/>
      </w:pPr>
      <w:r>
        <w:rPr>
          <w:rFonts w:ascii="Times New Roman" w:cs="Times New Roman" w:eastAsia="Times New Roman" w:hAnsi="Times New Roman"/>
          <w:b w:val="false"/>
          <w:bCs w:val="false"/>
          <w:i w:val="false"/>
          <w:iCs w:val="false"/>
          <w:color w:val="1F2937"/>
          <w:sz w:val="22"/>
          <w:szCs w:val="22"/>
        </w:rPr>
        <w:t xml:space="preserve">La démarche qualité en ESSMS — notamment la traçabilité des pratiques dans les projets personnalisés et les comptes rendus de réunions — cherche précisément à réduire cette part d'ombre. Pas pour tout formaliser, mais pour que les gestes professionnels essentiels ne soient pas perdus entre deux générations d'équipe.</w:t>
      </w:r>
    </w:p>
    <w:p>
      <w:pPr>
        <w:spacing w:after="80" w:before="80"/>
      </w:pPr>
      <w:r>
        <w:rPr>
          <w:rFonts w:ascii="Times New Roman" w:cs="Times New Roman" w:eastAsia="Times New Roman" w:hAnsi="Times New Roman"/>
          <w:b w:val="false"/>
          <w:bCs w:val="false"/>
          <w:i w:val="false"/>
          <w:iCs w:val="false"/>
          <w:color w:val="1F2937"/>
          <w:sz w:val="22"/>
          <w:szCs w:val="22"/>
        </w:rPr>
        <w:t xml:space="preserve">(Note : ce parallèle est une observation de bon sens professionnel — il ne s'appuie sur aucune recommandation HAS spécifiquement identifiée dans cette leçon.)</w:t>
      </w:r>
    </w:p>
    <w:p>
      <w:pPr>
        <w:pBdr>
          <w:bottom w:val="single" w:color="1B3A6B" w:sz="6"/>
        </w:pBdr>
        <w:spacing w:after="160" w:before="160"/>
      </w:pPr>
    </w:p>
    <w:p>
      <w:pPr>
        <w:pStyle w:val="Heading2"/>
        <w:spacing w:after="120" w:before="320"/>
      </w:pPr>
      <w:r>
        <w:rPr>
          <w:rFonts w:ascii="Times New Roman" w:cs="Times New Roman" w:eastAsia="Times New Roman" w:hAnsi="Times New Roman"/>
          <w:b/>
          <w:bCs/>
          <w:color w:val="1B3A6B"/>
          <w:sz w:val="30"/>
          <w:szCs w:val="30"/>
        </w:rPr>
        <w:t xml:space="preserve">📚 Ressources cliquables — Pour approfondir</w:t>
      </w:r>
    </w:p>
    <w:p>
      <w:pPr>
        <w:spacing w:after="80" w:before="80"/>
      </w:pPr>
      <w:r>
        <w:rPr>
          <w:rFonts w:ascii="Times New Roman" w:cs="Times New Roman" w:eastAsia="Times New Roman" w:hAnsi="Times New Roman"/>
          <w:b w:val="false"/>
          <w:bCs w:val="false"/>
          <w:i w:val="false"/>
          <w:iCs w:val="false"/>
          <w:color w:val="1F2937"/>
          <w:sz w:val="22"/>
          <w:szCs w:val="22"/>
        </w:rPr>
        <w:t xml:space="preserve">Toutes ces sources ont été consultées et testées (HTTP 200) lors de la rédaction de cette leçon.</w:t>
      </w:r>
    </w:p>
    <w:p>
      <w:r>
        <w:t xml:space="preserve"/>
      </w:r>
    </w:p>
    <w:p>
      <w:pPr>
        <w:spacing w:after="80" w:before="80"/>
      </w:pPr>
      <w:r>
        <w:rPr>
          <w:rFonts w:ascii="Times New Roman" w:cs="Times New Roman" w:eastAsia="Times New Roman" w:hAnsi="Times New Roman"/>
          <w:b/>
          <w:bCs/>
          <w:i w:val="false"/>
          <w:iCs w:val="false"/>
          <w:color w:val="1F2937"/>
          <w:sz w:val="22"/>
          <w:szCs w:val="22"/>
        </w:rPr>
        <w:t xml:space="preserve">1. </w:t>
      </w:r>
      <w:hyperlink w:history="1" r:id="rIdplqzuj9bewyd_z0jjlmq6">
        <w:r>
          <w:rPr>
            <w:rFonts w:ascii="Times New Roman" w:cs="Times New Roman" w:eastAsia="Times New Roman" w:hAnsi="Times New Roman"/>
            <w:color w:val="1155CC"/>
            <w:sz w:val="22"/>
            <w:szCs w:val="22"/>
            <w:u w:val="single"/>
          </w:rPr>
          <w:t xml:space="preserve">Stoicism — Stanford Encyclopedia of Philosophy</w:t>
        </w:r>
      </w:hyperlink>
    </w:p>
    <w:p>
      <w:pPr>
        <w:spacing w:after="80" w:before="80"/>
      </w:pPr>
      <w:r>
        <w:rPr>
          <w:rFonts w:ascii="Times New Roman" w:cs="Times New Roman" w:eastAsia="Times New Roman" w:hAnsi="Times New Roman"/>
          <w:b w:val="false"/>
          <w:bCs w:val="false"/>
          <w:i w:val="false"/>
          <w:iCs w:val="false"/>
          <w:color w:val="1F2937"/>
          <w:sz w:val="22"/>
          <w:szCs w:val="22"/>
        </w:rPr>
        <w:t xml:space="preserve">Référence académique de premier rang : histoire du stoïcisme de Zénon aux néo-stoïciens, avec bibliographie complète.</w:t>
      </w:r>
    </w:p>
    <w:p>
      <w:r>
        <w:t xml:space="preserve"/>
      </w:r>
    </w:p>
    <w:p>
      <w:pPr>
        <w:spacing w:after="80" w:before="80"/>
      </w:pPr>
      <w:r>
        <w:rPr>
          <w:rFonts w:ascii="Times New Roman" w:cs="Times New Roman" w:eastAsia="Times New Roman" w:hAnsi="Times New Roman"/>
          <w:b/>
          <w:bCs/>
          <w:i w:val="false"/>
          <w:iCs w:val="false"/>
          <w:color w:val="1F2937"/>
          <w:sz w:val="22"/>
          <w:szCs w:val="22"/>
        </w:rPr>
        <w:t xml:space="preserve">2. </w:t>
      </w:r>
      <w:hyperlink w:history="1" r:id="rId06hq_ik1uw3fatcjoa7nu">
        <w:r>
          <w:rPr>
            <w:rFonts w:ascii="Times New Roman" w:cs="Times New Roman" w:eastAsia="Times New Roman" w:hAnsi="Times New Roman"/>
            <w:color w:val="1155CC"/>
            <w:sz w:val="22"/>
            <w:szCs w:val="22"/>
            <w:u w:val="single"/>
          </w:rPr>
          <w:t xml:space="preserve">Stoicism — Massimo Pigliucci, Internet Encyclopedia of Philosophy</w:t>
        </w:r>
      </w:hyperlink>
      <w:r>
        <w:rPr>
          <w:rFonts w:ascii="Times New Roman" w:cs="Times New Roman" w:eastAsia="Times New Roman" w:hAnsi="Times New Roman"/>
          <w:i/>
          <w:iCs/>
          <w:color w:val="6B7280"/>
          <w:sz w:val="20"/>
          <w:szCs w:val="20"/>
        </w:rPr>
        <w:t xml:space="preserve"> [Corrigé le 24/09/2026 : l'article est signé Massimo Pigliucci (City University of New York) ; la ligne ne portait que le nom de l'encyclopédie.]</w:t>
      </w:r>
    </w:p>
    <w:p>
      <w:pPr>
        <w:spacing w:after="80" w:before="80"/>
      </w:pPr>
      <w:r>
        <w:rPr>
          <w:rFonts w:ascii="Times New Roman" w:cs="Times New Roman" w:eastAsia="Times New Roman" w:hAnsi="Times New Roman"/>
          <w:b w:val="false"/>
          <w:bCs w:val="false"/>
          <w:i w:val="false"/>
          <w:iCs w:val="false"/>
          <w:color w:val="1F2937"/>
          <w:sz w:val="22"/>
          <w:szCs w:val="22"/>
        </w:rPr>
        <w:t xml:space="preserve">Entrée détaillée sur la tripartition, les indifférents préférés, et la théorie des passions.</w:t>
      </w:r>
    </w:p>
    <w:p>
      <w:r>
        <w:t xml:space="preserve"/>
      </w:r>
    </w:p>
    <w:p>
      <w:pPr>
        <w:spacing w:after="80" w:before="80"/>
      </w:pPr>
      <w:r>
        <w:rPr>
          <w:rFonts w:ascii="Times New Roman" w:cs="Times New Roman" w:eastAsia="Times New Roman" w:hAnsi="Times New Roman"/>
          <w:b/>
          <w:bCs/>
          <w:i w:val="false"/>
          <w:iCs w:val="false"/>
          <w:color w:val="1F2937"/>
          <w:sz w:val="22"/>
          <w:szCs w:val="22"/>
        </w:rPr>
        <w:t xml:space="preserve">3. </w:t>
      </w:r>
      <w:hyperlink w:history="1" r:id="rIdvq9u8albsghvorknz2doh">
        <w:r>
          <w:rPr>
            <w:rFonts w:ascii="Times New Roman" w:cs="Times New Roman" w:eastAsia="Times New Roman" w:hAnsi="Times New Roman"/>
            <w:color w:val="1155CC"/>
            <w:sz w:val="22"/>
            <w:szCs w:val="22"/>
            <w:u w:val="single"/>
          </w:rPr>
          <w:t xml:space="preserve">Zeno of Citium — Wikipedia (EN)</w:t>
        </w:r>
      </w:hyperlink>
    </w:p>
    <w:p>
      <w:pPr>
        <w:spacing w:after="80" w:before="80"/>
      </w:pPr>
      <w:r>
        <w:rPr>
          <w:rFonts w:ascii="Times New Roman" w:cs="Times New Roman" w:eastAsia="Times New Roman" w:hAnsi="Times New Roman"/>
          <w:b w:val="false"/>
          <w:bCs w:val="false"/>
          <w:i w:val="false"/>
          <w:iCs w:val="false"/>
          <w:color w:val="1F2937"/>
          <w:sz w:val="22"/>
          <w:szCs w:val="22"/>
        </w:rPr>
        <w:t xml:space="preserve">Biographie complète, sources primaires, influence sur les scholarques suivants.</w:t>
      </w:r>
    </w:p>
    <w:p>
      <w:r>
        <w:t xml:space="preserve"/>
      </w:r>
    </w:p>
    <w:p>
      <w:pPr>
        <w:spacing w:after="80" w:before="80"/>
      </w:pPr>
      <w:r>
        <w:rPr>
          <w:rFonts w:ascii="Times New Roman" w:cs="Times New Roman" w:eastAsia="Times New Roman" w:hAnsi="Times New Roman"/>
          <w:b/>
          <w:bCs/>
          <w:i w:val="false"/>
          <w:iCs w:val="false"/>
          <w:color w:val="1F2937"/>
          <w:sz w:val="22"/>
          <w:szCs w:val="22"/>
        </w:rPr>
        <w:t xml:space="preserve">4. </w:t>
      </w:r>
      <w:hyperlink w:history="1" r:id="rIdkdk9ehgo_lzy4yj_mztra">
        <w:r>
          <w:rPr>
            <w:rFonts w:ascii="Times New Roman" w:cs="Times New Roman" w:eastAsia="Times New Roman" w:hAnsi="Times New Roman"/>
            <w:color w:val="1155CC"/>
            <w:sz w:val="22"/>
            <w:szCs w:val="22"/>
            <w:u w:val="single"/>
          </w:rPr>
          <w:t xml:space="preserve">Chrysippus — Wikipedia (EN)</w:t>
        </w:r>
      </w:hyperlink>
    </w:p>
    <w:p>
      <w:pPr>
        <w:spacing w:after="80" w:before="80"/>
      </w:pPr>
      <w:r>
        <w:rPr>
          <w:rFonts w:ascii="Times New Roman" w:cs="Times New Roman" w:eastAsia="Times New Roman" w:hAnsi="Times New Roman"/>
          <w:b w:val="false"/>
          <w:bCs w:val="false"/>
          <w:i w:val="false"/>
          <w:iCs w:val="false"/>
          <w:color w:val="1F2937"/>
          <w:sz w:val="22"/>
          <w:szCs w:val="22"/>
        </w:rPr>
        <w:t xml:space="preserve">Présentation de la logique propositionnelle de Chrysippe et de son compatibilisme.</w:t>
      </w:r>
    </w:p>
    <w:p>
      <w:r>
        <w:t xml:space="preserve"/>
      </w:r>
    </w:p>
    <w:p>
      <w:pPr>
        <w:spacing w:after="80" w:before="80"/>
      </w:pPr>
      <w:r>
        <w:rPr>
          <w:rFonts w:ascii="Times New Roman" w:cs="Times New Roman" w:eastAsia="Times New Roman" w:hAnsi="Times New Roman"/>
          <w:b/>
          <w:bCs/>
          <w:i w:val="false"/>
          <w:iCs w:val="false"/>
          <w:color w:val="1F2937"/>
          <w:sz w:val="22"/>
          <w:szCs w:val="22"/>
        </w:rPr>
        <w:t xml:space="preserve">5. </w:t>
      </w:r>
      <w:hyperlink w:history="1" r:id="rIdw9yysp5v1o-ucw5phh4jb">
        <w:r>
          <w:rPr>
            <w:rFonts w:ascii="Times New Roman" w:cs="Times New Roman" w:eastAsia="Times New Roman" w:hAnsi="Times New Roman"/>
            <w:color w:val="1155CC"/>
            <w:sz w:val="22"/>
            <w:szCs w:val="22"/>
            <w:u w:val="single"/>
          </w:rPr>
          <w:t xml:space="preserve">Cleanthes — Wikipedia (EN)</w:t>
        </w:r>
      </w:hyperlink>
    </w:p>
    <w:p>
      <w:pPr>
        <w:spacing w:after="80" w:before="80"/>
      </w:pPr>
      <w:r>
        <w:rPr>
          <w:rFonts w:ascii="Times New Roman" w:cs="Times New Roman" w:eastAsia="Times New Roman" w:hAnsi="Times New Roman"/>
          <w:b w:val="false"/>
          <w:bCs w:val="false"/>
          <w:i w:val="false"/>
          <w:iCs w:val="false"/>
          <w:color w:val="1F2937"/>
          <w:sz w:val="22"/>
          <w:szCs w:val="22"/>
        </w:rPr>
        <w:t xml:space="preserve">Vie et doctrine de Cléanthe, dont le texte intégral de l'Hymne à Zeus.</w:t>
      </w:r>
    </w:p>
    <w:p>
      <w:r>
        <w:t xml:space="preserve"/>
      </w:r>
    </w:p>
    <w:p>
      <w:pPr>
        <w:spacing w:after="80" w:before="80"/>
      </w:pPr>
      <w:r>
        <w:rPr>
          <w:rFonts w:ascii="Times New Roman" w:cs="Times New Roman" w:eastAsia="Times New Roman" w:hAnsi="Times New Roman"/>
          <w:b/>
          <w:bCs/>
          <w:i w:val="false"/>
          <w:iCs w:val="false"/>
          <w:color w:val="1F2937"/>
          <w:sz w:val="22"/>
          <w:szCs w:val="22"/>
        </w:rPr>
        <w:t xml:space="preserve">6. </w:t>
      </w:r>
      <w:hyperlink w:history="1" r:id="rIdf54llubxkh6crlcz8hfnk">
        <w:r>
          <w:rPr>
            <w:rFonts w:ascii="Times New Roman" w:cs="Times New Roman" w:eastAsia="Times New Roman" w:hAnsi="Times New Roman"/>
            <w:color w:val="1155CC"/>
            <w:sz w:val="22"/>
            <w:szCs w:val="22"/>
            <w:u w:val="single"/>
          </w:rPr>
          <w:t xml:space="preserve">Stoïcisme — Larousse Encyclopédie</w:t>
        </w:r>
      </w:hyperlink>
    </w:p>
    <w:p>
      <w:pPr>
        <w:spacing w:after="80" w:before="80"/>
      </w:pPr>
      <w:r>
        <w:rPr>
          <w:rFonts w:ascii="Times New Roman" w:cs="Times New Roman" w:eastAsia="Times New Roman" w:hAnsi="Times New Roman"/>
          <w:b w:val="false"/>
          <w:bCs w:val="false"/>
          <w:i w:val="false"/>
          <w:iCs w:val="false"/>
          <w:color w:val="1F2937"/>
          <w:sz w:val="22"/>
          <w:szCs w:val="22"/>
        </w:rPr>
        <w:t xml:space="preserve">Synthèse francophone accessible sur la fondation de l'école et les trois domaines.</w:t>
      </w:r>
    </w:p>
    <w:p>
      <w:r>
        <w:t xml:space="preserve"/>
      </w:r>
    </w:p>
    <w:p>
      <w:pPr>
        <w:spacing w:after="80" w:before="80"/>
      </w:pPr>
      <w:r>
        <w:rPr>
          <w:rFonts w:ascii="Times New Roman" w:cs="Times New Roman" w:eastAsia="Times New Roman" w:hAnsi="Times New Roman"/>
          <w:b/>
          <w:bCs/>
          <w:i w:val="false"/>
          <w:iCs w:val="false"/>
          <w:color w:val="1F2937"/>
          <w:sz w:val="22"/>
          <w:szCs w:val="22"/>
        </w:rPr>
        <w:t xml:space="preserve">7. </w:t>
      </w:r>
      <w:hyperlink w:history="1" r:id="rIdjsyptxbpxj_woenv8iyyp">
        <w:r>
          <w:rPr>
            <w:rFonts w:ascii="Times New Roman" w:cs="Times New Roman" w:eastAsia="Times New Roman" w:hAnsi="Times New Roman"/>
            <w:color w:val="1155CC"/>
            <w:sz w:val="22"/>
            <w:szCs w:val="22"/>
            <w:u w:val="single"/>
          </w:rPr>
          <w:t xml:space="preserve">Zénon de Citium — Philosophes.org</w:t>
        </w:r>
      </w:hyperlink>
    </w:p>
    <w:p>
      <w:pPr>
        <w:spacing w:after="80" w:before="80"/>
      </w:pPr>
      <w:r>
        <w:rPr>
          <w:rFonts w:ascii="Times New Roman" w:cs="Times New Roman" w:eastAsia="Times New Roman" w:hAnsi="Times New Roman"/>
          <w:b w:val="false"/>
          <w:bCs w:val="false"/>
          <w:i w:val="false"/>
          <w:iCs w:val="false"/>
          <w:color w:val="1F2937"/>
          <w:sz w:val="22"/>
          <w:szCs w:val="22"/>
        </w:rPr>
        <w:t xml:space="preserve">Notice biographique et doctrine en français, sobre et fiable.</w:t>
      </w:r>
    </w:p>
    <w:p>
      <w:r>
        <w:t xml:space="preserve"/>
      </w:r>
    </w:p>
    <w:p>
      <w:pPr>
        <w:spacing w:after="80" w:before="80"/>
      </w:pPr>
      <w:r>
        <w:rPr>
          <w:rFonts w:ascii="Times New Roman" w:cs="Times New Roman" w:eastAsia="Times New Roman" w:hAnsi="Times New Roman"/>
          <w:b/>
          <w:bCs/>
          <w:i w:val="false"/>
          <w:iCs w:val="false"/>
          <w:color w:val="1F2937"/>
          <w:sz w:val="22"/>
          <w:szCs w:val="22"/>
        </w:rPr>
        <w:t xml:space="preserve">8. </w:t>
      </w:r>
      <w:hyperlink w:history="1" r:id="rIdcohxlhek-nwnwdsa2bekt">
        <w:r>
          <w:rPr>
            <w:rFonts w:ascii="Times New Roman" w:cs="Times New Roman" w:eastAsia="Times New Roman" w:hAnsi="Times New Roman"/>
            <w:color w:val="1155CC"/>
            <w:sz w:val="22"/>
            <w:szCs w:val="22"/>
            <w:u w:val="single"/>
          </w:rPr>
          <w:t xml:space="preserve">Stoïcisme — Wikipédia FR</w:t>
        </w:r>
      </w:hyperlink>
    </w:p>
    <w:p>
      <w:pPr>
        <w:spacing w:after="80" w:before="80"/>
      </w:pPr>
      <w:r>
        <w:rPr>
          <w:rFonts w:ascii="Times New Roman" w:cs="Times New Roman" w:eastAsia="Times New Roman" w:hAnsi="Times New Roman"/>
          <w:b w:val="false"/>
          <w:bCs w:val="false"/>
          <w:i w:val="false"/>
          <w:iCs w:val="false"/>
          <w:color w:val="1F2937"/>
          <w:sz w:val="22"/>
          <w:szCs w:val="22"/>
        </w:rPr>
        <w:t xml:space="preserve">Contexte historique des trois périodes (Ancien, Moyen et Nouveau Portique) et synthèse des doctrines.</w:t>
      </w:r>
    </w:p>
    <w:p>
      <w:pPr>
        <w:pBdr>
          <w:bottom w:val="single" w:color="1B3A6B" w:sz="6"/>
        </w:pBdr>
        <w:spacing w:after="160" w:before="160"/>
      </w:pPr>
    </w:p>
    <w:p>
      <w:pPr>
        <w:pStyle w:val="Heading2"/>
        <w:spacing w:after="120" w:before="320"/>
      </w:pPr>
      <w:r>
        <w:rPr>
          <w:rFonts w:ascii="Times New Roman" w:cs="Times New Roman" w:eastAsia="Times New Roman" w:hAnsi="Times New Roman"/>
          <w:b/>
          <w:bCs/>
          <w:color w:val="1B3A6B"/>
          <w:sz w:val="30"/>
          <w:szCs w:val="30"/>
        </w:rPr>
        <w:t xml:space="preserve">🔜 Prochaine leçon — n°14 : Physique et logique stoïciennes</w:t>
      </w:r>
    </w:p>
    <w:p>
      <w:pPr>
        <w:spacing w:after="80" w:before="80"/>
      </w:pPr>
      <w:r>
        <w:rPr>
          <w:rFonts w:ascii="Times New Roman" w:cs="Times New Roman" w:eastAsia="Times New Roman" w:hAnsi="Times New Roman"/>
          <w:b w:val="false"/>
          <w:bCs w:val="false"/>
          <w:i w:val="false"/>
          <w:iCs w:val="false"/>
          <w:color w:val="1F2937"/>
          <w:sz w:val="22"/>
          <w:szCs w:val="22"/>
        </w:rPr>
        <w:t xml:space="preserve">La leçon 14 plonge dans les fondements théoriques du stoïcisme : le logos comme raison universelle immanente au cosmos, le pneuma comme souffle matériel, le destin (heimarmenê) et son articulation avec la liberté, et la théorie stoïcienne de l'assentiment. Cette leçon est plus abstraite que les précédentes — mais après avoir rencontré les fondateurs aujourd'hui, tu auras les repères pour ne pas t'y perdre.</w:t>
      </w:r>
    </w:p>
    <w:p>
      <w:r>
        <w:t xml:space="preserve"/>
      </w:r>
    </w:p>
    <w:p>
      <w:pPr>
        <w:spacing w:after="120" w:before="280"/>
      </w:pPr>
      <w:r>
        <w:rPr>
          <w:rFonts w:ascii="Times New Roman" w:cs="Times New Roman" w:eastAsia="Times New Roman" w:hAnsi="Times New Roman"/>
          <w:b/>
          <w:bCs/>
          <w:color w:val="1B3A6B"/>
          <w:sz w:val="30"/>
          <w:szCs w:val="30"/>
        </w:rPr>
        <w:t xml:space="preserve">📝 Journal des corrections</w:t>
      </w:r>
    </w:p>
    <w:p>
      <w:pPr>
        <w:spacing w:after="80" w:before="80"/>
      </w:pPr>
      <w:r>
        <w:rPr>
          <w:rFonts w:ascii="Times New Roman" w:cs="Times New Roman" w:eastAsia="Times New Roman" w:hAnsi="Times New Roman"/>
          <w:i/>
          <w:iCs/>
          <w:color w:val="1B3A6B"/>
          <w:sz w:val="22"/>
          <w:szCs w:val="22"/>
        </w:rPr>
        <w:t xml:space="preserve">Corrections apportées le 3 septembre 2026 après vérification des sources. Les formulations d'origine sont conservées ci-dessous : une correction qui efface l'erreur ne s'apprend pas.</w:t>
      </w:r>
    </w:p>
    <w:p>
      <w:pPr>
        <w:spacing w:after="60" w:before="60"/>
      </w:pPr>
      <w:r>
        <w:rPr>
          <w:rFonts w:ascii="Times New Roman" w:cs="Times New Roman" w:eastAsia="Times New Roman" w:hAnsi="Times New Roman"/>
          <w:b/>
          <w:bCs/>
          <w:color w:val="1F2937"/>
          <w:sz w:val="22"/>
          <w:szCs w:val="22"/>
        </w:rPr>
        <w:t xml:space="preserve">1. « Zeus, ton nom varié est loué par des hymbes nombreux […] » — Cléanthe, Hymne à Zeus — </w:t>
      </w:r>
      <w:r>
        <w:rPr>
          <w:rFonts w:ascii="Times New Roman" w:cs="Times New Roman" w:eastAsia="Times New Roman" w:hAnsi="Times New Roman"/>
          <w:color w:val="1F2937"/>
          <w:sz w:val="22"/>
          <w:szCs w:val="22"/>
        </w:rPr>
        <w:t xml:space="preserve">théorie, section Cléanthe. Le passage figurait entre guillemets avec tiret d'attribution, tout en étant signalé entre parenthèses comme une « synthèse, non citation mot pour mot ». Des guillemets et une attribution font une citation, quelle que soit la parenthèse — et la coquille « hymbes » pour « hymnes » trahissait un texte reconstruit. Remplacé par une reformulation indirecte sans guillemets, avec renvoi au texte intégral.</w:t>
      </w:r>
    </w:p>
    <w:p>
      <w:pPr>
        <w:spacing w:after="60" w:before="60"/>
      </w:pPr>
      <w:r>
        <w:rPr>
          <w:rFonts w:ascii="Times New Roman" w:cs="Times New Roman" w:eastAsia="Times New Roman" w:hAnsi="Times New Roman"/>
          <w:b/>
          <w:bCs/>
          <w:color w:val="1F2937"/>
          <w:sz w:val="22"/>
          <w:szCs w:val="22"/>
        </w:rPr>
        <w:t xml:space="preserve">2. Formule du telos donnée pour acquise — </w:t>
      </w:r>
      <w:r>
        <w:rPr>
          <w:rFonts w:ascii="Times New Roman" w:cs="Times New Roman" w:eastAsia="Times New Roman" w:hAnsi="Times New Roman"/>
          <w:color w:val="1F2937"/>
          <w:sz w:val="22"/>
          <w:szCs w:val="22"/>
        </w:rPr>
        <w:t xml:space="preserve">théorie, section Zénon. « Il formule le critère du bonheur comme vivre en accord — Cléanthe y ajoutera avec la nature » était présenté comme établi, alors que la page de la Stanford Encyclopedia of Philosophy — première source de cette leçon — signale que la formule complète est ailleurs attribuée à Zénon lui-même. La discordance figurait sur la page citée sans être relevée ; elle est désormais exposée.</w:t>
      </w:r>
    </w:p>
    <w:p>
      <w:pPr>
        <w:spacing w:after="60" w:before="60"/>
      </w:pPr>
      <w:r>
        <w:rPr>
          <w:rFonts w:ascii="Times New Roman" w:cs="Times New Roman" w:eastAsia="Times New Roman" w:hAnsi="Times New Roman"/>
          <w:b/>
          <w:bCs/>
          <w:color w:val="1F2937"/>
          <w:sz w:val="22"/>
          <w:szCs w:val="22"/>
        </w:rPr>
        <w:t xml:space="preserve">3. Sources antiques nommées sans référence de passage — </w:t>
      </w:r>
      <w:r>
        <w:rPr>
          <w:rFonts w:ascii="Times New Roman" w:cs="Times New Roman" w:eastAsia="Times New Roman" w:hAnsi="Times New Roman"/>
          <w:color w:val="1F2937"/>
          <w:sz w:val="22"/>
          <w:szCs w:val="22"/>
        </w:rPr>
        <w:t xml:space="preserve">théorie, section Chrysippe. Les 705 ouvrages et l'adage du Portique portent maintenant leur référence exacte — Diogène Laërce, Vies, VII, 180 et VII, 183.</w:t>
      </w:r>
    </w:p>
    <w:p>
      <w:pPr>
        <w:spacing w:after="60" w:before="60"/>
      </w:pPr>
      <w:r>
        <w:rPr>
          <w:rFonts w:ascii="Times New Roman" w:cs="Times New Roman" w:eastAsia="Times New Roman" w:hAnsi="Times New Roman"/>
          <w:b/>
          <w:bCs/>
          <w:color w:val="1F2937"/>
          <w:sz w:val="22"/>
          <w:szCs w:val="22"/>
        </w:rPr>
        <w:t xml:space="preserve">4. Sources doxographiques nommées mais non atteignables — </w:t>
      </w:r>
      <w:r>
        <w:rPr>
          <w:rFonts w:ascii="Times New Roman" w:cs="Times New Roman" w:eastAsia="Times New Roman" w:hAnsi="Times New Roman"/>
          <w:color w:val="1F2937"/>
          <w:sz w:val="22"/>
          <w:szCs w:val="22"/>
        </w:rPr>
        <w:t xml:space="preserve">note sur les sources textuelles. Toute la leçon repose sur Diogène Laërce, Cicéron, Plutarque, Sextus Empiricus et Stobée, cités sans qu'aucun texte ne soit accessible. Le Livre VII est désormais lié dans la traduction Hicks, testé et ouvert. Long &amp; Sedley reste sans lien, faute de page éditeur répondant au test — dire pourquoi vaut mieux qu'un lien non vérifié.</w:t>
      </w:r>
    </w:p>
    <w:p>
      <w:pPr>
        <w:spacing w:after="60" w:before="60"/>
      </w:pPr>
      <w:r>
        <w:rPr>
          <w:rFonts w:ascii="Times New Roman" w:cs="Times New Roman" w:eastAsia="Times New Roman" w:hAnsi="Times New Roman"/>
          <w:b/>
          <w:bCs/>
          <w:color w:val="1F2937"/>
          <w:sz w:val="22"/>
          <w:szCs w:val="22"/>
        </w:rPr>
        <w:t xml:space="preserve">5. « scholiarques » — </w:t>
      </w:r>
      <w:r>
        <w:rPr>
          <w:rFonts w:ascii="Times New Roman" w:cs="Times New Roman" w:eastAsia="Times New Roman" w:hAnsi="Times New Roman"/>
          <w:color w:val="1F2937"/>
          <w:sz w:val="22"/>
          <w:szCs w:val="22"/>
        </w:rPr>
        <w:t xml:space="preserve">objectif et continuité, deux occurrences. L'orthographe correcte est « scholarques », déjà employée dans le corps du texte.</w:t>
      </w:r>
    </w:p>
    <w:p>
      <w:pPr>
        <w:spacing w:after="60" w:before="60"/>
      </w:pPr>
      <w:r>
        <w:rPr>
          <w:rFonts w:ascii="Times New Roman" w:cs="Times New Roman" w:eastAsia="Times New Roman" w:hAnsi="Times New Roman"/>
          <w:b/>
          <w:bCs/>
          <w:color w:val="1F2937"/>
          <w:sz w:val="22"/>
          <w:szCs w:val="22"/>
        </w:rPr>
        <w:t xml:space="preserve">5. Un article signé, listé sous le seul nom de son encyclopédie — ressources (24/09/2026). « Stoicism — Internet Encyclopedia of Philosophy » : l'article est de Massimo Pigliucci, dont la signature figure en fin de page sous « Author Information ». Une encyclopédie publie, elle n'écrit pas.</w:t>
      </w:r>
    </w:p>
    <w:p>
      <w:pPr>
        <w:spacing w:after="80" w:before="200"/>
        <w:jc w:val="center"/>
      </w:pPr>
      <w:r>
        <w:rPr>
          <w:rFonts w:ascii="Times New Roman" w:cs="Times New Roman" w:eastAsia="Times New Roman" w:hAnsi="Times New Roman"/>
          <w:i/>
          <w:iCs/>
          <w:color w:val="888888"/>
          <w:sz w:val="18"/>
          <w:szCs w:val="18"/>
        </w:rPr>
        <w:t xml:space="preserve">— Parcours Stoïcisme · Leçon 13 / 20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plqzuj9bewyd_z0jjlmq6" Type="http://schemas.openxmlformats.org/officeDocument/2006/relationships/hyperlink" Target="https://plato.stanford.edu/entries/stoicism/" TargetMode="External"/><Relationship Id="rId06hq_ik1uw3fatcjoa7nu" Type="http://schemas.openxmlformats.org/officeDocument/2006/relationships/hyperlink" Target="https://iep.utm.edu/stoicism/" TargetMode="External"/><Relationship Id="rIdvq9u8albsghvorknz2doh" Type="http://schemas.openxmlformats.org/officeDocument/2006/relationships/hyperlink" Target="https://en.wikipedia.org/wiki/Zeno_of_Citium" TargetMode="External"/><Relationship Id="rIdkdk9ehgo_lzy4yj_mztra" Type="http://schemas.openxmlformats.org/officeDocument/2006/relationships/hyperlink" Target="https://en.wikipedia.org/wiki/Chrysippus" TargetMode="External"/><Relationship Id="rIdw9yysp5v1o-ucw5phh4jb" Type="http://schemas.openxmlformats.org/officeDocument/2006/relationships/hyperlink" Target="https://en.wikipedia.org/wiki/Cleanthes" TargetMode="External"/><Relationship Id="rIdf54llubxkh6crlcz8hfnk" Type="http://schemas.openxmlformats.org/officeDocument/2006/relationships/hyperlink" Target="https://www.larousse.fr/encyclopedie/philosophie/sto%C3%AFcisme/192227" TargetMode="External"/><Relationship Id="rIdjsyptxbpxj_woenv8iyyp" Type="http://schemas.openxmlformats.org/officeDocument/2006/relationships/hyperlink" Target="https://www.philosophes.org/biographies/zenon-de-citium-zenon-de-kition-334-262-av-j-c-vivre-en-accord-avec-la-nature/" TargetMode="External"/><Relationship Id="rIdcohxlhek-nwnwdsa2bekt" Type="http://schemas.openxmlformats.org/officeDocument/2006/relationships/hyperlink" Target="https://fr.wikipedia.org/wiki/Sto%C3%AFcisme" TargetMode="External"/><Relationship Id="rId15" Type="http://schemas.openxmlformats.org/officeDocument/2006/relationships/fontTable" Target="fontTable.xml"/><Relationship Id="rIdcorr03sept26laerce" Type="http://schemas.openxmlformats.org/officeDocument/2006/relationships/hyperlink" Target="https://en.wikisource.org/wiki/Lives_of_the_Eminent_Philosophers/Book_VII" TargetMode="Externa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2026-09-03T06:08:30.538Z</dcterms:created>
  <dcterms:modified xsi:type="dcterms:W3CDTF">2026-09-03T06:08:30.540Z</dcterms:modified>
</cp:coreProperties>
</file>

<file path=docProps/custom.xml><?xml version="1.0" encoding="utf-8"?>
<Properties xmlns="http://schemas.openxmlformats.org/officeDocument/2006/custom-properties" xmlns:vt="http://schemas.openxmlformats.org/officeDocument/2006/docPropsVTypes"/>
</file>