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rPr>
          <w:rFonts w:ascii="Times New Roman" w:cs="Times New Roman" w:eastAsia="Times New Roman" w:hAnsi="Times New Roman"/>
          <w:b/>
          <w:bCs/>
          <w:color w:val="1B3A6B"/>
          <w:sz w:val="52"/>
          <w:szCs w:val="52"/>
        </w:rPr>
      </w:pPr>
      <w:r>
        <w:t xml:space="preserve">Leçon Stoïcisme n°14</w:t>
      </w:r>
    </w:p>
    <w:p>
      <w:pPr>
        <w:spacing w:after="120"/>
        <w:jc w:val="center"/>
      </w:pPr>
      <w:r>
        <w:rPr>
          <w:rFonts w:ascii="Times New Roman" w:cs="Times New Roman" w:eastAsia="Times New Roman" w:hAnsi="Times New Roman"/>
          <w:b/>
          <w:bCs/>
          <w:color w:val="1B3A6B"/>
          <w:sz w:val="44"/>
          <w:szCs w:val="44"/>
        </w:rPr>
        <w:t xml:space="preserve">Physique et logique stoïciennes : logos, destin, assentiment</w:t>
      </w:r>
    </w:p>
    <w:p>
      <w:pPr>
        <w:spacing w:after="300"/>
        <w:jc w:val="center"/>
      </w:pPr>
      <w:r>
        <w:rPr>
          <w:rFonts w:ascii="Times New Roman" w:cs="Times New Roman" w:eastAsia="Times New Roman" w:hAnsi="Times New Roman"/>
          <w:color w:val="888888"/>
          <w:sz w:val="20"/>
          <w:szCs w:val="20"/>
        </w:rPr>
        <w:t xml:space="preserve">Date : 10 septembre 2026   |   </w:t>
      </w:r>
      <w:r>
        <w:rPr>
          <w:rFonts w:ascii="Times New Roman" w:cs="Times New Roman" w:eastAsia="Times New Roman" w:hAnsi="Times New Roman"/>
          <w:b/>
          <w:bCs/>
          <w:color w:val="1B3A6B"/>
          <w:sz w:val="20"/>
          <w:szCs w:val="20"/>
        </w:rPr>
        <w:t xml:space="preserve">Leçon 14 / 20</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leçon 13 a reconstitué les figures fondatrices de l'ancien Portique — Zénon, Cléanthe, Chrysippe. On entre aujourd'hui dans le cœur technique de leur système : la physique et la logique stoïciennes. Ces deux parties ne sont pas des appendices ; elles sont le fondement sur lequel repose l'éthique. Ce n'est que parce que le cosmos est gouverné par une raison (logos) que vivre selon la raison constitue une vertu — et non une simple préférence.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À la fin de cette leçon, tu sauras :</w:t>
      </w:r>
    </w:p>
    <w:p>
      <w:pPr>
        <w:pStyle w:val="ListParagraph"/>
        <w:numPr>
          <w:ilvl w:val="0"/>
          <w:numId w:val="1"/>
        </w:numPr>
        <w:spacing w:after="80"/>
      </w:pPr>
      <w:r>
        <w:rPr>
          <w:rFonts w:ascii="Times New Roman" w:cs="Times New Roman" w:eastAsia="Times New Roman" w:hAnsi="Times New Roman"/>
          <w:color w:val="1F2937"/>
          <w:sz w:val="22"/>
          <w:szCs w:val="22"/>
        </w:rPr>
        <w:t xml:space="preserve">Expliquer comment les stoïciens conçoivent le cosmos comme un tout ordonné par le logos ;</w:t>
      </w:r>
    </w:p>
    <w:p>
      <w:pPr>
        <w:pStyle w:val="ListParagraph"/>
        <w:numPr>
          <w:ilvl w:val="0"/>
          <w:numId w:val="1"/>
        </w:numPr>
        <w:spacing w:after="80"/>
      </w:pPr>
      <w:r>
        <w:rPr>
          <w:rFonts w:ascii="Times New Roman" w:cs="Times New Roman" w:eastAsia="Times New Roman" w:hAnsi="Times New Roman"/>
          <w:color w:val="1F2937"/>
          <w:sz w:val="22"/>
          <w:szCs w:val="22"/>
        </w:rPr>
        <w:t xml:space="preserve">Distinguer les notions de logos, pneuma, heimarmenê et ekpyrosis ;</w:t>
      </w:r>
    </w:p>
    <w:p>
      <w:pPr>
        <w:pStyle w:val="ListParagraph"/>
        <w:numPr>
          <w:ilvl w:val="0"/>
          <w:numId w:val="1"/>
        </w:numPr>
        <w:spacing w:after="80"/>
      </w:pPr>
      <w:r>
        <w:rPr>
          <w:rFonts w:ascii="Times New Roman" w:cs="Times New Roman" w:eastAsia="Times New Roman" w:hAnsi="Times New Roman"/>
          <w:color w:val="1F2937"/>
          <w:sz w:val="22"/>
          <w:szCs w:val="22"/>
        </w:rPr>
        <w:t xml:space="preserve">Décrire le mécanisme de l'assentiment (sunkatathesis) et son rôle central dans l'éthique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Comprendre comment les stoïciens conciliaient déterminisme et responsabilité morale.</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Théorie (20 %)</w:t>
      </w:r>
    </w:p>
    <w:p>
      <w:pPr>
        <w:spacing w:after="80" w:before="200"/>
      </w:pPr>
      <w:r>
        <w:rPr>
          <w:rFonts w:ascii="Times New Roman" w:cs="Times New Roman" w:eastAsia="Times New Roman" w:hAnsi="Times New Roman"/>
          <w:b/>
          <w:bCs/>
          <w:color w:val="1F2937"/>
          <w:sz w:val="26"/>
          <w:szCs w:val="26"/>
        </w:rPr>
        <w:t xml:space="preserve">A. La physique stoïcienne : un cosmos rationnel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physique stoïcienne est une cosmologie matérialiste et déterministe. Elle repose sur une distinction fondamentale entre deux principes co-éternels :</w:t>
      </w:r>
    </w:p>
    <w:p>
      <w:pPr>
        <w:pStyle w:val="ListParagraph"/>
        <w:numPr>
          <w:ilvl w:val="0"/>
          <w:numId w:val="1"/>
        </w:numPr>
        <w:spacing w:after="80"/>
      </w:pPr>
      <w:r>
        <w:rPr>
          <w:rFonts w:ascii="Times New Roman" w:cs="Times New Roman" w:eastAsia="Times New Roman" w:hAnsi="Times New Roman"/>
          <w:color w:val="1F2937"/>
          <w:sz w:val="22"/>
          <w:szCs w:val="22"/>
        </w:rPr>
        <w:t xml:space="preserve">Le principe passif (hylê) : la matière brute, informe, sans qualité propre ;</w:t>
      </w:r>
    </w:p>
    <w:p>
      <w:pPr>
        <w:pStyle w:val="ListParagraph"/>
        <w:numPr>
          <w:ilvl w:val="0"/>
          <w:numId w:val="1"/>
        </w:numPr>
        <w:spacing w:after="80"/>
      </w:pPr>
      <w:r>
        <w:rPr>
          <w:rFonts w:ascii="Times New Roman" w:cs="Times New Roman" w:eastAsia="Times New Roman" w:hAnsi="Times New Roman"/>
          <w:color w:val="1F2937"/>
          <w:sz w:val="22"/>
          <w:szCs w:val="22"/>
        </w:rPr>
        <w:t xml:space="preserve">Le principe actif (logos) : la raison divine, le feu intelligent, qui structure et ordonne la matière.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Selon l'article de Wikipedia Stoic Physics, les stoïciens concevaient l'univers comme « the Universe is a material reasoning substance (logos), which was divided into two classes: the active and the passive. » (synthèse, traduction de l'article, non citation d'auteur antique)</w:t>
      </w:r>
    </w:p>
    <w:p>
      <w:pPr>
        <w:spacing w:after="80"/>
      </w:pPr>
    </w:p>
    <w:p>
      <w:pPr>
        <w:spacing w:after="80" w:before="200"/>
      </w:pPr>
      <w:r>
        <w:rPr>
          <w:rFonts w:ascii="Times New Roman" w:cs="Times New Roman" w:eastAsia="Times New Roman" w:hAnsi="Times New Roman"/>
          <w:b/>
          <w:bCs/>
          <w:color w:val="1F2937"/>
          <w:sz w:val="26"/>
          <w:szCs w:val="26"/>
        </w:rPr>
        <w:t xml:space="preserve">1. Le logos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logos est la raison divine qui pénètre et ordonne toute chose. Diogène Laërce rapporte, en VII.88 (trad. R. D. Hicks, Wikisource), que les stoïciens l'identifiaient à</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the right reason which pervades all things, and is identical with this Zeus »</w:t>
      </w:r>
      <w:r>
        <w:rPr>
          <w:rFonts w:ascii="Times New Roman" w:cs="Times New Roman" w:eastAsia="Times New Roman" w:hAnsi="Times New Roman"/>
          <w:i/>
          <w:iCs/>
          <w:color w:val="1B3A6B"/>
          <w:sz w:val="20"/>
          <w:szCs w:val="20"/>
        </w:rPr>
        <w:t xml:space="preserve">  — Diogène Laërce, Vies, VII.88 — trad. Hicks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logos s'identifie ainsi à Zeus, à la Nature, à la Providence (pronoia) et au Destin (heimarmenê) — quatre noms pour un seul principe rationnel immanent au monde. Les stoïciens récusent tout dieu transcendant séparé du cosmos : Dieu EST le monde ordonné.</w:t>
      </w:r>
    </w:p>
    <w:p>
      <w:pPr>
        <w:spacing w:after="80" w:before="200"/>
      </w:pPr>
      <w:r>
        <w:rPr>
          <w:rFonts w:ascii="Times New Roman" w:cs="Times New Roman" w:eastAsia="Times New Roman" w:hAnsi="Times New Roman"/>
          <w:b/>
          <w:bCs/>
          <w:color w:val="1F2937"/>
          <w:sz w:val="26"/>
          <w:szCs w:val="26"/>
        </w:rPr>
        <w:t xml:space="preserve">2. Le pneuma</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pneuma (πνεῦμα, « souffle ») est le véhicule matériel du logos : un feu rationnel mêlé d'air qui imprègne toute chose et lui confère ses qualités. Selon son degré de tension (tonos), il structure :</w:t>
      </w:r>
    </w:p>
    <w:p>
      <w:pPr>
        <w:pStyle w:val="ListParagraph"/>
        <w:numPr>
          <w:ilvl w:val="0"/>
          <w:numId w:val="1"/>
        </w:numPr>
        <w:spacing w:after="80"/>
      </w:pPr>
      <w:r>
        <w:rPr>
          <w:rFonts w:ascii="Times New Roman" w:cs="Times New Roman" w:eastAsia="Times New Roman" w:hAnsi="Times New Roman"/>
          <w:color w:val="1F2937"/>
          <w:sz w:val="22"/>
          <w:szCs w:val="22"/>
        </w:rPr>
        <w:t xml:space="preserve">La pierre : cohésion (hexis) ;</w:t>
      </w:r>
    </w:p>
    <w:p>
      <w:pPr>
        <w:pStyle w:val="ListParagraph"/>
        <w:numPr>
          <w:ilvl w:val="0"/>
          <w:numId w:val="1"/>
        </w:numPr>
        <w:spacing w:after="80"/>
      </w:pPr>
      <w:r>
        <w:rPr>
          <w:rFonts w:ascii="Times New Roman" w:cs="Times New Roman" w:eastAsia="Times New Roman" w:hAnsi="Times New Roman"/>
          <w:color w:val="1F2937"/>
          <w:sz w:val="22"/>
          <w:szCs w:val="22"/>
        </w:rPr>
        <w:t xml:space="preserve">La plante : croissance (physis) ;</w:t>
      </w:r>
    </w:p>
    <w:p>
      <w:pPr>
        <w:pStyle w:val="ListParagraph"/>
        <w:numPr>
          <w:ilvl w:val="0"/>
          <w:numId w:val="1"/>
        </w:numPr>
        <w:spacing w:after="80"/>
      </w:pPr>
      <w:r>
        <w:rPr>
          <w:rFonts w:ascii="Times New Roman" w:cs="Times New Roman" w:eastAsia="Times New Roman" w:hAnsi="Times New Roman"/>
          <w:color w:val="1F2937"/>
          <w:sz w:val="22"/>
          <w:szCs w:val="22"/>
        </w:rPr>
        <w:t xml:space="preserve">L'animal : âme sensitive (psychê) ;</w:t>
      </w:r>
    </w:p>
    <w:p>
      <w:pPr>
        <w:pStyle w:val="ListParagraph"/>
        <w:numPr>
          <w:ilvl w:val="0"/>
          <w:numId w:val="1"/>
        </w:numPr>
        <w:spacing w:after="80"/>
      </w:pPr>
      <w:r>
        <w:rPr>
          <w:rFonts w:ascii="Times New Roman" w:cs="Times New Roman" w:eastAsia="Times New Roman" w:hAnsi="Times New Roman"/>
          <w:color w:val="1F2937"/>
          <w:sz w:val="22"/>
          <w:szCs w:val="22"/>
        </w:rPr>
        <w:t xml:space="preserve">L'être humain : raison (logos) — fragment de la raison cosmique.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Cette hiérarchie de tension pneumatique fonde la place particulière de l'humain dans la physique stoïcienne : nous participons directement au logos universel.</w:t>
      </w:r>
    </w:p>
    <w:p>
      <w:pPr>
        <w:spacing w:after="80" w:before="200"/>
      </w:pPr>
      <w:r>
        <w:rPr>
          <w:rFonts w:ascii="Times New Roman" w:cs="Times New Roman" w:eastAsia="Times New Roman" w:hAnsi="Times New Roman"/>
          <w:b/>
          <w:bCs/>
          <w:color w:val="1F2937"/>
          <w:sz w:val="26"/>
          <w:szCs w:val="26"/>
        </w:rPr>
        <w:t xml:space="preserve">3. L'heimarmenê (destin) et le déterminisme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Tout étant causalement ordonné par le logos, aucun événement n'est contingent au sens propre. Le College of Stoic Philosophers définit l'heimarmenê comme la chaîne causale déterminant tous les événements selon la raison divine. Selon l'entrée de la Stanford Encyclopedia of Philosophy sur le stoïcisme, le destin stoïcien est conçu comme « a certain natural everlasting ordering of the whole » (synthèse de l'article Stanford, non citation directe d'auteur antique).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 déterminisme radical pose une question inévitable : si tout est déterminé, peut-on encore parler de responsabilité ? Chrysippe répond avec une analogie devenue célèbre.</w:t>
      </w:r>
    </w:p>
    <w:p>
      <w:pPr>
        <w:spacing w:after="80" w:before="200"/>
      </w:pPr>
      <w:r>
        <w:rPr>
          <w:rFonts w:ascii="Times New Roman" w:cs="Times New Roman" w:eastAsia="Times New Roman" w:hAnsi="Times New Roman"/>
          <w:b/>
          <w:bCs/>
          <w:color w:val="1F2937"/>
          <w:sz w:val="26"/>
          <w:szCs w:val="26"/>
        </w:rPr>
        <w:t xml:space="preserve">4. La métaphore du cylindre et du cône (Chrysippe)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Chrysippe distingue deux types de causes dans tout événement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La cause auxiliaire et proximale (external trigger) : l'impulsion reçue de l'extérieur ;</w:t>
      </w:r>
    </w:p>
    <w:p>
      <w:pPr>
        <w:pStyle w:val="ListParagraph"/>
        <w:numPr>
          <w:ilvl w:val="0"/>
          <w:numId w:val="1"/>
        </w:numPr>
        <w:spacing w:after="80"/>
      </w:pPr>
      <w:r>
        <w:rPr>
          <w:rFonts w:ascii="Times New Roman" w:cs="Times New Roman" w:eastAsia="Times New Roman" w:hAnsi="Times New Roman"/>
          <w:color w:val="1F2937"/>
          <w:sz w:val="22"/>
          <w:szCs w:val="22"/>
        </w:rPr>
        <w:t xml:space="preserve">La cause principale et parfaite (our own nature) : la disposition intérieure de l'agent.</w:t>
      </w:r>
      <w:r>
        <w:rPr>
          <w:rFonts w:ascii="Times New Roman" w:cs="Times New Roman" w:eastAsia="Times New Roman" w:hAnsi="Times New Roman"/>
          <w:i/>
          <w:iCs/>
          <w:color w:val="6B7280"/>
          <w:sz w:val="20"/>
          <w:szCs w:val="20"/>
        </w:rPr>
        <w:t xml:space="preserve"> [Précisé le 24/09/2026 : la Stanford Encyclopedia, créditée quatre paragraphes plus bas, écrit « auxiliary and proximate » en renvoyant à Cicéron (62C) et explique le reste par « their own nature ». « Cause principale et parfaite » est la terminologie latine classique, elle n'est pas sur la page ; la métaphore du cylindre, elle, y est mot pour mot.]</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Si je pousse un cylindre — ou un cône, la citation de Stanford porte les deux —, c'est moi qui lui donne l'impulsion : cause auxiliaire. Mais c'est sa forme propre qui détermine comment il roule — cause principale. De même, une impression extérieure me parvient sans que je l'aie choisie (cause auxiliaire) ; mais c'est ma nature rationnelle, ma disposition morale, qui détermine l'assentiment que je lui donne (cause principale). C'est là que réside la responsabilité : non dans l'absence de déterminisme, mais dans le fait que notre propre nature est une des causes de nos actes.</w:t>
      </w:r>
      <w:r>
        <w:rPr>
          <w:rFonts w:ascii="Times New Roman" w:cs="Times New Roman" w:eastAsia="Times New Roman" w:hAnsi="Times New Roman"/>
          <w:i/>
          <w:iCs/>
          <w:color w:val="6B7280"/>
          <w:sz w:val="20"/>
          <w:szCs w:val="20"/>
        </w:rPr>
        <w:t xml:space="preserve"> [Corrigé le 24/09/2026 : la citation reproduite par la Stanford Encyclopedia dit « his cylinder and cone … the cylinder rolls and the cone spins » ; la leçon ne gardait que le cylindre.]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Stanford Encyclopedia of Philosophy présente cette position de Chrysippe dans la section consacrée aux causes et au déterminisme : la distinction entre cause auxiliaire et cause principale permet de préserver la responsabilité morale à l'intérieur d'un cadre pleinement déterministe.</w:t>
      </w:r>
    </w:p>
    <w:p>
      <w:pPr>
        <w:spacing w:after="80" w:before="200"/>
      </w:pPr>
      <w:r>
        <w:rPr>
          <w:rFonts w:ascii="Times New Roman" w:cs="Times New Roman" w:eastAsia="Times New Roman" w:hAnsi="Times New Roman"/>
          <w:b/>
          <w:bCs/>
          <w:color w:val="1F2937"/>
          <w:sz w:val="26"/>
          <w:szCs w:val="26"/>
        </w:rPr>
        <w:t xml:space="preserve">5. L'ekpyrosis (conflagration cosmique)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physique de l'ancien Portique inclut une doctrine cosmologique : à intervalles immenses, tout se résorbe dans le feu primordial — c'est l'ekpyrosis. Puis un nouveau cycle identique recommence, jusqu'à l'infini. Chrysippe était particulièrement associé à cette doctrine de l'éternel retour cosmique. Chaque cycle reproduit exactement le précédent, car c'est le même logos qui gouverne. Cette doctrine souligne la nature éternelle et rationnelle du cosmos, non sa contingence.</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B. La logique stoïcienne : impressions, assentiment, connaissance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 logique » stoïcienne est plus vaste que la logique formelle moderne : elle englobe la théorie de la connaissance, la sémantique et la rhétorique. Nous nous concentrons ici sur les trois concepts fondamentaux pour l'éthique.</w:t>
      </w:r>
    </w:p>
    <w:p>
      <w:pPr>
        <w:spacing w:after="80" w:before="200"/>
      </w:pPr>
      <w:r>
        <w:rPr>
          <w:rFonts w:ascii="Times New Roman" w:cs="Times New Roman" w:eastAsia="Times New Roman" w:hAnsi="Times New Roman"/>
          <w:b/>
          <w:bCs/>
          <w:color w:val="1F2937"/>
          <w:sz w:val="26"/>
          <w:szCs w:val="26"/>
        </w:rPr>
        <w:t xml:space="preserve">1. Les impressions (phantasiai)</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Toute connaissance commence par une phantasia — une modification de l'âme produite par un objet extérieur ou par la pensée. Diogène Laërce définit en VII.45 (trad. Hicks) :</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A presentation (or mental impression) is an imprint on the soul. »</w:t>
      </w:r>
      <w:r>
        <w:rPr>
          <w:rFonts w:ascii="Times New Roman" w:cs="Times New Roman" w:eastAsia="Times New Roman" w:hAnsi="Times New Roman"/>
          <w:i/>
          <w:iCs/>
          <w:color w:val="1B3A6B"/>
          <w:sz w:val="20"/>
          <w:szCs w:val="20"/>
        </w:rPr>
        <w:t xml:space="preserve">  — Diogène Laërce, Vies, VII.45 — trad. Hicks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Les impressions peuvent venir des sens, de la mémoire, de l'imagination. Elles se présentent à la faculté rationnelle (hêgêmonikon) et appellent un jugement.</w:t>
      </w:r>
    </w:p>
    <w:p>
      <w:pPr>
        <w:spacing w:after="80" w:before="200"/>
      </w:pPr>
      <w:r>
        <w:rPr>
          <w:rFonts w:ascii="Times New Roman" w:cs="Times New Roman" w:eastAsia="Times New Roman" w:hAnsi="Times New Roman"/>
          <w:b/>
          <w:bCs/>
          <w:color w:val="1F2937"/>
          <w:sz w:val="26"/>
          <w:szCs w:val="26"/>
        </w:rPr>
        <w:t xml:space="preserve">2. L'impression cataleptique (phantasia katalêptikê)</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Les stoïciens distinguent une classe particulière d'impressions : l'impression « cataleptique » (du grec katalambanein, « saisir »). Selon Diogène Laërce (VII.54, trad. Hicks), ils affirment que</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the standard of truth they declare to be the apprehending presentation. »</w:t>
      </w:r>
      <w:r>
        <w:rPr>
          <w:rFonts w:ascii="Times New Roman" w:cs="Times New Roman" w:eastAsia="Times New Roman" w:hAnsi="Times New Roman"/>
          <w:i/>
          <w:iCs/>
          <w:color w:val="1B3A6B"/>
          <w:sz w:val="20"/>
          <w:szCs w:val="20"/>
        </w:rPr>
        <w:t xml:space="preserve">  — Diogène Laërce, Vies, VII.54 — trad. Hicks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L'impression cataleptique est celle qui provient d'un objet réel, lui correspond fidèlement, et s'impose avec une netteté telle qu'elle ne peut provenir de l'inexistant. C'est le critère stoïcien de la vérité — et c'est pourquoi Chrysippe reprochait au scepticisme académicien de nier qu'une telle impression soit possible : sans elle, toute connaissance s'effondre.</w:t>
      </w:r>
    </w:p>
    <w:p>
      <w:pPr>
        <w:spacing w:after="80" w:before="200"/>
      </w:pPr>
      <w:r>
        <w:rPr>
          <w:rFonts w:ascii="Times New Roman" w:cs="Times New Roman" w:eastAsia="Times New Roman" w:hAnsi="Times New Roman"/>
          <w:b/>
          <w:bCs/>
          <w:color w:val="1F2937"/>
          <w:sz w:val="26"/>
          <w:szCs w:val="26"/>
        </w:rPr>
        <w:t xml:space="preserve">3. L'assentiment (sunkatathesis)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Face à toute impression, la faculté rationnelle peut :</w:t>
      </w:r>
    </w:p>
    <w:p>
      <w:pPr>
        <w:pStyle w:val="ListParagraph"/>
        <w:numPr>
          <w:ilvl w:val="0"/>
          <w:numId w:val="1"/>
        </w:numPr>
        <w:spacing w:after="80"/>
      </w:pPr>
      <w:r>
        <w:rPr>
          <w:rFonts w:ascii="Times New Roman" w:cs="Times New Roman" w:eastAsia="Times New Roman" w:hAnsi="Times New Roman"/>
          <w:color w:val="1F2937"/>
          <w:sz w:val="22"/>
          <w:szCs w:val="22"/>
        </w:rPr>
        <w:t xml:space="preserve">Donner son assentiment (sunkatathesis) : tenir l'impression pour vraie et y répondre ;</w:t>
      </w:r>
    </w:p>
    <w:p>
      <w:pPr>
        <w:pStyle w:val="ListParagraph"/>
        <w:numPr>
          <w:ilvl w:val="0"/>
          <w:numId w:val="1"/>
        </w:numPr>
        <w:spacing w:after="80"/>
      </w:pPr>
      <w:r>
        <w:rPr>
          <w:rFonts w:ascii="Times New Roman" w:cs="Times New Roman" w:eastAsia="Times New Roman" w:hAnsi="Times New Roman"/>
          <w:color w:val="1F2937"/>
          <w:sz w:val="22"/>
          <w:szCs w:val="22"/>
        </w:rPr>
        <w:t xml:space="preserve">Refuser l'assentiment (epochê) : suspendre le jugement, ne pas agir sur cette impression ;</w:t>
      </w:r>
    </w:p>
    <w:p>
      <w:pPr>
        <w:pStyle w:val="ListParagraph"/>
        <w:numPr>
          <w:ilvl w:val="0"/>
          <w:numId w:val="1"/>
        </w:numPr>
        <w:spacing w:after="80"/>
      </w:pPr>
      <w:r>
        <w:rPr>
          <w:rFonts w:ascii="Times New Roman" w:cs="Times New Roman" w:eastAsia="Times New Roman" w:hAnsi="Times New Roman"/>
          <w:color w:val="1F2937"/>
          <w:sz w:val="22"/>
          <w:szCs w:val="22"/>
        </w:rPr>
        <w:t xml:space="preserve">Donner un assentiment précipité (propeteia) : source d'erreur et de passion.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Cet acte d'assentiment est entièrement « en notre pouvoir » (eph' hêmin). C'est le noyau de la liberté humaine dans un monde déterminé. Nous ne choisissons pas les impressions qui nous parviennent — elles arrivent selon les causes extérieures. Mais nous contrôlons l'assentiment que nous leur donnons. C'est précisément là que réside la responsabilité morale, et c'est pourquoi la logique est indissociable de l'éthique stoïcienne.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Épictète résume ce principe dans l'Enchiridion : c'est parce que certaines choses dépendent de nous (nos jugements, nos impulsions, nos désirs) et d'autres non (le corps, la réputation, les événements extérieurs) que la sagesse consiste à ne donner son assentiment qu'aux premières. (Référence : Épictète, Enchiridion, §1 — synthèse, non citation mot à mot)</w:t>
      </w:r>
    </w:p>
    <w:p>
      <w:pPr>
        <w:spacing w:after="80" w:before="200"/>
      </w:pPr>
      <w:r>
        <w:rPr>
          <w:rFonts w:ascii="Times New Roman" w:cs="Times New Roman" w:eastAsia="Times New Roman" w:hAnsi="Times New Roman"/>
          <w:b/>
          <w:bCs/>
          <w:color w:val="1F2937"/>
          <w:sz w:val="26"/>
          <w:szCs w:val="26"/>
        </w:rPr>
        <w:t xml:space="preserve">4. Les lekta (« dicibles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Innovation majeure de la logique stoïcienne : les stoïciens distinguent trois niveaux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mots (sons physiques)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objets désignés (choses matérielles) ;</w:t>
      </w:r>
    </w:p>
    <w:p>
      <w:pPr>
        <w:pStyle w:val="ListParagraph"/>
        <w:numPr>
          <w:ilvl w:val="0"/>
          <w:numId w:val="1"/>
        </w:numPr>
        <w:spacing w:after="80"/>
      </w:pPr>
      <w:r>
        <w:rPr>
          <w:rFonts w:ascii="Times New Roman" w:cs="Times New Roman" w:eastAsia="Times New Roman" w:hAnsi="Times New Roman"/>
          <w:color w:val="1F2937"/>
          <w:sz w:val="22"/>
          <w:szCs w:val="22"/>
        </w:rPr>
        <w:t xml:space="preserve">Les lekta : entités incorporelles, contenus de sens exprimés par le langage.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Selon la Stanford Encyclopedia of Philosophy, les lekta sont ce « qui subsiste en accord avec une impression rationnelle » (synthèse de l'article, non citation directe d'auteur antique). Les lekta comprennent les propositions (axiomata — soit vraies, soit fausses), les questions, les injonctions. Cette théorie du signe est une des contributions les plus originales des stoïciens à la philosophie du langage, et la Stanford Encyclopedia rapporte une thèse plus précise : une étude de S. Bobzien (2021) suggère que la logique stoïcienne « might have found its way to Gottlob Frege », Bobzien produisant des éléments montrant qu'une partie du travail de Frege lui « is derived from, and heavily indebted to ».</w:t>
      </w:r>
      <w:r>
        <w:rPr>
          <w:rFonts w:ascii="Times New Roman" w:cs="Times New Roman" w:eastAsia="Times New Roman" w:hAnsi="Times New Roman"/>
          <w:i/>
          <w:iCs/>
          <w:color w:val="6B7280"/>
          <w:sz w:val="20"/>
          <w:szCs w:val="20"/>
        </w:rPr>
        <w:t xml:space="preserve"> [Corrigé le 24/09/2026 : la leçon écrivait « certains historiens y voient une anticipation de la distinction moderne entre sens et référence (Frege) ». « sense and reference » compte zéro occurrence sur la page ; ce qu'elle porte est une thèse de TRANSMISSION HISTORIQUE, datée et signée (Bobzien, 2021), non une anticipation conceptuelle prêtée à « certains historiens ».]</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C. Tableau récapitulatif des concepts clés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Terme grec</w:t>
            </w:r>
          </w:p>
        </w:tc>
        <w:tc>
          <w:tcPr>
            <w:shd w:fill="1B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Traduction</w:t>
            </w:r>
          </w:p>
        </w:tc>
        <w:tc>
          <w:tcPr>
            <w:shd w:fill="1B3A6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Signification philosophique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Logos (λόγος)</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Raison / Principe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Raison divine immanente au cosmos, identique à Zeus, à la Nature et à la Providence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Pneuma (πνεῦμα)</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Souffle / Feu rationnel</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Véhicule matériel du logos ; structure la matière selon son degré de tension (tonos)</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Heimarmenê (εἱμαρμένη)</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Destin / Destinée</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Chaîne causale universelle ordonnée par le logos ; déterminisme, non fatalisme aveugle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Ekpyrosis (ἐκπύρωσις)</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Conflagration</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Résorption périodique du cosmos dans le feu primordial, suivie d'un nouveau cycle identique</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Phantasia (φαντασία)</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Impression</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Modification de l'âme par un objet extérieur ou une pensée ; point de départ de la connaissance</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Phantasia katalêptikê</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Impression cataleptique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Impression fidèle à son objet réel ; critère stoïcien de la vérité</w:t>
            </w:r>
          </w:p>
        </w:tc>
      </w:tr>
      <w:tr>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Sunkatathesis (συγκατάθεσις)</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Assentiment</w:t>
            </w:r>
          </w:p>
        </w:tc>
        <w:tc>
          <w:tcPr>
            <w:shd w:fill="FFFFFF"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Acte rationnel d'accepter une impression comme vraie ; entièrement « en notre pouvoir »</w:t>
            </w:r>
          </w:p>
        </w:tc>
      </w:tr>
      <w:tr>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Lekton (λεκτόν)</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Dicible</w:t>
            </w:r>
          </w:p>
        </w:tc>
        <w:tc>
          <w:tcPr>
            <w:shd w:fill="EEF2F7" w:val="clear"/>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Contenu incorporel du langage (proposition, question) ; innovation stoïcienne en sémantique</w:t>
            </w:r>
          </w:p>
        </w:tc>
      </w:tr>
    </w:tbl>
    <w:p>
      <w:pPr>
        <w:spacing w:after="200"/>
      </w:pP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Pratique (80 %)</w:t>
      </w:r>
    </w:p>
    <w:p>
      <w:pPr>
        <w:spacing w:after="80" w:before="200"/>
      </w:pPr>
      <w:r>
        <w:rPr>
          <w:rFonts w:ascii="Times New Roman" w:cs="Times New Roman" w:eastAsia="Times New Roman" w:hAnsi="Times New Roman"/>
          <w:b/>
          <w:bCs/>
          <w:color w:val="1F2937"/>
          <w:sz w:val="26"/>
          <w:szCs w:val="26"/>
        </w:rPr>
        <w:t xml:space="preserve">Exercice 1 — Cartographie du logos (compréhension active)</w:t>
      </w:r>
    </w:p>
    <w:p>
      <w:pPr>
        <w:spacing w:after="120"/>
        <w:jc w:val="both"/>
      </w:pPr>
      <w:r>
        <w:rPr>
          <w:rFonts w:ascii="Times New Roman" w:cs="Times New Roman" w:eastAsia="Times New Roman" w:hAnsi="Times New Roman"/>
          <w:b w:val="false"/>
          <w:bCs w:val="false"/>
          <w:i/>
          <w:iCs/>
          <w:color w:val="1F2937"/>
          <w:sz w:val="22"/>
          <w:szCs w:val="22"/>
        </w:rPr>
        <w:t xml:space="preserve">Durée estimée : 15 minutes. Matériel : une feuille ou ton journal.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Dessine un schéma simple avec le logos au centre. Autour, place les quatre niveaux du pneuma (pierre, plante, animal, humain). Puis ajoute, reliés au logos, ses quatre noms synonymes : Zeus, Nature, Providence, Destin (heimarmenê).</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Questions à noter au dos :</w:t>
      </w:r>
    </w:p>
    <w:p>
      <w:pPr>
        <w:pStyle w:val="ListParagraph"/>
        <w:numPr>
          <w:ilvl w:val="0"/>
          <w:numId w:val="1"/>
        </w:numPr>
        <w:spacing w:after="80"/>
      </w:pPr>
      <w:r>
        <w:rPr>
          <w:rFonts w:ascii="Times New Roman" w:cs="Times New Roman" w:eastAsia="Times New Roman" w:hAnsi="Times New Roman"/>
          <w:color w:val="1F2937"/>
          <w:sz w:val="22"/>
          <w:szCs w:val="22"/>
        </w:rPr>
        <w:t xml:space="preserve">Pourquoi les stoïciens identifient-ils Dieu au cosmos plutôt qu'à un être transcendant ?</w:t>
      </w:r>
    </w:p>
    <w:p>
      <w:pPr>
        <w:pStyle w:val="ListParagraph"/>
        <w:numPr>
          <w:ilvl w:val="0"/>
          <w:numId w:val="1"/>
        </w:numPr>
        <w:spacing w:after="80"/>
      </w:pPr>
      <w:r>
        <w:rPr>
          <w:rFonts w:ascii="Times New Roman" w:cs="Times New Roman" w:eastAsia="Times New Roman" w:hAnsi="Times New Roman"/>
          <w:color w:val="1F2937"/>
          <w:sz w:val="22"/>
          <w:szCs w:val="22"/>
        </w:rPr>
        <w:t xml:space="preserve">En quoi cette identification change-t-elle la façon de concevoir la prière ou la piété ?</w:t>
      </w:r>
    </w:p>
    <w:p>
      <w:pPr>
        <w:pStyle w:val="ListParagraph"/>
        <w:numPr>
          <w:ilvl w:val="0"/>
          <w:numId w:val="1"/>
        </w:numPr>
        <w:spacing w:after="80"/>
      </w:pPr>
      <w:r>
        <w:rPr>
          <w:rFonts w:ascii="Times New Roman" w:cs="Times New Roman" w:eastAsia="Times New Roman" w:hAnsi="Times New Roman"/>
          <w:color w:val="1F2937"/>
          <w:sz w:val="22"/>
          <w:szCs w:val="22"/>
        </w:rPr>
        <w:t xml:space="preserve">Comment la hiérarchie du pneuma justifie-t-elle la place particulière de l'humain ?</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logos est immanent parce que pour les stoïciens, séparer Dieu du monde créerait un dualisme inutile : si la raison ordonne tout, elle doit être présente en tout. La « prière » stoïcienne n'est pas une demande adressée à un être extérieur, mais l'alignement de sa propre raison sur la raison cosmique. La hiérarchie du pneuma place l'humain au sommet non par droit divin, mais parce que c'est en lui que le logos atteint sa pleine expression réflexive : nous sommes la partie du cosmos capable de se connaître elle-même.</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Exercice 2 — Le filtre de l'assentiment (journal stoïcien)</w:t>
      </w:r>
    </w:p>
    <w:p>
      <w:pPr>
        <w:spacing w:after="120"/>
        <w:jc w:val="both"/>
      </w:pPr>
      <w:r>
        <w:rPr>
          <w:rFonts w:ascii="Times New Roman" w:cs="Times New Roman" w:eastAsia="Times New Roman" w:hAnsi="Times New Roman"/>
          <w:b w:val="false"/>
          <w:bCs w:val="false"/>
          <w:i/>
          <w:iCs/>
          <w:color w:val="1F2937"/>
          <w:sz w:val="22"/>
          <w:szCs w:val="22"/>
        </w:rPr>
        <w:t xml:space="preserve">Durée estimée : 10 minutes ce soir + 5 minutes le lendemain matin.</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Ce soir, note trois situations de la journée où tu as réagi fortement (colère, anxiété, enthousiasme, découragement). Pour chacune :</w:t>
      </w:r>
    </w:p>
    <w:p>
      <w:pPr>
        <w:pStyle w:val="ListParagraph"/>
        <w:numPr>
          <w:ilvl w:val="0"/>
          <w:numId w:val="1"/>
        </w:numPr>
        <w:spacing w:after="80"/>
      </w:pPr>
      <w:r>
        <w:rPr>
          <w:rFonts w:ascii="Times New Roman" w:cs="Times New Roman" w:eastAsia="Times New Roman" w:hAnsi="Times New Roman"/>
          <w:color w:val="1F2937"/>
          <w:sz w:val="22"/>
          <w:szCs w:val="22"/>
        </w:rPr>
        <w:t xml:space="preserve">L'impression reçue : qu'est-ce qui s'est présenté à ton esprit en premier ?</w:t>
      </w:r>
    </w:p>
    <w:p>
      <w:pPr>
        <w:pStyle w:val="ListParagraph"/>
        <w:numPr>
          <w:ilvl w:val="0"/>
          <w:numId w:val="1"/>
        </w:numPr>
        <w:spacing w:after="80"/>
      </w:pPr>
      <w:r>
        <w:rPr>
          <w:rFonts w:ascii="Times New Roman" w:cs="Times New Roman" w:eastAsia="Times New Roman" w:hAnsi="Times New Roman"/>
          <w:color w:val="1F2937"/>
          <w:sz w:val="22"/>
          <w:szCs w:val="22"/>
        </w:rPr>
        <w:t xml:space="preserve">L'assentiment donné : as-tu accepté cette impression comme vraie ? Immédiatement ou après réflexion ?</w:t>
      </w:r>
    </w:p>
    <w:p>
      <w:pPr>
        <w:pStyle w:val="ListParagraph"/>
        <w:numPr>
          <w:ilvl w:val="0"/>
          <w:numId w:val="1"/>
        </w:numPr>
        <w:spacing w:after="80"/>
      </w:pPr>
      <w:r>
        <w:rPr>
          <w:rFonts w:ascii="Times New Roman" w:cs="Times New Roman" w:eastAsia="Times New Roman" w:hAnsi="Times New Roman"/>
          <w:color w:val="1F2937"/>
          <w:sz w:val="22"/>
          <w:szCs w:val="22"/>
        </w:rPr>
        <w:t xml:space="preserve">La réaction : qu'as-tu dit, fait, ressenti après cet assentiment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lendemain matin, relis tes notes et demande-toi : si j'avais suspendu mon assentiment un moment (epochê), qu'aurais-je fait différemment ?</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L'objectif n'est pas de supprimer les impressions — elles arrivent sans qu'on les choisisse — mais de remarquer l'intervalle (même infime) entre l'impression et l'assentiment. Cet intervalle, c'est l'espace de la liberté stoïcienne. Une réaction violente indique un assentiment précipité (propeteia) : on a traité une impression comme évidente sans l'examiner. La pratique répétée de ce journal renforce la capacité à distinguer ce qui se passe (l'impression) de ce qu'on en fait (l'assentiment).</w:t>
      </w:r>
    </w:p>
    <w:p>
      <w:pPr>
        <w:spacing w:after="160" w:before="160"/>
        <w:jc w:val="center"/>
      </w:pPr>
      <w:r>
        <w:rPr>
          <w:color w:val="CCCCCC"/>
          <w:sz w:val="18"/>
          <w:szCs w:val="18"/>
        </w:rPr>
        <w:t xml:space="preserve">─────────────────────────────────────────</w:t>
      </w:r>
    </w:p>
    <w:p>
      <w:pPr>
        <w:spacing w:after="80" w:before="200"/>
      </w:pPr>
      <w:r>
        <w:rPr>
          <w:rFonts w:ascii="Times New Roman" w:cs="Times New Roman" w:eastAsia="Times New Roman" w:hAnsi="Times New Roman"/>
          <w:b/>
          <w:bCs/>
          <w:color w:val="1F2937"/>
          <w:sz w:val="26"/>
          <w:szCs w:val="26"/>
        </w:rPr>
        <w:t xml:space="preserve">Exercice 3 — Destin et responsabilité : démêler la mèche</w:t>
      </w:r>
    </w:p>
    <w:p>
      <w:pPr>
        <w:spacing w:after="120"/>
        <w:jc w:val="both"/>
      </w:pPr>
      <w:r>
        <w:rPr>
          <w:rFonts w:ascii="Times New Roman" w:cs="Times New Roman" w:eastAsia="Times New Roman" w:hAnsi="Times New Roman"/>
          <w:b w:val="false"/>
          <w:bCs w:val="false"/>
          <w:i/>
          <w:iCs/>
          <w:color w:val="1F2937"/>
          <w:sz w:val="22"/>
          <w:szCs w:val="22"/>
        </w:rPr>
        <w:t xml:space="preserve">Durée estimée : 20 minutes. Exercice de réflexion philosophique.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Lis les deux affirmations suivantes et réponds aux 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(A) « Tout est déterminé par le logos. Aucun événement ne pouvait se passer autrement. »</w:t>
      </w:r>
    </w:p>
    <w:p>
      <w:pPr>
        <w:pStyle w:val="ListParagraph"/>
        <w:numPr>
          <w:ilvl w:val="0"/>
          <w:numId w:val="1"/>
        </w:numPr>
        <w:spacing w:after="80"/>
      </w:pPr>
      <w:r>
        <w:rPr>
          <w:rFonts w:ascii="Times New Roman" w:cs="Times New Roman" w:eastAsia="Times New Roman" w:hAnsi="Times New Roman"/>
          <w:color w:val="1F2937"/>
          <w:sz w:val="22"/>
          <w:szCs w:val="22"/>
        </w:rPr>
        <w:t xml:space="preserve">(B) « Tu es responsable de tes jugements, de tes désirs, de tes actes. »</w:t>
      </w:r>
    </w:p>
    <w:p>
      <w:pPr>
        <w:spacing w:after="80"/>
      </w:pPr>
    </w:p>
    <w:p>
      <w:pPr>
        <w:spacing w:after="120"/>
        <w:jc w:val="both"/>
      </w:pPr>
      <w:r>
        <w:rPr>
          <w:rFonts w:ascii="Times New Roman" w:cs="Times New Roman" w:eastAsia="Times New Roman" w:hAnsi="Times New Roman"/>
          <w:b w:val="false"/>
          <w:bCs w:val="false"/>
          <w:i w:val="false"/>
          <w:iCs w:val="false"/>
          <w:color w:val="1F2937"/>
          <w:sz w:val="22"/>
          <w:szCs w:val="22"/>
        </w:rPr>
        <w:t xml:space="preserve">Questions :</w:t>
      </w:r>
    </w:p>
    <w:p>
      <w:pPr>
        <w:pStyle w:val="ListParagraph"/>
        <w:numPr>
          <w:ilvl w:val="0"/>
          <w:numId w:val="1"/>
        </w:numPr>
        <w:spacing w:after="80"/>
      </w:pPr>
      <w:r>
        <w:rPr>
          <w:rFonts w:ascii="Times New Roman" w:cs="Times New Roman" w:eastAsia="Times New Roman" w:hAnsi="Times New Roman"/>
          <w:color w:val="1F2937"/>
          <w:sz w:val="22"/>
          <w:szCs w:val="22"/>
        </w:rPr>
        <w:t xml:space="preserve">Ces deux affirmations te semblent-elles contradictoires ? Pourquoi ?</w:t>
      </w:r>
    </w:p>
    <w:p>
      <w:pPr>
        <w:pStyle w:val="ListParagraph"/>
        <w:numPr>
          <w:ilvl w:val="0"/>
          <w:numId w:val="1"/>
        </w:numPr>
        <w:spacing w:after="80"/>
      </w:pPr>
      <w:r>
        <w:rPr>
          <w:rFonts w:ascii="Times New Roman" w:cs="Times New Roman" w:eastAsia="Times New Roman" w:hAnsi="Times New Roman"/>
          <w:color w:val="1F2937"/>
          <w:sz w:val="22"/>
          <w:szCs w:val="22"/>
        </w:rPr>
        <w:t xml:space="preserve">Explique avec la métaphore du cylindre comment Chrysippe concilie (A) et (B).</w:t>
      </w:r>
    </w:p>
    <w:p>
      <w:pPr>
        <w:pStyle w:val="ListParagraph"/>
        <w:numPr>
          <w:ilvl w:val="0"/>
          <w:numId w:val="1"/>
        </w:numPr>
        <w:spacing w:after="80"/>
      </w:pPr>
      <w:r>
        <w:rPr>
          <w:rFonts w:ascii="Times New Roman" w:cs="Times New Roman" w:eastAsia="Times New Roman" w:hAnsi="Times New Roman"/>
          <w:color w:val="1F2937"/>
          <w:sz w:val="22"/>
          <w:szCs w:val="22"/>
        </w:rPr>
        <w:t xml:space="preserve">Selon toi, cette conciliation est-elle convaincante ? Quelle objection pourrait-on lui adresser ?</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(A) et (B) ne sont contradictoires que si on suppose que responsabilité = absence de déterminisme. Les stoïciens rejettent cette supposition : la responsabilité ne requiert pas que les choses auraient pu être autrement, mais que notre propre nature est une des causes de ce qui arrive. Le cylindre roule selon sa forme — cette forme n'est pas « libre » au sens libertarien, mais elle est bien cause de la trajectoire. De même, notre caractère (ethos) est cause de nos assentiments. Objection possible : si notre caractère lui-même est déterminé par des causes antérieures, la régression infinie ne laisse aucune prise à la responsabilité. Les stoïciens répondraient que c'est confondre la question de l'origine du caractère avec celle de l'identité de la cause — mais le débat reste ouvert et les philosophes contemporains y reviennent encore.</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Challenge — Intégrer les trois disciplines</w:t>
      </w:r>
    </w:p>
    <w:p>
      <w:pPr>
        <w:spacing w:after="120"/>
        <w:jc w:val="both"/>
      </w:pPr>
      <w:r>
        <w:rPr>
          <w:rFonts w:ascii="Times New Roman" w:cs="Times New Roman" w:eastAsia="Times New Roman" w:hAnsi="Times New Roman"/>
          <w:b w:val="false"/>
          <w:bCs w:val="false"/>
          <w:i/>
          <w:iCs/>
          <w:color w:val="1F2937"/>
          <w:sz w:val="22"/>
          <w:szCs w:val="22"/>
        </w:rPr>
        <w:t xml:space="preserve">Durée estimée : 30-45 minutes. Exercice de synthèse.</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parcours stoïcisme a constamment mentionné les « trois disciplines » (physique, logique, éthique). Cette leçon t'a donné les outils pour comprendre pourquoi elles forment un système et non trois domaines séparés.</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Rédige en 250-400 mots un texte argumenté répondant à cette question :</w:t>
      </w:r>
    </w:p>
    <w:p>
      <w:pPr>
        <w:shd w:fill="F3F4F6" w:val="clear"/>
        <w:spacing w:after="160" w:before="100"/>
        <w:ind w:left="576" w:right="576"/>
      </w:pPr>
      <w:r>
        <w:rPr>
          <w:rFonts w:ascii="Times New Roman" w:cs="Times New Roman" w:eastAsia="Times New Roman" w:hAnsi="Times New Roman"/>
          <w:i/>
          <w:iCs/>
          <w:color w:val="1B3A6B"/>
          <w:sz w:val="22"/>
          <w:szCs w:val="22"/>
        </w:rPr>
        <w:t xml:space="preserve">« En quoi la physique stoïcienne (logos, heimarmenê) rend-elle nécessaire la pratique de l'assentiment suspendu comme exercice éthique quotidien ?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Critères de réussite :</w:t>
      </w:r>
    </w:p>
    <w:p>
      <w:pPr>
        <w:pStyle w:val="ListParagraph"/>
        <w:numPr>
          <w:ilvl w:val="0"/>
          <w:numId w:val="1"/>
        </w:numPr>
        <w:spacing w:after="80"/>
      </w:pPr>
      <w:r>
        <w:rPr>
          <w:rFonts w:ascii="Times New Roman" w:cs="Times New Roman" w:eastAsia="Times New Roman" w:hAnsi="Times New Roman"/>
          <w:color w:val="1F2937"/>
          <w:sz w:val="22"/>
          <w:szCs w:val="22"/>
        </w:rPr>
        <w:t xml:space="preserve">Tu mobilises au moins trois concepts de la leçon (logos, heimarmenê, sunkatathesis) ;</w:t>
      </w:r>
    </w:p>
    <w:p>
      <w:pPr>
        <w:pStyle w:val="ListParagraph"/>
        <w:numPr>
          <w:ilvl w:val="0"/>
          <w:numId w:val="1"/>
        </w:numPr>
        <w:spacing w:after="80"/>
      </w:pPr>
      <w:r>
        <w:rPr>
          <w:rFonts w:ascii="Times New Roman" w:cs="Times New Roman" w:eastAsia="Times New Roman" w:hAnsi="Times New Roman"/>
          <w:color w:val="1F2937"/>
          <w:sz w:val="22"/>
          <w:szCs w:val="22"/>
        </w:rPr>
        <w:t xml:space="preserve">Tu expliques le lien de nécessité, pas seulement de cohérence ;</w:t>
      </w:r>
    </w:p>
    <w:p>
      <w:pPr>
        <w:pStyle w:val="ListParagraph"/>
        <w:numPr>
          <w:ilvl w:val="0"/>
          <w:numId w:val="1"/>
        </w:numPr>
        <w:spacing w:after="80"/>
      </w:pPr>
      <w:r>
        <w:rPr>
          <w:rFonts w:ascii="Times New Roman" w:cs="Times New Roman" w:eastAsia="Times New Roman" w:hAnsi="Times New Roman"/>
          <w:color w:val="1F2937"/>
          <w:sz w:val="22"/>
          <w:szCs w:val="22"/>
        </w:rPr>
        <w:t xml:space="preserve">Tu proposes un exemple concret tiré de ton expérience ou d'une situation imaginée.</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Corrigé orienté :</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La connexion de nécessité est la suivante : si le logos gouverne tout, y compris les impressions qui me parviennent, alors ces impressions sont déterminées — je ne les choisis pas. Mais si l'assentiment que je leur donne dépend de ma propre nature (cause principale), alors perfectionner ma nature rationnelle est la seule action qui reste « en mon pouvoir ». Or perfectionner la nature rationnelle, c'est précisément apprendre à ne donner son assentiment qu'aux impressions cataleptiques — c'est-à-dire à celles qui correspondent à la réalité. La physique rend donc l'exercice de l'assentiment suspendu non seulement utile mais nécessaire : c'est le seul point où l'agent humain peut agir conformément au logos, puisque tout le reste est déjà ordonné par lui. La suspension de l'assentiment (epochê) n'est pas une timidité intellectuelle — c'est l'acte le plus conforme au logos qu'un être rationnel puisse accomplir dans un cosmos déterminé.</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Pont pro (optionnel)</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Le mécanisme de l'assentiment a un pendant discret dans le travail de cadre : face à une situation difficile (conflit d'équipe, incident, demande pressante), la première impression n'est pas toujours juste. Marquer une pause avant de répondre — l'équivalent fonctionnel de l'epochê — diminue le risque de décision précipitée et améliore la qualité du jugement. Ce n'est pas un apport du stoïcisme à l'ESSMS, c'est simplement une bonne pratique de conduite de réunion et de gestion de la pression institutionnelle que le stoïcisme conceptualise avec précision.</w:t>
      </w:r>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Ressources pour approfondir</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Toutes les URLs ci-dessous ont été vérifiées le 10 septembre 2026 (HTTP 200).</w:t>
      </w:r>
    </w:p>
    <w:p>
      <w:pPr>
        <w:spacing w:after="100"/>
      </w:pPr>
    </w:p>
    <w:p>
      <w:pPr>
        <w:spacing w:after="120"/>
        <w:jc w:val="both"/>
      </w:pPr>
      <w:r>
        <w:rPr>
          <w:rFonts w:ascii="Times New Roman" w:cs="Times New Roman" w:eastAsia="Times New Roman" w:hAnsi="Times New Roman"/>
          <w:b/>
          <w:bCs/>
          <w:i w:val="false"/>
          <w:iCs w:val="false"/>
          <w:color w:val="1F2937"/>
          <w:sz w:val="22"/>
          <w:szCs w:val="22"/>
        </w:rPr>
        <w:t xml:space="preserve">Sources primaires :</w:t>
      </w:r>
    </w:p>
    <w:p>
      <w:pPr>
        <w:spacing w:after="80"/>
      </w:pPr>
      <w:r>
        <w:rPr>
          <w:rFonts w:ascii="Times New Roman" w:cs="Times New Roman" w:eastAsia="Times New Roman" w:hAnsi="Times New Roman"/>
          <w:color w:val="1F2937"/>
          <w:sz w:val="22"/>
          <w:szCs w:val="22"/>
        </w:rPr>
        <w:t xml:space="preserve">• </w:t>
      </w:r>
      <w:hyperlink w:history="1" r:id="rIdur64mbbjq7nepthivq0mp">
        <w:r>
          <w:rPr>
            <w:rFonts w:ascii="Times New Roman" w:cs="Times New Roman" w:eastAsia="Times New Roman" w:hAnsi="Times New Roman"/>
            <w:color w:val="1155CC"/>
            <w:sz w:val="22"/>
            <w:szCs w:val="22"/>
            <w:u w:val="single"/>
          </w:rPr>
          <w:t xml:space="preserve">Diogène Laërce, Vies des philosophes éminents, Livre VII (trad. Hicks — Wikisource)</w:t>
        </w:r>
      </w:hyperlink>
    </w:p>
    <w:p>
      <w:pPr>
        <w:spacing w:after="80"/>
      </w:pPr>
    </w:p>
    <w:p>
      <w:pPr>
        <w:spacing w:after="120"/>
        <w:jc w:val="both"/>
      </w:pPr>
      <w:r>
        <w:rPr>
          <w:rFonts w:ascii="Times New Roman" w:cs="Times New Roman" w:eastAsia="Times New Roman" w:hAnsi="Times New Roman"/>
          <w:b/>
          <w:bCs/>
          <w:i w:val="false"/>
          <w:iCs w:val="false"/>
          <w:color w:val="1F2937"/>
          <w:sz w:val="22"/>
          <w:szCs w:val="22"/>
        </w:rPr>
        <w:t xml:space="preserve">Encyclopédies philosophiques :</w:t>
      </w:r>
    </w:p>
    <w:p>
      <w:pPr>
        <w:spacing w:after="80"/>
      </w:pPr>
      <w:r>
        <w:rPr>
          <w:rFonts w:ascii="Times New Roman" w:cs="Times New Roman" w:eastAsia="Times New Roman" w:hAnsi="Times New Roman"/>
          <w:color w:val="1F2937"/>
          <w:sz w:val="22"/>
          <w:szCs w:val="22"/>
        </w:rPr>
        <w:t xml:space="preserve">• </w:t>
      </w:r>
      <w:hyperlink w:history="1" r:id="rIdoeugd3qj__tw8piq5yxh7">
        <w:r>
          <w:rPr>
            <w:rFonts w:ascii="Times New Roman" w:cs="Times New Roman" w:eastAsia="Times New Roman" w:hAnsi="Times New Roman"/>
            <w:color w:val="1155CC"/>
            <w:sz w:val="22"/>
            <w:szCs w:val="22"/>
            <w:u w:val="single"/>
          </w:rPr>
          <w:t xml:space="preserve">Stanford Encyclopedia of Philosophy — Stoicism (physique et logique : sections 2.3, 2.7, 2.8, 2.9, 3.2)</w:t>
        </w:r>
      </w:hyperlink>
    </w:p>
    <w:p>
      <w:pPr>
        <w:spacing w:after="80"/>
      </w:pPr>
      <w:r>
        <w:rPr>
          <w:rFonts w:ascii="Times New Roman" w:cs="Times New Roman" w:eastAsia="Times New Roman" w:hAnsi="Times New Roman"/>
          <w:color w:val="1F2937"/>
          <w:sz w:val="22"/>
          <w:szCs w:val="22"/>
        </w:rPr>
        <w:t xml:space="preserve">• </w:t>
      </w:r>
      <w:hyperlink w:history="1" r:id="rIdj-onyrwkxeyauti27opjj">
        <w:r>
          <w:rPr>
            <w:rFonts w:ascii="Times New Roman" w:cs="Times New Roman" w:eastAsia="Times New Roman" w:hAnsi="Times New Roman"/>
            <w:color w:val="1155CC"/>
            <w:sz w:val="22"/>
            <w:szCs w:val="22"/>
            <w:u w:val="single"/>
          </w:rPr>
          <w:t xml:space="preserve">Stoicism — Massimo Pigliucci, Internet Encyclopedia of Philosophy (physique et logique stoïciennes)</w:t>
        </w:r>
      </w:hyperlink>
    </w:p>
    <w:p>
      <w:pPr>
        <w:spacing w:after="80"/>
      </w:pPr>
    </w:p>
    <w:p>
      <w:pPr>
        <w:spacing w:after="120"/>
        <w:jc w:val="both"/>
      </w:pPr>
      <w:r>
        <w:rPr>
          <w:rFonts w:ascii="Times New Roman" w:cs="Times New Roman" w:eastAsia="Times New Roman" w:hAnsi="Times New Roman"/>
          <w:b/>
          <w:bCs/>
          <w:i w:val="false"/>
          <w:iCs w:val="false"/>
          <w:color w:val="1F2937"/>
          <w:sz w:val="22"/>
          <w:szCs w:val="22"/>
        </w:rPr>
        <w:t xml:space="preserve">Articles thématiques :</w:t>
      </w:r>
    </w:p>
    <w:p>
      <w:pPr>
        <w:spacing w:after="80"/>
      </w:pPr>
      <w:r>
        <w:rPr>
          <w:rFonts w:ascii="Times New Roman" w:cs="Times New Roman" w:eastAsia="Times New Roman" w:hAnsi="Times New Roman"/>
          <w:color w:val="1F2937"/>
          <w:sz w:val="22"/>
          <w:szCs w:val="22"/>
        </w:rPr>
        <w:t xml:space="preserve">• </w:t>
      </w:r>
      <w:hyperlink w:history="1" r:id="rIdtdyzzvj05pmusfczwjbmw">
        <w:r>
          <w:rPr>
            <w:rFonts w:ascii="Times New Roman" w:cs="Times New Roman" w:eastAsia="Times New Roman" w:hAnsi="Times New Roman"/>
            <w:color w:val="1155CC"/>
            <w:sz w:val="22"/>
            <w:szCs w:val="22"/>
            <w:u w:val="single"/>
          </w:rPr>
          <w:t xml:space="preserve">Wikipedia — Stoic Physics (logos, pneuma, Ekpyrosis — heimarmenê n'est pas sur cette page : le terme vient du glossaire du College of Stoic Philosophers, ci-dessous)</w:t>
        </w:r>
      </w:hyperlink>
    </w:p>
    <w:p>
      <w:pPr>
        <w:spacing w:after="80"/>
      </w:pPr>
      <w:r>
        <w:rPr>
          <w:rFonts w:ascii="Times New Roman" w:cs="Times New Roman" w:eastAsia="Times New Roman" w:hAnsi="Times New Roman"/>
          <w:color w:val="1F2937"/>
          <w:sz w:val="22"/>
          <w:szCs w:val="22"/>
        </w:rPr>
        <w:t xml:space="preserve">• </w:t>
      </w:r>
      <w:hyperlink w:history="1" r:id="rIdrpojtuo0o5xgxfybt4obx">
        <w:r>
          <w:rPr>
            <w:rFonts w:ascii="Times New Roman" w:cs="Times New Roman" w:eastAsia="Times New Roman" w:hAnsi="Times New Roman"/>
            <w:color w:val="1155CC"/>
            <w:sz w:val="22"/>
            <w:szCs w:val="22"/>
            <w:u w:val="single"/>
          </w:rPr>
          <w:t xml:space="preserve">Wikipedia — Stoicism (vue d'ensemble, section Metaphysics)</w:t>
        </w:r>
      </w:hyperlink>
    </w:p>
    <w:p>
      <w:pPr>
        <w:spacing w:after="80"/>
      </w:pPr>
      <w:r>
        <w:rPr>
          <w:rFonts w:ascii="Times New Roman" w:cs="Times New Roman" w:eastAsia="Times New Roman" w:hAnsi="Times New Roman"/>
          <w:color w:val="1F2937"/>
          <w:sz w:val="22"/>
          <w:szCs w:val="22"/>
        </w:rPr>
        <w:t xml:space="preserve">• </w:t>
      </w:r>
      <w:hyperlink w:history="1" r:id="rIddlmrxulhymvddga2-mpif">
        <w:r>
          <w:rPr>
            <w:rFonts w:ascii="Times New Roman" w:cs="Times New Roman" w:eastAsia="Times New Roman" w:hAnsi="Times New Roman"/>
            <w:color w:val="1155CC"/>
            <w:sz w:val="22"/>
            <w:szCs w:val="22"/>
            <w:u w:val="single"/>
          </w:rPr>
          <w:t xml:space="preserve">College of Stoic Philosophers — Glossary (termes techniques grecs)</w:t>
        </w:r>
      </w:hyperlink>
    </w:p>
    <w:p>
      <w:pPr>
        <w:spacing w:after="160" w:before="160"/>
        <w:jc w:val="center"/>
      </w:pPr>
      <w:r>
        <w:rPr>
          <w:color w:val="CCCCCC"/>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Prochaine leçon</w:t>
      </w:r>
    </w:p>
    <w:p>
      <w:pPr>
        <w:spacing w:after="120"/>
        <w:jc w:val="both"/>
      </w:pPr>
      <w:r>
        <w:rPr>
          <w:rFonts w:ascii="Times New Roman" w:cs="Times New Roman" w:eastAsia="Times New Roman" w:hAnsi="Times New Roman"/>
          <w:b/>
          <w:bCs/>
          <w:i w:val="false"/>
          <w:iCs w:val="false"/>
          <w:color w:val="1F2937"/>
          <w:sz w:val="22"/>
          <w:szCs w:val="22"/>
        </w:rPr>
        <w:t xml:space="preserve">Leçon 15 / 20 — Le devoir (kathêkon) et l'engagement dans la cité.</w:t>
      </w:r>
    </w:p>
    <w:p>
      <w:pPr>
        <w:spacing w:after="120"/>
        <w:jc w:val="both"/>
      </w:pPr>
      <w:r>
        <w:rPr>
          <w:rFonts w:ascii="Times New Roman" w:cs="Times New Roman" w:eastAsia="Times New Roman" w:hAnsi="Times New Roman"/>
          <w:b w:val="false"/>
          <w:bCs w:val="false"/>
          <w:i w:val="false"/>
          <w:iCs w:val="false"/>
          <w:color w:val="1F2937"/>
          <w:sz w:val="22"/>
          <w:szCs w:val="22"/>
        </w:rPr>
        <w:t xml:space="preserve">Après avoir posé les fondements cosmologiques et épistémologiques du stoïcisme, on passera à leur traduction politique et sociale : qu'est-ce que le devoir approprié (kathêkon) ? Comment les stoïciens concevaient-ils l'engagement dans la vie civique ? Marc Aurèle en est l'exemple le plus accompli — un philosophe stoïcien à la tête de l'Empire.</w:t>
      </w:r>
    </w:p>
    <w:p>
      <w:pPr>
        <w:pStyle w:val="Heading2"/>
        <w:spacing w:after="80" w:before="240"/>
      </w:pPr>
      <w:r>
        <w:rPr>
          <w:rFonts w:ascii="Times New Roman" w:cs="Times New Roman" w:eastAsia="Times New Roman" w:hAnsi="Times New Roman"/>
          <w:b/>
          <w:bCs/>
          <w:color w:val="1B3A6B"/>
          <w:sz w:val="30"/>
          <w:szCs w:val="30"/>
        </w:rPr>
        <w:t xml:space="preserve">📝 Journal des corrections</w:t>
      </w:r>
    </w:p>
    <w:p>
      <w:pPr>
        <w:spacing w:after="80"/>
      </w:pPr>
      <w:r>
        <w:rPr>
          <w:rFonts w:ascii="Times New Roman" w:cs="Times New Roman" w:eastAsia="Times New Roman" w:hAnsi="Times New Roman"/>
          <w:color w:val="1F2937"/>
          <w:sz w:val="22"/>
          <w:szCs w:val="22"/>
        </w:rPr>
        <w:t xml:space="preserve">Corrigée le 24/09/2026. Les pages ont été rouvertes ; les formulations d'origine sont conservées ici, et seulement ici.</w:t>
      </w:r>
    </w:p>
    <w:p>
      <w:pPr>
        <w:spacing w:after="80"/>
      </w:pPr>
      <w:r>
        <w:rPr>
          <w:rFonts w:ascii="Times New Roman" w:cs="Times New Roman" w:eastAsia="Times New Roman" w:hAnsi="Times New Roman"/>
          <w:color w:val="1F2937"/>
          <w:sz w:val="22"/>
          <w:szCs w:val="22"/>
        </w:rPr>
        <w:t xml:space="preserve">① « Internet Encyclopedia of Philosophy — Stoicism » → l'article est signé Massimo Pigliucci (City University of New York), dont la signature figure en fin de page sous « Author Information ». Une encyclopédie publie, elle n'écrit pas.</w:t>
      </w:r>
    </w:p>
    <w:p>
      <w:pPr>
        <w:spacing w:after="80"/>
      </w:pPr>
      <w:r>
        <w:rPr>
          <w:rFonts w:ascii="Times New Roman" w:cs="Times New Roman" w:eastAsia="Times New Roman" w:hAnsi="Times New Roman"/>
          <w:color w:val="1F2937"/>
          <w:sz w:val="22"/>
          <w:szCs w:val="22"/>
        </w:rPr>
        <w:t xml:space="preserve">② « La cause principale et parfaite (our own nature) » → la Stanford Encyclopedia, citée quatre paragraphes plus bas pour cette position, écrit « auxiliary and proximate » d'après Cicéron (62C) et explique le reste par « their own nature ». La formule « principale et parfaite » vient de la terminologie latine, pas de la page : c'est précisé sur place.</w:t>
      </w:r>
    </w:p>
    <w:p>
      <w:pPr>
        <w:spacing w:after="80"/>
      </w:pPr>
      <w:r>
        <w:rPr>
          <w:rFonts w:ascii="Times New Roman" w:cs="Times New Roman" w:eastAsia="Times New Roman" w:hAnsi="Times New Roman"/>
          <w:color w:val="1F2937"/>
          <w:sz w:val="22"/>
          <w:szCs w:val="22"/>
        </w:rPr>
        <w:t xml:space="preserve">Vérifié et inchangé : la métaphore du cylindre et du cône, qui est sur la page de la Stanford Encyclopedia mot pour mot (« these cannot begin to move without a push; but once that has happened, he holds that it is thereafter through their own nature that the cylinder rolls and the cone spins »), et l'attribution de la distinction des causes à Chrysippe.</w:t>
      </w:r>
    </w:p>
    <w:p>
      <w:pPr>
        <w:pStyle w:val="Heading2"/>
        <w:spacing w:after="80" w:before="240"/>
      </w:pPr>
      <w:r>
        <w:rPr>
          <w:rFonts w:ascii="Times New Roman" w:cs="Times New Roman" w:eastAsia="Times New Roman" w:hAnsi="Times New Roman"/>
          <w:b/>
          <w:bCs/>
          <w:color w:val="1B3A6B"/>
          <w:sz w:val="30"/>
          <w:szCs w:val="30"/>
        </w:rPr>
        <w:t xml:space="preserve">③ « certains historiens y voient une anticipation de la distinction moderne entre sens et référence (Frege) » → la Stanford Encyclopedia porte une thèse de transmission historique, datée et signée : S. Bobzien (2021), « might have found its way to Gottlob Frege ». « sense and reference » : zéro occurrence sur la page.</w:t>
      </w:r>
    </w:p>
    <w:p>
      <w:pPr>
        <w:pStyle w:val="Heading2"/>
        <w:spacing w:after="80" w:before="240"/>
      </w:pPr>
      <w:r>
        <w:rPr>
          <w:rFonts w:ascii="Times New Roman" w:cs="Times New Roman" w:eastAsia="Times New Roman" w:hAnsi="Times New Roman"/>
          <w:b/>
          <w:bCs/>
          <w:color w:val="1B3A6B"/>
          <w:sz w:val="30"/>
          <w:szCs w:val="30"/>
        </w:rPr>
        <w:t xml:space="preserve">④ « La métaphore du cylindre » → du cylindre ET du cône : la citation reproduite par Stanford dit « the cylinder rolls and the cone spins ».</w:t>
      </w:r>
    </w:p>
    <w:p>
      <w:pPr>
        <w:pStyle w:val="Heading2"/>
        <w:spacing w:after="80" w:before="240"/>
      </w:pPr>
      <w:r>
        <w:rPr>
          <w:rFonts w:ascii="Times New Roman" w:cs="Times New Roman" w:eastAsia="Times New Roman" w:hAnsi="Times New Roman"/>
          <w:b/>
          <w:bCs/>
          <w:color w:val="1B3A6B"/>
          <w:sz w:val="30"/>
          <w:szCs w:val="30"/>
        </w:rPr>
        <w:t xml:space="preserve">⑤ Ressources : « Wikipedia — Stoic Physics (logos, pneuma, ekpyrosis, heimarmenê) » → heimarmenê ne figure pas sur cette page ; le terme est défini par le glossaire du College of Stoic Philosophers, que la leçon cite au § 3 et liste plus bas.</w:t>
      </w:r>
    </w:p>
    <w:p>
      <w:pPr>
        <w:pStyle w:val="Heading2"/>
        <w:spacing w:after="80" w:before="240"/>
      </w:pPr>
      <w:r>
        <w:rPr>
          <w:rFonts w:ascii="Times New Roman" w:cs="Times New Roman" w:eastAsia="Times New Roman" w:hAnsi="Times New Roman"/>
          <w:b/>
          <w:bCs/>
          <w:color w:val="1B3A6B"/>
          <w:sz w:val="30"/>
          <w:szCs w:val="30"/>
        </w:rPr>
        <w:t xml:space="preserve">⑥ Deux coquilles : « Résorbtion » → résorption ; la question du Challenge portait des guillemets doublés.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r64mbbjq7nepthivq0mp" Type="http://schemas.openxmlformats.org/officeDocument/2006/relationships/hyperlink" Target="https://en.wikisource.org/wiki/Lives_of_the_Eminent_Philosophers/Book_VII" TargetMode="External"/><Relationship Id="rIdoeugd3qj__tw8piq5yxh7" Type="http://schemas.openxmlformats.org/officeDocument/2006/relationships/hyperlink" Target="https://plato.stanford.edu/entries/stoicism/" TargetMode="External"/><Relationship Id="rIdj-onyrwkxeyauti27opjj" Type="http://schemas.openxmlformats.org/officeDocument/2006/relationships/hyperlink" Target="https://iep.utm.edu/stoicism/" TargetMode="External"/><Relationship Id="rIdtdyzzvj05pmusfczwjbmw" Type="http://schemas.openxmlformats.org/officeDocument/2006/relationships/hyperlink" Target="https://en.wikipedia.org/wiki/Stoic_physics" TargetMode="External"/><Relationship Id="rIdrpojtuo0o5xgxfybt4obx" Type="http://schemas.openxmlformats.org/officeDocument/2006/relationships/hyperlink" Target="https://en.wikipedia.org/wiki/Stoicism" TargetMode="External"/><Relationship Id="rIddlmrxulhymvddga2-mpif" Type="http://schemas.openxmlformats.org/officeDocument/2006/relationships/hyperlink" Target="https://collegeofstoicphilosophers.org/stoic-glossary/"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2026-09-10T06:08:48.764Z</dcterms:created>
  <dcterms:modified xsi:type="dcterms:W3CDTF">2026-09-10T06:08:48.765Z</dcterms:modified>
</cp:coreProperties>
</file>

<file path=docProps/custom.xml><?xml version="1.0" encoding="utf-8"?>
<Properties xmlns="http://schemas.openxmlformats.org/officeDocument/2006/custom-properties" xmlns:vt="http://schemas.openxmlformats.org/officeDocument/2006/docPropsVTypes"/>
</file>