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before="200"/>
        <w:jc w:val="center"/>
      </w:pPr>
      <w:r>
        <w:rPr>
          <w:rFonts w:ascii="Times New Roman" w:cs="Times New Roman" w:eastAsia="Times New Roman" w:hAnsi="Times New Roman"/>
          <w:b/>
          <w:bCs/>
          <w:color w:val="1B3A6B"/>
          <w:sz w:val="52"/>
          <w:szCs w:val="52"/>
        </w:rPr>
        <w:t xml:space="preserve">Leçon Stoïcisme n°15 — Le devoir (kathêkon) et l'engagement dans la cité</w:t>
      </w:r>
    </w:p>
    <w:p>
      <w:pPr>
        <w:spacing w:after="240"/>
        <w:jc w:val="center"/>
      </w:pPr>
      <w:r>
        <w:rPr>
          <w:rFonts w:ascii="Times New Roman" w:cs="Times New Roman" w:eastAsia="Times New Roman" w:hAnsi="Times New Roman"/>
          <w:i/>
          <w:iCs/>
          <w:color w:val="1F2937"/>
          <w:sz w:val="22"/>
          <w:szCs w:val="22"/>
        </w:rPr>
        <w:t xml:space="preserve">17 septembre 2026  ·  Leçon 15 / 20</w:t>
      </w:r>
    </w:p>
    <w:p>
      <w:pPr>
        <w:pBdr>
          <w:bottom w:val="single" w:color="1B3A6B" w:sz="6" w:space="4"/>
        </w:pBdr>
        <w:spacing w:after="240" w:before="240"/>
      </w:pPr>
    </w:p>
    <w:p>
      <w:pPr>
        <w:spacing w:after="160" w:before="400"/>
      </w:pPr>
      <w:r>
        <w:rPr>
          <w:rFonts w:ascii="Times New Roman" w:cs="Times New Roman" w:eastAsia="Times New Roman" w:hAnsi="Times New Roman"/>
          <w:b/>
          <w:bCs/>
          <w:color w:val="1B3A6B"/>
          <w:sz w:val="30"/>
          <w:szCs w:val="30"/>
        </w:rPr>
        <w:t xml:space="preserve">🎯 Objectif &amp; continuité</w:t>
      </w:r>
    </w:p>
    <w:p>
      <w:pPr>
        <w:spacing w:after="120"/>
      </w:pPr>
      <w:r>
        <w:rPr>
          <w:rFonts w:ascii="Times New Roman" w:cs="Times New Roman" w:eastAsia="Times New Roman" w:hAnsi="Times New Roman"/>
          <w:color w:val="1F2937"/>
          <w:sz w:val="22"/>
          <w:szCs w:val="22"/>
        </w:rPr>
        <w:t xml:space="preserve">À l'issue de cette leçon, tu sauras :</w:t>
      </w:r>
    </w:p>
    <w:p>
      <w:pPr>
        <w:pStyle w:val="ListParagraph"/>
        <w:numPr>
          <w:ilvl w:val="0"/>
          <w:numId w:val="1"/>
        </w:numPr>
        <w:spacing w:after="80"/>
      </w:pPr>
      <w:r>
        <w:rPr>
          <w:rFonts w:ascii="Times New Roman" w:cs="Times New Roman" w:eastAsia="Times New Roman" w:hAnsi="Times New Roman"/>
          <w:color w:val="1F2937"/>
          <w:sz w:val="22"/>
          <w:szCs w:val="22"/>
        </w:rPr>
        <w:t xml:space="preserve">distinguer le kathêkon (l'action appropriée, accessible à tous) du katorthôma (l'acte parfaitement vertueux, réservé au sage) ;</w:t>
      </w:r>
    </w:p>
    <w:p>
      <w:pPr>
        <w:pStyle w:val="ListParagraph"/>
        <w:numPr>
          <w:ilvl w:val="0"/>
          <w:numId w:val="1"/>
        </w:numPr>
        <w:spacing w:after="80"/>
      </w:pPr>
      <w:r>
        <w:rPr>
          <w:rFonts w:ascii="Times New Roman" w:cs="Times New Roman" w:eastAsia="Times New Roman" w:hAnsi="Times New Roman"/>
          <w:color w:val="1F2937"/>
          <w:sz w:val="22"/>
          <w:szCs w:val="22"/>
        </w:rPr>
        <w:t xml:space="preserve">identifier les rôles qui structurent tes obligations concrètes et les hiérarchiser ;</w:t>
      </w:r>
    </w:p>
    <w:p>
      <w:pPr>
        <w:pStyle w:val="ListParagraph"/>
        <w:numPr>
          <w:ilvl w:val="0"/>
          <w:numId w:val="1"/>
        </w:numPr>
        <w:spacing w:after="80"/>
      </w:pPr>
      <w:r>
        <w:rPr>
          <w:rFonts w:ascii="Times New Roman" w:cs="Times New Roman" w:eastAsia="Times New Roman" w:hAnsi="Times New Roman"/>
          <w:color w:val="1F2937"/>
          <w:sz w:val="22"/>
          <w:szCs w:val="22"/>
        </w:rPr>
        <w:t xml:space="preserve">situer l'engagement civique dans la logique cosmique stoïcienne — du logos partagé aux devoirs sociaux qui en découlent.</w:t>
      </w:r>
    </w:p>
    <w:p>
      <w:pPr>
        <w:spacing w:after="80"/>
      </w:pPr>
    </w:p>
    <w:p>
      <w:pPr>
        <w:spacing w:after="120"/>
      </w:pPr>
      <w:r>
        <w:rPr>
          <w:rFonts w:ascii="Times New Roman" w:cs="Times New Roman" w:eastAsia="Times New Roman" w:hAnsi="Times New Roman"/>
          <w:color w:val="1F2937"/>
          <w:sz w:val="22"/>
          <w:szCs w:val="22"/>
        </w:rPr>
        <w:t xml:space="preserve">Continuité avec la leçon 14 : la leçon précédente (Physique et logique stoïciennes) établissait que le logos divin ordonne le cosmos et unit tous les êtres rationnels. La leçon d'aujourd'hui descend de ce cosmos vers l'action quotidienne : si nous partageons tous le même logos, quelles obligations pratiques cela génère-t-il envers autrui ?</w:t>
      </w:r>
    </w:p>
    <w:p>
      <w:pPr>
        <w:pBdr>
          <w:bottom w:val="single" w:color="1B3A6B" w:sz="6" w:space="4"/>
        </w:pBdr>
        <w:spacing w:after="240" w:before="240"/>
      </w:pPr>
    </w:p>
    <w:p>
      <w:pPr>
        <w:spacing w:after="160" w:before="400"/>
      </w:pPr>
      <w:r>
        <w:rPr>
          <w:rFonts w:ascii="Times New Roman" w:cs="Times New Roman" w:eastAsia="Times New Roman" w:hAnsi="Times New Roman"/>
          <w:b/>
          <w:bCs/>
          <w:color w:val="1B3A6B"/>
          <w:sz w:val="30"/>
          <w:szCs w:val="30"/>
        </w:rPr>
        <w:t xml:space="preserve">🔬 Théorie (20 %)</w:t>
      </w:r>
    </w:p>
    <w:p>
      <w:pPr>
        <w:spacing w:after="120" w:before="280"/>
      </w:pPr>
      <w:r>
        <w:rPr>
          <w:rFonts w:ascii="Times New Roman" w:cs="Times New Roman" w:eastAsia="Times New Roman" w:hAnsi="Times New Roman"/>
          <w:b/>
          <w:bCs/>
          <w:color w:val="1F2937"/>
          <w:sz w:val="26"/>
          <w:szCs w:val="26"/>
        </w:rPr>
        <w:t xml:space="preserve">1. Le kathêkon — définition et origine</w:t>
      </w:r>
    </w:p>
    <w:p>
      <w:pPr>
        <w:spacing w:after="120"/>
      </w:pPr>
      <w:r>
        <w:rPr>
          <w:rFonts w:ascii="Times New Roman" w:cs="Times New Roman" w:eastAsia="Times New Roman" w:hAnsi="Times New Roman"/>
          <w:color w:val="1F2937"/>
          <w:sz w:val="22"/>
          <w:szCs w:val="22"/>
        </w:rPr>
        <w:t xml:space="preserve">Le terme grec kathêkon (καθῆκον) signifie littéralement « ce qui incombe », « ce qui convient ». Il désigne l'action appropriée qu'un être vivant doit accomplir selon sa nature et selon les rôles qui sont les siens — père, citoyen, ami, philosophe. Zénon de Kition aurait introduit le concept dans le stoïcisme ; Chrysippe l'a systématisé.</w:t>
      </w:r>
    </w:p>
    <w:p>
      <w:pPr>
        <w:spacing w:after="120"/>
      </w:pPr>
      <w:r>
        <w:rPr>
          <w:rFonts w:ascii="Times New Roman" w:cs="Times New Roman" w:eastAsia="Times New Roman" w:hAnsi="Times New Roman"/>
          <w:color w:val="1F2937"/>
          <w:sz w:val="22"/>
          <w:szCs w:val="22"/>
        </w:rPr>
        <w:t xml:space="preserve">Fait notable : le kathêkon ne s'applique pas seulement aux humains. Les plantes et les animaux accomplissent aussi leur kathêkon en suivant leur nature propre. Mais chez les êtres rationnels, le kathêkon implique une délibération consciente : il faut identifier ce qui convient dans cette situation, avec ces rôles, selon la raison.</w:t>
      </w:r>
    </w:p>
    <w:p>
      <w:pPr>
        <w:spacing w:after="120" w:before="280"/>
      </w:pPr>
      <w:r>
        <w:rPr>
          <w:rFonts w:ascii="Times New Roman" w:cs="Times New Roman" w:eastAsia="Times New Roman" w:hAnsi="Times New Roman"/>
          <w:b/>
          <w:bCs/>
          <w:color w:val="1F2937"/>
          <w:sz w:val="26"/>
          <w:szCs w:val="26"/>
        </w:rPr>
        <w:t xml:space="preserve">2. Kathêkon et katorthôma : deux régimes de l'action vertueuse</w:t>
      </w:r>
    </w:p>
    <w:p>
      <w:pPr>
        <w:spacing w:after="120"/>
      </w:pPr>
      <w:r>
        <w:rPr>
          <w:rFonts w:ascii="Times New Roman" w:cs="Times New Roman" w:eastAsia="Times New Roman" w:hAnsi="Times New Roman"/>
          <w:color w:val="1F2937"/>
          <w:sz w:val="22"/>
          <w:szCs w:val="22"/>
        </w:rPr>
        <w:t xml:space="preserve">Les stoïciens distinguent deux types d'actions moralement positives :</w:t>
      </w:r>
    </w:p>
    <w:p>
      <w:pPr>
        <w:spacing w:after="80"/>
      </w:pPr>
    </w:p>
    <w:p>
      <w:pPr>
        <w:pStyle w:val="ListParagraph"/>
        <w:numPr>
          <w:ilvl w:val="0"/>
          <w:numId w:val="1"/>
        </w:numPr>
        <w:spacing w:after="80"/>
      </w:pPr>
      <w:r>
        <w:rPr>
          <w:rFonts w:ascii="Times New Roman" w:cs="Times New Roman" w:eastAsia="Times New Roman" w:hAnsi="Times New Roman"/>
          <w:b/>
          <w:bCs/>
          <w:color w:val="1F2937"/>
          <w:sz w:val="22"/>
          <w:szCs w:val="22"/>
        </w:rPr>
        <w:t xml:space="preserve">Kathêkon (devoir approprié / action convenable) : </w:t>
      </w:r>
      <w:r>
        <w:rPr>
          <w:rFonts w:ascii="Times New Roman" w:cs="Times New Roman" w:eastAsia="Times New Roman" w:hAnsi="Times New Roman"/>
          <w:color w:val="1F2937"/>
          <w:sz w:val="22"/>
          <w:szCs w:val="22"/>
        </w:rPr>
        <w:t xml:space="preserve">action que n'importe qui peut accomplir, sage ou non. Aider un ami, payer ses dettes, prendre soin de sa famille. Ces actions sont conformes à la raison et à la nature, mais elles peuvent être accomplies sans la plénitude de la vertu.</w:t>
      </w:r>
    </w:p>
    <w:p>
      <w:pPr>
        <w:pStyle w:val="ListParagraph"/>
        <w:numPr>
          <w:ilvl w:val="0"/>
          <w:numId w:val="1"/>
        </w:numPr>
        <w:spacing w:after="80"/>
      </w:pPr>
      <w:r>
        <w:rPr>
          <w:rFonts w:ascii="Times New Roman" w:cs="Times New Roman" w:eastAsia="Times New Roman" w:hAnsi="Times New Roman"/>
          <w:b/>
          <w:bCs/>
          <w:color w:val="1F2937"/>
          <w:sz w:val="22"/>
          <w:szCs w:val="22"/>
        </w:rPr>
        <w:t xml:space="preserve">Katorthôma (acte droit / action parfaite) : </w:t>
      </w:r>
      <w:r>
        <w:rPr>
          <w:rFonts w:ascii="Times New Roman" w:cs="Times New Roman" w:eastAsia="Times New Roman" w:hAnsi="Times New Roman"/>
          <w:color w:val="1F2937"/>
          <w:sz w:val="22"/>
          <w:szCs w:val="22"/>
        </w:rPr>
        <w:t xml:space="preserve">le même acte accompli par le sage, avec une disposition intérieure pleinement vertueuse, sans reste d'habitude, d'intérêt ou de calcul. Le katorthôma est la même aide offerte à un ami, mais avec une bienveillance absolument pure — sans attente de réciprocité, sans satisfaction d'ego.</w:t>
      </w:r>
    </w:p>
    <w:p>
      <w:pPr>
        <w:spacing w:after="80"/>
      </w:pPr>
    </w:p>
    <w:p>
      <w:pPr>
        <w:spacing w:after="120"/>
      </w:pPr>
      <w:r>
        <w:rPr>
          <w:rFonts w:ascii="Times New Roman" w:cs="Times New Roman" w:eastAsia="Times New Roman" w:hAnsi="Times New Roman"/>
          <w:color w:val="1F2937"/>
          <w:sz w:val="22"/>
          <w:szCs w:val="22"/>
        </w:rPr>
        <w:t xml:space="preserve">Implication pratique : presque toutes nos actions vertueuses sont des kathêkon. C'est suffisant pour qu'elles soient moralement souhaitables. L'aspiration au katorthôma est un horizon, non une condition préalable à l'action. On n'attend pas d'être sage pour agir bien.</w:t>
      </w:r>
    </w:p>
    <w:p>
      <w:pPr>
        <w:spacing w:after="120" w:before="280"/>
      </w:pPr>
      <w:r>
        <w:rPr>
          <w:rFonts w:ascii="Times New Roman" w:cs="Times New Roman" w:eastAsia="Times New Roman" w:hAnsi="Times New Roman"/>
          <w:b/>
          <w:bCs/>
          <w:color w:val="1F2937"/>
          <w:sz w:val="26"/>
          <w:szCs w:val="26"/>
        </w:rPr>
        <w:t xml:space="preserve">3. Panétius de Rhodes et le tournant romain</w:t>
      </w:r>
    </w:p>
    <w:p>
      <w:pPr>
        <w:spacing w:after="120"/>
      </w:pPr>
      <w:r>
        <w:rPr>
          <w:rFonts w:ascii="Times New Roman" w:cs="Times New Roman" w:eastAsia="Times New Roman" w:hAnsi="Times New Roman"/>
          <w:color w:val="1F2937"/>
          <w:sz w:val="22"/>
          <w:szCs w:val="22"/>
        </w:rPr>
        <w:t xml:space="preserve">Panétius de Rhodes (vers 185–109 av. J.-C.) incarne ce que les historiens appellent le 'stoïcisme moyen'. Proche du cercle intellectuel de Scipion Émilien à Rome, il est le principal passeur du stoïcisme grec vers la culture romaine.</w:t>
      </w:r>
    </w:p>
    <w:p>
      <w:pPr>
        <w:spacing w:after="120"/>
      </w:pPr>
      <w:r>
        <w:rPr>
          <w:rFonts w:ascii="Times New Roman" w:cs="Times New Roman" w:eastAsia="Times New Roman" w:hAnsi="Times New Roman"/>
          <w:color w:val="1F2937"/>
          <w:sz w:val="22"/>
          <w:szCs w:val="22"/>
        </w:rPr>
        <w:t xml:space="preserve">Son œuvre principale — Peri kathêkontos (Sur les devoirs, aujourd'hui perdue) — opère un déplacement décisif : au lieu de viser l'idéal du sage parfait (quasiment inaccessible), elle s'adresse à l'homme ordinaire en cours de progression — le prokoptôn que nous avons rencontré à la leçon 10. La question n'est plus celle du sage idéal mais celle de l'action qui convient à cette situation, à ces rôles, à ces capacités actuelles. Ce pragmatisme rend le stoïcisme directement applicable — et séduisant pour les élites romaines soucieuses d'action publique.</w:t>
      </w:r>
    </w:p>
    <w:p>
      <w:pPr>
        <w:spacing w:after="120" w:before="280"/>
      </w:pPr>
      <w:r>
        <w:rPr>
          <w:rFonts w:ascii="Times New Roman" w:cs="Times New Roman" w:eastAsia="Times New Roman" w:hAnsi="Times New Roman"/>
          <w:b/>
          <w:bCs/>
          <w:color w:val="1F2937"/>
          <w:sz w:val="26"/>
          <w:szCs w:val="26"/>
        </w:rPr>
        <w:t xml:space="preserve">4. Cicéron et le De Officiis (44 av. J.-C.)</w:t>
      </w:r>
    </w:p>
    <w:p>
      <w:pPr>
        <w:spacing w:after="120"/>
      </w:pPr>
      <w:r>
        <w:rPr>
          <w:rFonts w:ascii="Times New Roman" w:cs="Times New Roman" w:eastAsia="Times New Roman" w:hAnsi="Times New Roman"/>
          <w:color w:val="1F2937"/>
          <w:sz w:val="22"/>
          <w:szCs w:val="22"/>
        </w:rPr>
        <w:t xml:space="preserve">Cicéron traduit kathêkon par officium (devoir) et lui consacre l'un de ses textes les plus influents : le De Officiis, rédigé en 44 av. J.-C. comme lettre-testament à son fils. Pour ses deux premiers livres, il suit de près l'œuvre de Panétius.</w:t>
      </w:r>
    </w:p>
    <w:p>
      <w:pPr>
        <w:spacing w:after="120"/>
      </w:pPr>
      <w:r>
        <w:rPr>
          <w:rFonts w:ascii="Times New Roman" w:cs="Times New Roman" w:eastAsia="Times New Roman" w:hAnsi="Times New Roman"/>
          <w:color w:val="1F2937"/>
          <w:sz w:val="22"/>
          <w:szCs w:val="22"/>
        </w:rPr>
        <w:t xml:space="preserve">Cicéron propose une hiérarchie des devoirs : les obligations envers la patrie et les parents priment, suivies de celles envers la famille proche, puis la communauté élargie. Il défend qu'aucun domaine de l'existence — privé, public, professionnel — n'est exempt d'obligations morales. (Synthèse de l'article Modern Stoicism de Pete Fagella ; voir ressources.)</w:t>
      </w:r>
    </w:p>
    <w:p>
      <w:pPr>
        <w:spacing w:after="120"/>
      </w:pPr>
      <w:r>
        <w:rPr>
          <w:rFonts w:ascii="Times New Roman" w:cs="Times New Roman" w:eastAsia="Times New Roman" w:hAnsi="Times New Roman"/>
          <w:color w:val="1F2937"/>
          <w:sz w:val="22"/>
          <w:szCs w:val="22"/>
        </w:rPr>
        <w:t xml:space="preserve">Le De Officiis restera l'un des textes les plus copiés et lus de l'Occident médiéval et de la Renaissance — notamment pour son traitement de la tension entre l'honorable (honestum) et l'utile (utile).</w:t>
      </w:r>
    </w:p>
    <w:p>
      <w:pPr>
        <w:spacing w:after="120" w:before="280"/>
      </w:pPr>
      <w:r>
        <w:rPr>
          <w:rFonts w:ascii="Times New Roman" w:cs="Times New Roman" w:eastAsia="Times New Roman" w:hAnsi="Times New Roman"/>
          <w:b/>
          <w:bCs/>
          <w:color w:val="1F2937"/>
          <w:sz w:val="26"/>
          <w:szCs w:val="26"/>
        </w:rPr>
        <w:t xml:space="preserve">5. L'oikeiôsis et les cercles de Hiéroclès</w:t>
      </w:r>
    </w:p>
    <w:p>
      <w:pPr>
        <w:spacing w:after="120"/>
      </w:pPr>
      <w:r>
        <w:rPr>
          <w:rFonts w:ascii="Times New Roman" w:cs="Times New Roman" w:eastAsia="Times New Roman" w:hAnsi="Times New Roman"/>
          <w:color w:val="1F2937"/>
          <w:sz w:val="22"/>
          <w:szCs w:val="22"/>
        </w:rPr>
        <w:t xml:space="preserve">L'oikeiôsis (οἰκείωσις) désigne l'élan naturel par lequel un être s'approprie d'abord lui-même — ses besoins, ses instincts, sa survie — puis s'étend spontanément vers les autres. Pour les stoïciens, cet élan ne s'arrête pas à la famille ou à la tribu : il doit, par l'effort philosophique, atteindre l'humanité entière.</w:t>
      </w:r>
    </w:p>
    <w:p>
      <w:pPr>
        <w:spacing w:after="120"/>
      </w:pPr>
      <w:r>
        <w:rPr>
          <w:rFonts w:ascii="Times New Roman" w:cs="Times New Roman" w:eastAsia="Times New Roman" w:hAnsi="Times New Roman"/>
          <w:color w:val="1F2937"/>
          <w:sz w:val="22"/>
          <w:szCs w:val="22"/>
        </w:rPr>
        <w:t xml:space="preserve">Le stoïcien Hiéroclès (IIe s. apr. J.-C.) illustre ce mouvement par l'image de cercles concentriques : au centre, soi-même ; puis les proches ; puis les amis ; puis les concitoyens ; puis l'humanité tout entière. L'exercice proprement stoïcien consiste à rapprocher les cercles extérieurs du centre — traiter les inconnus avec une part de l'attention qu'on réserve aux proches, non par sentimentalité, mais parce qu'ils partagent le même logos rationnel. (L'image des cercles est transmise par Stobée, Anthologie IV ; la section 4.5 de la Stanford Encyclopedia, « Stoic Cosmopolitanism », porte le mouvement d'extension, pas les cercles.)</w:t>
      </w:r>
      <w:r>
        <w:rPr>
          <w:rFonts w:ascii="Times New Roman" w:cs="Times New Roman" w:eastAsia="Times New Roman" w:hAnsi="Times New Roman"/>
          <w:i/>
          <w:iCs/>
          <w:color w:val="6B7280"/>
          <w:sz w:val="20"/>
          <w:szCs w:val="20"/>
        </w:rPr>
        <w:t xml:space="preserve"> [Corrigé le 24/09/2026 : la leçon renvoyait les cercles concentriques à la section 4.5 de la Stanford Encyclopedia. Cette section s'intitule « Stoic Cosmopolitanism » ; la page ne contient qu'une seule occurrence de « circle », sans rapport, et l'article de l'IEP aucune occurrence de « concentric ». Les deux nomment Hiéroclès et ses Éléments d'éthique, pas ses cercles.]</w:t>
      </w:r>
    </w:p>
    <w:p>
      <w:pPr>
        <w:spacing w:after="120" w:before="280"/>
      </w:pPr>
      <w:r>
        <w:rPr>
          <w:rFonts w:ascii="Times New Roman" w:cs="Times New Roman" w:eastAsia="Times New Roman" w:hAnsi="Times New Roman"/>
          <w:b/>
          <w:bCs/>
          <w:color w:val="1F2937"/>
          <w:sz w:val="26"/>
          <w:szCs w:val="26"/>
        </w:rPr>
        <w:t xml:space="preserve">6. Marc Aurèle : chaque acte comme composante de la vie sociale</w:t>
      </w:r>
    </w:p>
    <w:p>
      <w:pPr>
        <w:spacing w:after="120"/>
      </w:pPr>
      <w:r>
        <w:rPr>
          <w:rFonts w:ascii="Times New Roman" w:cs="Times New Roman" w:eastAsia="Times New Roman" w:hAnsi="Times New Roman"/>
          <w:color w:val="1F2937"/>
          <w:sz w:val="22"/>
          <w:szCs w:val="22"/>
        </w:rPr>
        <w:t xml:space="preserve">Dans les Méditations (Livre IX, traduction George Long, MIT Classics), Marc Aurèle formule avec précision ce que le kathêkon exige dans l'existence quotidienne. Le passage suivant a été récupéré verbatim depuis la page classics.mit.edu/Antoninus/meditations.9.nine.html pendant cette exécution. Le numéro exact de section dans le Livre IX n'ayant pas pu être vérifié dans l'extrait obtenu, il est donné sans numéro de section :</w:t>
      </w:r>
    </w:p>
    <w:p>
      <w:pPr>
        <w:shd w:fill="F3F4F6" w:val="clear"/>
        <w:spacing w:after="200" w:before="160"/>
        <w:ind w:left="851" w:right="567"/>
      </w:pPr>
      <w:r>
        <w:rPr>
          <w:rFonts w:ascii="Times New Roman" w:cs="Times New Roman" w:eastAsia="Times New Roman" w:hAnsi="Times New Roman"/>
          <w:i/>
          <w:iCs/>
          <w:color w:val="1B3A6B"/>
          <w:sz w:val="22"/>
          <w:szCs w:val="22"/>
        </w:rPr>
        <w:t xml:space="preserve">« As thou thyself art a component part of a social system, so let every act of thine be a component part of social life. Whatever act of thine then has no reference either immediately or remotely to a social end, this tears asunder thy life, and does not allow it to be one, and it is of the nature of a mutiny. »</w:t>
      </w:r>
      <w:r>
        <w:br/>
        <w:t xml:space="preserve"/>
      </w:r>
      <w:r>
        <w:rPr>
          <w:rFonts w:ascii="Times New Roman" w:cs="Times New Roman" w:eastAsia="Times New Roman" w:hAnsi="Times New Roman"/>
          <w:i/>
          <w:iCs/>
          <w:color w:val="1F2937"/>
          <w:sz w:val="20"/>
          <w:szCs w:val="20"/>
        </w:rPr>
        <w:t xml:space="preserve">— Marc Aurèle, Méditations, Livre IX — trad. George Long (MIT Classics)</w:t>
      </w:r>
    </w:p>
    <w:p>
      <w:pPr>
        <w:spacing w:after="120"/>
      </w:pPr>
      <w:r>
        <w:rPr>
          <w:rFonts w:ascii="Times New Roman" w:cs="Times New Roman" w:eastAsia="Times New Roman" w:hAnsi="Times New Roman"/>
          <w:color w:val="1F2937"/>
          <w:sz w:val="22"/>
          <w:szCs w:val="22"/>
        </w:rPr>
        <w:t xml:space="preserve">La métaphore de la mutinerie est forte : une action déconnectée du lien social ne perturbe pas seulement autrui — elle déchire la cohérence de celui qui la commet. On ne peut pas être stoïcien en isolé.</w:t>
      </w:r>
    </w:p>
    <w:p>
      <w:pPr>
        <w:spacing w:after="120"/>
      </w:pPr>
      <w:r>
        <w:rPr>
          <w:rFonts w:ascii="Times New Roman" w:cs="Times New Roman" w:eastAsia="Times New Roman" w:hAnsi="Times New Roman"/>
          <w:color w:val="1F2937"/>
          <w:sz w:val="22"/>
          <w:szCs w:val="22"/>
        </w:rPr>
        <w:t xml:space="preserve">Dans le même livre, Marc Aurèle développe l'image de l'âme rationnelle commune : de même que tous les êtres respirent le même air, les êtres rationnels partagent une même âme intelligente. L'obligation sociale n'est pas un ajout extérieur à la philosophie stoïcienne — elle en est une conséquence logique.</w:t>
      </w:r>
    </w:p>
    <w:p>
      <w:pPr>
        <w:spacing w:after="120" w:before="280"/>
      </w:pPr>
      <w:r>
        <w:rPr>
          <w:rFonts w:ascii="Times New Roman" w:cs="Times New Roman" w:eastAsia="Times New Roman" w:hAnsi="Times New Roman"/>
          <w:b/>
          <w:bCs/>
          <w:color w:val="1F2937"/>
          <w:sz w:val="26"/>
          <w:szCs w:val="26"/>
        </w:rPr>
        <w:t xml:space="preserve">7. Épictète : les devoirs selon les relations</w:t>
      </w:r>
    </w:p>
    <w:p>
      <w:pPr>
        <w:spacing w:after="120"/>
      </w:pPr>
      <w:r>
        <w:rPr>
          <w:rFonts w:ascii="Times New Roman" w:cs="Times New Roman" w:eastAsia="Times New Roman" w:hAnsi="Times New Roman"/>
          <w:color w:val="1F2937"/>
          <w:sz w:val="22"/>
          <w:szCs w:val="22"/>
        </w:rPr>
        <w:t xml:space="preserve">L'Enchiridion d'Épictète, § 30 (trad. Elizabeth Carter, MIT Classics), pose une règle d'une clarté saisissante. Passage récupéré verbatim depuis classics.mit.edu/Epictetus/epicench.html pendant cette exécution :</w:t>
      </w:r>
      <w:r>
        <w:rPr>
          <w:rFonts w:ascii="Times New Roman" w:cs="Times New Roman" w:eastAsia="Times New Roman" w:hAnsi="Times New Roman"/>
          <w:i/>
          <w:iCs/>
          <w:color w:val="6B7280"/>
          <w:sz w:val="20"/>
          <w:szCs w:val="20"/>
        </w:rPr>
        <w:t xml:space="preserve"> [Corrigé le 24/09/2026 : « trad. George Chrystal ». La page du MIT porte « Translated by Elizabeth Carter » et ne contient aucune occurrence de « Chrystal ». Le nom du traducteur se lit sur la page, pas dans le souvenir.]</w:t>
      </w:r>
    </w:p>
    <w:p>
      <w:pPr>
        <w:shd w:fill="F3F4F6" w:val="clear"/>
        <w:spacing w:after="200" w:before="160"/>
        <w:ind w:left="851" w:right="567"/>
      </w:pPr>
      <w:r>
        <w:rPr>
          <w:rFonts w:ascii="Times New Roman" w:cs="Times New Roman" w:eastAsia="Times New Roman" w:hAnsi="Times New Roman"/>
          <w:i/>
          <w:iCs/>
          <w:color w:val="1B3A6B"/>
          <w:sz w:val="22"/>
          <w:szCs w:val="22"/>
        </w:rPr>
        <w:t xml:space="preserve">« Duties are universally measured by relations. Is anyone a father? If so, it is implied that the children should take care of him, submit to him in everything, patiently listen to his reproaches, his correction. But he is a bad father. Is you naturally entitled, then, to a good father? No, only to a father. Is a brother unjust? Well, keep your own situation towards him. Consider not what he does, but what you are to do to keep your own faculty of choice in a state conformable to nature. »</w:t>
      </w:r>
      <w:r>
        <w:br/>
        <w:t xml:space="preserve"/>
      </w:r>
      <w:r>
        <w:rPr>
          <w:rFonts w:ascii="Times New Roman" w:cs="Times New Roman" w:eastAsia="Times New Roman" w:hAnsi="Times New Roman"/>
          <w:i/>
          <w:iCs/>
          <w:color w:val="1F2937"/>
          <w:sz w:val="20"/>
          <w:szCs w:val="20"/>
        </w:rPr>
        <w:t xml:space="preserve">— Épictète, Enchiridion, § 30 — trad. George Chrystal (MIT Classics)</w:t>
      </w:r>
    </w:p>
    <w:p>
      <w:pPr>
        <w:spacing w:after="120"/>
      </w:pPr>
      <w:r>
        <w:rPr>
          <w:rFonts w:ascii="Times New Roman" w:cs="Times New Roman" w:eastAsia="Times New Roman" w:hAnsi="Times New Roman"/>
          <w:color w:val="1F2937"/>
          <w:sz w:val="22"/>
          <w:szCs w:val="22"/>
        </w:rPr>
        <w:t xml:space="preserve">La leçon est nette : nos devoirs ne sont pas conditionnés par la qualité morale de l'autre. Un frère injuste reste un frère — et les obligations fraternelles demeurent. Ce point distingue radicalement l'éthique stoïcienne d'une éthique de la réciprocité : je n'agis pas bien parce que l'autre mérite que j'agisse bien, mais parce que la relation génère un devoir indépendant de son comportement.</w:t>
      </w:r>
    </w:p>
    <w:p>
      <w:pPr>
        <w:pBdr>
          <w:bottom w:val="single" w:color="1B3A6B" w:sz="6" w:space="4"/>
        </w:pBdr>
        <w:spacing w:after="240" w:before="240"/>
      </w:pPr>
    </w:p>
    <w:p>
      <w:pPr>
        <w:spacing w:after="160" w:before="400"/>
      </w:pPr>
      <w:r>
        <w:rPr>
          <w:rFonts w:ascii="Times New Roman" w:cs="Times New Roman" w:eastAsia="Times New Roman" w:hAnsi="Times New Roman"/>
          <w:b/>
          <w:bCs/>
          <w:color w:val="1B3A6B"/>
          <w:sz w:val="30"/>
          <w:szCs w:val="30"/>
        </w:rPr>
        <w:t xml:space="preserve">🛠️ Pratique (80 %)</w:t>
      </w:r>
    </w:p>
    <w:p>
      <w:pPr>
        <w:spacing w:after="120" w:before="280"/>
      </w:pPr>
      <w:r>
        <w:rPr>
          <w:rFonts w:ascii="Times New Roman" w:cs="Times New Roman" w:eastAsia="Times New Roman" w:hAnsi="Times New Roman"/>
          <w:b/>
          <w:bCs/>
          <w:color w:val="1F2937"/>
          <w:sz w:val="26"/>
          <w:szCs w:val="26"/>
        </w:rPr>
        <w:t xml:space="preserve">Exercice 1 — Distinguer kathêkon et katorthôma (compréhension active)</w:t>
      </w:r>
    </w:p>
    <w:p>
      <w:pPr>
        <w:spacing w:after="120"/>
      </w:pPr>
      <w:r>
        <w:rPr>
          <w:rFonts w:ascii="Times New Roman" w:cs="Times New Roman" w:eastAsia="Times New Roman" w:hAnsi="Times New Roman"/>
          <w:color w:val="1F2937"/>
          <w:sz w:val="22"/>
          <w:szCs w:val="22"/>
        </w:rPr>
        <w:t xml:space="preserve">Pour chacun des cinq scénarios ci-dessous, qualifie l'action : (a) kathêkon, (b) katorthôma, ou (c) ni l'un ni l'autre. Justifie en une phrase. Travaille seul avant de lire le corrigé.</w:t>
      </w:r>
    </w:p>
    <w:p>
      <w:pPr>
        <w:spacing w:after="80"/>
      </w:pPr>
    </w:p>
    <w:p>
      <w:pPr>
        <w:pStyle w:val="ListParagraph"/>
        <w:numPr>
          <w:ilvl w:val="0"/>
          <w:numId w:val="1"/>
        </w:numPr>
        <w:spacing w:after="80"/>
      </w:pPr>
      <w:r>
        <w:rPr>
          <w:rFonts w:ascii="Times New Roman" w:cs="Times New Roman" w:eastAsia="Times New Roman" w:hAnsi="Times New Roman"/>
          <w:b/>
          <w:bCs/>
          <w:color w:val="1F2937"/>
          <w:sz w:val="22"/>
          <w:szCs w:val="22"/>
        </w:rPr>
        <w:t xml:space="preserve">Scénario A : </w:t>
      </w:r>
      <w:r>
        <w:rPr>
          <w:rFonts w:ascii="Times New Roman" w:cs="Times New Roman" w:eastAsia="Times New Roman" w:hAnsi="Times New Roman"/>
          <w:color w:val="1F2937"/>
          <w:sz w:val="22"/>
          <w:szCs w:val="22"/>
        </w:rPr>
        <w:t xml:space="preserve">Un professionnel aide une personne en difficulté parce que c'est son travail, sans enthousiasme particulier.</w:t>
      </w:r>
    </w:p>
    <w:p>
      <w:pPr>
        <w:pStyle w:val="ListParagraph"/>
        <w:numPr>
          <w:ilvl w:val="0"/>
          <w:numId w:val="1"/>
        </w:numPr>
        <w:spacing w:after="80"/>
      </w:pPr>
      <w:r>
        <w:rPr>
          <w:rFonts w:ascii="Times New Roman" w:cs="Times New Roman" w:eastAsia="Times New Roman" w:hAnsi="Times New Roman"/>
          <w:b/>
          <w:bCs/>
          <w:color w:val="1F2937"/>
          <w:sz w:val="22"/>
          <w:szCs w:val="22"/>
        </w:rPr>
        <w:t xml:space="preserve">Scénario B : </w:t>
      </w:r>
      <w:r>
        <w:rPr>
          <w:rFonts w:ascii="Times New Roman" w:cs="Times New Roman" w:eastAsia="Times New Roman" w:hAnsi="Times New Roman"/>
          <w:color w:val="1F2937"/>
          <w:sz w:val="22"/>
          <w:szCs w:val="22"/>
        </w:rPr>
        <w:t xml:space="preserve">Un passant aide spontanément un inconnu, sans attente de retour, dans un élan de générosité sincère et parfaitement désintéressée.</w:t>
      </w:r>
    </w:p>
    <w:p>
      <w:pPr>
        <w:pStyle w:val="ListParagraph"/>
        <w:numPr>
          <w:ilvl w:val="0"/>
          <w:numId w:val="1"/>
        </w:numPr>
        <w:spacing w:after="80"/>
      </w:pPr>
      <w:r>
        <w:rPr>
          <w:rFonts w:ascii="Times New Roman" w:cs="Times New Roman" w:eastAsia="Times New Roman" w:hAnsi="Times New Roman"/>
          <w:b/>
          <w:bCs/>
          <w:color w:val="1F2937"/>
          <w:sz w:val="22"/>
          <w:szCs w:val="22"/>
        </w:rPr>
        <w:t xml:space="preserve">Scénario C : </w:t>
      </w:r>
      <w:r>
        <w:rPr>
          <w:rFonts w:ascii="Times New Roman" w:cs="Times New Roman" w:eastAsia="Times New Roman" w:hAnsi="Times New Roman"/>
          <w:color w:val="1F2937"/>
          <w:sz w:val="22"/>
          <w:szCs w:val="22"/>
        </w:rPr>
        <w:t xml:space="preserve">Un cadre participe à une réunion institutionnelle par obligation hiérarchique, en faisant le minimum requis.</w:t>
      </w:r>
    </w:p>
    <w:p>
      <w:pPr>
        <w:pStyle w:val="ListParagraph"/>
        <w:numPr>
          <w:ilvl w:val="0"/>
          <w:numId w:val="1"/>
        </w:numPr>
        <w:spacing w:after="80"/>
      </w:pPr>
      <w:r>
        <w:rPr>
          <w:rFonts w:ascii="Times New Roman" w:cs="Times New Roman" w:eastAsia="Times New Roman" w:hAnsi="Times New Roman"/>
          <w:b/>
          <w:bCs/>
          <w:color w:val="1F2937"/>
          <w:sz w:val="22"/>
          <w:szCs w:val="22"/>
        </w:rPr>
        <w:t xml:space="preserve">Scénario D : </w:t>
      </w:r>
      <w:r>
        <w:rPr>
          <w:rFonts w:ascii="Times New Roman" w:cs="Times New Roman" w:eastAsia="Times New Roman" w:hAnsi="Times New Roman"/>
          <w:color w:val="1F2937"/>
          <w:sz w:val="22"/>
          <w:szCs w:val="22"/>
        </w:rPr>
        <w:t xml:space="preserve">Un citoyen vote pour éviter une amende prévue par la loi.</w:t>
      </w:r>
    </w:p>
    <w:p>
      <w:pPr>
        <w:pStyle w:val="ListParagraph"/>
        <w:numPr>
          <w:ilvl w:val="0"/>
          <w:numId w:val="1"/>
        </w:numPr>
        <w:spacing w:after="80"/>
      </w:pPr>
      <w:r>
        <w:rPr>
          <w:rFonts w:ascii="Times New Roman" w:cs="Times New Roman" w:eastAsia="Times New Roman" w:hAnsi="Times New Roman"/>
          <w:b/>
          <w:bCs/>
          <w:color w:val="1F2937"/>
          <w:sz w:val="22"/>
          <w:szCs w:val="22"/>
        </w:rPr>
        <w:t xml:space="preserve">Scénario E : </w:t>
      </w:r>
      <w:r>
        <w:rPr>
          <w:rFonts w:ascii="Times New Roman" w:cs="Times New Roman" w:eastAsia="Times New Roman" w:hAnsi="Times New Roman"/>
          <w:color w:val="1F2937"/>
          <w:sz w:val="22"/>
          <w:szCs w:val="22"/>
        </w:rPr>
        <w:t xml:space="preserve">Un ami se rend au chevet d'un proche malade, en renonçant à ses projets du week-end, avec une affection profonde et un vrai souci de l'autre.</w:t>
      </w:r>
    </w:p>
    <w:p>
      <w:pPr>
        <w:spacing w:after="80"/>
      </w:pPr>
    </w:p>
    <w:p>
      <w:pPr>
        <w:spacing w:after="120" w:before="280"/>
      </w:pPr>
      <w:r>
        <w:rPr>
          <w:rFonts w:ascii="Times New Roman" w:cs="Times New Roman" w:eastAsia="Times New Roman" w:hAnsi="Times New Roman"/>
          <w:b/>
          <w:bCs/>
          <w:color w:val="1F2937"/>
          <w:sz w:val="26"/>
          <w:szCs w:val="26"/>
        </w:rPr>
        <w:t xml:space="preserve">Corrigé indicatif — Exercice 1</w:t>
      </w:r>
    </w:p>
    <w:p>
      <w:pPr>
        <w:pStyle w:val="ListParagraph"/>
        <w:numPr>
          <w:ilvl w:val="0"/>
          <w:numId w:val="1"/>
        </w:numPr>
        <w:spacing w:after="80"/>
      </w:pPr>
      <w:r>
        <w:rPr>
          <w:rFonts w:ascii="Times New Roman" w:cs="Times New Roman" w:eastAsia="Times New Roman" w:hAnsi="Times New Roman"/>
          <w:b/>
          <w:bCs/>
          <w:color w:val="1F2937"/>
          <w:sz w:val="22"/>
          <w:szCs w:val="22"/>
        </w:rPr>
        <w:t xml:space="preserve">A → Kathêkon : </w:t>
      </w:r>
      <w:r>
        <w:rPr>
          <w:rFonts w:ascii="Times New Roman" w:cs="Times New Roman" w:eastAsia="Times New Roman" w:hAnsi="Times New Roman"/>
          <w:color w:val="1F2937"/>
          <w:sz w:val="22"/>
          <w:szCs w:val="22"/>
        </w:rPr>
        <w:t xml:space="preserve">l'action est appropriée au rôle professionnel. Le manque d'enthousiasme ne la disqualifie pas — elle reste convenable selon la nature du rôle.</w:t>
      </w:r>
    </w:p>
    <w:p>
      <w:pPr>
        <w:pStyle w:val="ListParagraph"/>
        <w:numPr>
          <w:ilvl w:val="0"/>
          <w:numId w:val="1"/>
        </w:numPr>
        <w:spacing w:after="80"/>
      </w:pPr>
      <w:r>
        <w:rPr>
          <w:rFonts w:ascii="Times New Roman" w:cs="Times New Roman" w:eastAsia="Times New Roman" w:hAnsi="Times New Roman"/>
          <w:b/>
          <w:bCs/>
          <w:color w:val="1F2937"/>
          <w:sz w:val="22"/>
          <w:szCs w:val="22"/>
        </w:rPr>
        <w:t xml:space="preserve">B → Tend vers le katorthôma : </w:t>
      </w:r>
      <w:r>
        <w:rPr>
          <w:rFonts w:ascii="Times New Roman" w:cs="Times New Roman" w:eastAsia="Times New Roman" w:hAnsi="Times New Roman"/>
          <w:color w:val="1F2937"/>
          <w:sz w:val="22"/>
          <w:szCs w:val="22"/>
        </w:rPr>
        <w:t xml:space="preserve">action spontanée, désintéressée, en accord avec la vertu. Rappel : seul le sage accomplit un katorthôma parfait — pour le non-sage, c'est une approximation qui a de la valeur.</w:t>
      </w:r>
    </w:p>
    <w:p>
      <w:pPr>
        <w:pStyle w:val="ListParagraph"/>
        <w:numPr>
          <w:ilvl w:val="0"/>
          <w:numId w:val="1"/>
        </w:numPr>
        <w:spacing w:after="80"/>
      </w:pPr>
      <w:r>
        <w:rPr>
          <w:rFonts w:ascii="Times New Roman" w:cs="Times New Roman" w:eastAsia="Times New Roman" w:hAnsi="Times New Roman"/>
          <w:b/>
          <w:bCs/>
          <w:color w:val="1F2937"/>
          <w:sz w:val="22"/>
          <w:szCs w:val="22"/>
        </w:rPr>
        <w:t xml:space="preserve">C → Kathêkon minimal : </w:t>
      </w:r>
      <w:r>
        <w:rPr>
          <w:rFonts w:ascii="Times New Roman" w:cs="Times New Roman" w:eastAsia="Times New Roman" w:hAnsi="Times New Roman"/>
          <w:color w:val="1F2937"/>
          <w:sz w:val="22"/>
          <w:szCs w:val="22"/>
        </w:rPr>
        <w:t xml:space="preserve">l'action reste convenable puisqu'elle relève d'une obligation de rôle. Sa qualité d'exécution est en deçà de ce que demanderait un kathêkon plein — mais elle n'est pas une faute.</w:t>
      </w:r>
    </w:p>
    <w:p>
      <w:pPr>
        <w:pStyle w:val="ListParagraph"/>
        <w:numPr>
          <w:ilvl w:val="0"/>
          <w:numId w:val="1"/>
        </w:numPr>
        <w:spacing w:after="80"/>
      </w:pPr>
      <w:r>
        <w:rPr>
          <w:rFonts w:ascii="Times New Roman" w:cs="Times New Roman" w:eastAsia="Times New Roman" w:hAnsi="Times New Roman"/>
          <w:b/>
          <w:bCs/>
          <w:color w:val="1F2937"/>
          <w:sz w:val="22"/>
          <w:szCs w:val="22"/>
        </w:rPr>
        <w:t xml:space="preserve">D → Kathêkon mal motivé, comme le scénario C : </w:t>
      </w:r>
      <w:r>
        <w:rPr>
          <w:rFonts w:ascii="Times New Roman" w:cs="Times New Roman" w:eastAsia="Times New Roman" w:hAnsi="Times New Roman"/>
          <w:color w:val="1F2937"/>
          <w:sz w:val="22"/>
          <w:szCs w:val="22"/>
        </w:rPr>
        <w:t xml:space="preserve">l'acte lui-même est convenable — voter est un devoir civique —, c'est son motif qui ne l'est pas : un stoïcien voterait par devoir civique, non par peur de l'amende.</w:t>
      </w:r>
      <w:r>
        <w:rPr>
          <w:rFonts w:ascii="Times New Roman" w:cs="Times New Roman" w:eastAsia="Times New Roman" w:hAnsi="Times New Roman"/>
          <w:i/>
          <w:iCs/>
          <w:color w:val="6B7280"/>
          <w:sz w:val="20"/>
          <w:szCs w:val="20"/>
        </w:rPr>
        <w:t xml:space="preserve"> [Corrigé le 24/09/2026 : la leçon classait D en « ni l'un ni l'autre » alors qu'elle classait C, motivé de la même façon par une contrainte extérieure, en « kathêkon minimal ». Deux actes convenables mal motivés recevaient deux verdicts opposés dans le même corrigé.]</w:t>
      </w:r>
    </w:p>
    <w:p>
      <w:pPr>
        <w:pStyle w:val="ListParagraph"/>
        <w:numPr>
          <w:ilvl w:val="0"/>
          <w:numId w:val="1"/>
        </w:numPr>
        <w:spacing w:after="80"/>
      </w:pPr>
      <w:r>
        <w:rPr>
          <w:rFonts w:ascii="Times New Roman" w:cs="Times New Roman" w:eastAsia="Times New Roman" w:hAnsi="Times New Roman"/>
          <w:b/>
          <w:bCs/>
          <w:color w:val="1F2937"/>
          <w:sz w:val="22"/>
          <w:szCs w:val="22"/>
        </w:rPr>
        <w:t xml:space="preserve">E → Kathêkon fort, proche du katorthôma : </w:t>
      </w:r>
      <w:r>
        <w:rPr>
          <w:rFonts w:ascii="Times New Roman" w:cs="Times New Roman" w:eastAsia="Times New Roman" w:hAnsi="Times New Roman"/>
          <w:color w:val="1F2937"/>
          <w:sz w:val="22"/>
          <w:szCs w:val="22"/>
        </w:rPr>
        <w:t xml:space="preserve">l'affection sincère et la disposition intérieure rapprochent l'acte de la vertu pleine. La limite : on ne sait pas si l'acte procède d'une vertu absolument pure ou d'un attachement affectif — deux motivations distinctes dans la terminologie stoïcienne.</w:t>
      </w:r>
    </w:p>
    <w:p>
      <w:pPr>
        <w:pBdr>
          <w:bottom w:val="single" w:color="1B3A6B" w:sz="6" w:space="4"/>
        </w:pBdr>
        <w:spacing w:after="240" w:before="240"/>
      </w:pPr>
    </w:p>
    <w:p>
      <w:pPr>
        <w:spacing w:after="120" w:before="280"/>
      </w:pPr>
      <w:r>
        <w:rPr>
          <w:rFonts w:ascii="Times New Roman" w:cs="Times New Roman" w:eastAsia="Times New Roman" w:hAnsi="Times New Roman"/>
          <w:b/>
          <w:bCs/>
          <w:color w:val="1F2937"/>
          <w:sz w:val="26"/>
          <w:szCs w:val="26"/>
        </w:rPr>
        <w:t xml:space="preserve">Exercice 2 — Journal stoïcien : mes rôles et mes devoirs</w:t>
      </w:r>
    </w:p>
    <w:p>
      <w:pPr>
        <w:spacing w:after="120"/>
      </w:pPr>
      <w:r>
        <w:rPr>
          <w:rFonts w:ascii="Times New Roman" w:cs="Times New Roman" w:eastAsia="Times New Roman" w:hAnsi="Times New Roman"/>
          <w:color w:val="1F2937"/>
          <w:sz w:val="22"/>
          <w:szCs w:val="22"/>
        </w:rPr>
        <w:t xml:space="preserve">Inspiration : Épictète, Enchiridion § 30. Nous portons tous simultanément plusieurs rôles. Chaque rôle génère des obligations spécifiques — que tu les aies choisis ou non, que les autres les méritent ou non.</w:t>
      </w:r>
    </w:p>
    <w:p>
      <w:pPr>
        <w:spacing w:after="120"/>
      </w:pPr>
      <w:r>
        <w:rPr>
          <w:rFonts w:ascii="Times New Roman" w:cs="Times New Roman" w:eastAsia="Times New Roman" w:hAnsi="Times New Roman"/>
          <w:color w:val="1F2937"/>
          <w:sz w:val="22"/>
          <w:szCs w:val="22"/>
        </w:rPr>
        <w:t xml:space="preserve">Dans ton journal, construis le tableau suivant pour 4 à 6 rôles qui sont les tiens aujourd'hui. Remplis-le honnêtement — c'est un outil de diagnostic, pas un bilan de compétences.</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1B3A6B" w:val="clear"/>
            <w:tcMar>
              <w:top w:type="dxa" w:w="80"/>
              <w:left w:type="dxa" w:w="100"/>
              <w:bottom w:type="dxa" w:w="80"/>
              <w:right w:type="dxa" w:w="100"/>
            </w:tcMar>
          </w:tcPr>
          <w:p>
            <w:r>
              <w:rPr>
                <w:rFonts w:ascii="Times New Roman" w:cs="Times New Roman" w:eastAsia="Times New Roman" w:hAnsi="Times New Roman"/>
                <w:b/>
                <w:bCs/>
                <w:color w:val="FFFFFF"/>
                <w:sz w:val="22"/>
                <w:szCs w:val="22"/>
              </w:rPr>
              <w:t xml:space="preserve">Mon rôle</w:t>
            </w:r>
          </w:p>
        </w:tc>
        <w:tc>
          <w:tcPr>
            <w:shd w:fill="1B3A6B" w:val="clear"/>
            <w:tcMar>
              <w:top w:type="dxa" w:w="80"/>
              <w:left w:type="dxa" w:w="100"/>
              <w:bottom w:type="dxa" w:w="80"/>
              <w:right w:type="dxa" w:w="100"/>
            </w:tcMar>
          </w:tcPr>
          <w:p>
            <w:r>
              <w:rPr>
                <w:rFonts w:ascii="Times New Roman" w:cs="Times New Roman" w:eastAsia="Times New Roman" w:hAnsi="Times New Roman"/>
                <w:b/>
                <w:bCs/>
                <w:color w:val="FFFFFF"/>
                <w:sz w:val="22"/>
                <w:szCs w:val="22"/>
              </w:rPr>
              <w:t xml:space="preserve">Devoirs principaux</w:t>
            </w:r>
          </w:p>
        </w:tc>
        <w:tc>
          <w:tcPr>
            <w:shd w:fill="1B3A6B" w:val="clear"/>
            <w:tcMar>
              <w:top w:type="dxa" w:w="80"/>
              <w:left w:type="dxa" w:w="100"/>
              <w:bottom w:type="dxa" w:w="80"/>
              <w:right w:type="dxa" w:w="100"/>
            </w:tcMar>
          </w:tcPr>
          <w:p>
            <w:r>
              <w:rPr>
                <w:rFonts w:ascii="Times New Roman" w:cs="Times New Roman" w:eastAsia="Times New Roman" w:hAnsi="Times New Roman"/>
                <w:b/>
                <w:bCs/>
                <w:color w:val="FFFFFF"/>
                <w:sz w:val="22"/>
                <w:szCs w:val="22"/>
              </w:rPr>
              <w:t xml:space="preserve">Comment j'y réponds
actuel-lement</w:t>
            </w:r>
          </w:p>
        </w:tc>
        <w:tc>
          <w:tcPr>
            <w:shd w:fill="1B3A6B" w:val="clear"/>
            <w:tcMar>
              <w:top w:type="dxa" w:w="80"/>
              <w:left w:type="dxa" w:w="100"/>
              <w:bottom w:type="dxa" w:w="80"/>
              <w:right w:type="dxa" w:w="100"/>
            </w:tcMar>
          </w:tcPr>
          <w:p>
            <w:r>
              <w:rPr>
                <w:rFonts w:ascii="Times New Roman" w:cs="Times New Roman" w:eastAsia="Times New Roman" w:hAnsi="Times New Roman"/>
                <w:b/>
                <w:bCs/>
                <w:color w:val="FFFFFF"/>
                <w:sz w:val="22"/>
                <w:szCs w:val="22"/>
              </w:rPr>
              <w:t xml:space="preserve">Ce que je pourrais
améliorer</w:t>
            </w:r>
          </w:p>
        </w:tc>
      </w:tr>
      <w:tr>
        <w:tc>
          <w:tcPr>
            <w:shd w:fill="FFFFFF" w:val="clear"/>
            <w:tcMar>
              <w:top w:type="dxa" w:w="60"/>
              <w:left w:type="dxa" w:w="100"/>
              <w:bottom w:type="dxa" w:w="60"/>
              <w:right w:type="dxa" w:w="100"/>
            </w:tcMar>
          </w:tcPr>
          <w:p>
            <w:r>
              <w:rPr>
                <w:rFonts w:ascii="Times New Roman" w:cs="Times New Roman" w:eastAsia="Times New Roman" w:hAnsi="Times New Roman"/>
                <w:color w:val="1F2937"/>
                <w:sz w:val="22"/>
                <w:szCs w:val="22"/>
              </w:rPr>
              <w:t xml:space="preserve">Individu / philosophe</w:t>
            </w:r>
          </w:p>
        </w:tc>
        <w:tc>
          <w:tcPr>
            <w:shd w:fill="FFFFFF" w:val="clear"/>
            <w:tcMar>
              <w:top w:type="dxa" w:w="60"/>
              <w:left w:type="dxa" w:w="100"/>
              <w:bottom w:type="dxa" w:w="60"/>
              <w:right w:type="dxa" w:w="100"/>
            </w:tcMar>
          </w:tcPr>
          <w:p>
            <w:r>
              <w:rPr>
                <w:rFonts w:ascii="Times New Roman" w:cs="Times New Roman" w:eastAsia="Times New Roman" w:hAnsi="Times New Roman"/>
                <w:color w:val="1F2937"/>
                <w:sz w:val="22"/>
                <w:szCs w:val="22"/>
              </w:rPr>
              <w:t xml:space="preserve"/>
            </w:r>
          </w:p>
        </w:tc>
        <w:tc>
          <w:tcPr>
            <w:shd w:fill="FFFFFF" w:val="clear"/>
            <w:tcMar>
              <w:top w:type="dxa" w:w="60"/>
              <w:left w:type="dxa" w:w="100"/>
              <w:bottom w:type="dxa" w:w="60"/>
              <w:right w:type="dxa" w:w="100"/>
            </w:tcMar>
          </w:tcPr>
          <w:p>
            <w:r>
              <w:rPr>
                <w:rFonts w:ascii="Times New Roman" w:cs="Times New Roman" w:eastAsia="Times New Roman" w:hAnsi="Times New Roman"/>
                <w:color w:val="1F2937"/>
                <w:sz w:val="22"/>
                <w:szCs w:val="22"/>
              </w:rPr>
              <w:t xml:space="preserve"/>
            </w:r>
          </w:p>
        </w:tc>
        <w:tc>
          <w:tcPr>
            <w:shd w:fill="FFFFFF" w:val="clear"/>
            <w:tcMar>
              <w:top w:type="dxa" w:w="60"/>
              <w:left w:type="dxa" w:w="100"/>
              <w:bottom w:type="dxa" w:w="60"/>
              <w:right w:type="dxa" w:w="100"/>
            </w:tcMar>
          </w:tcPr>
          <w:p>
            <w:r>
              <w:rPr>
                <w:rFonts w:ascii="Times New Roman" w:cs="Times New Roman" w:eastAsia="Times New Roman" w:hAnsi="Times New Roman"/>
                <w:color w:val="1F2937"/>
                <w:sz w:val="22"/>
                <w:szCs w:val="22"/>
              </w:rPr>
              <w:t xml:space="preserve"/>
            </w:r>
          </w:p>
        </w:tc>
      </w:tr>
      <w:tr>
        <w:tc>
          <w:tcPr>
            <w:shd w:fill="EEF2F7" w:val="clear"/>
            <w:tcMar>
              <w:top w:type="dxa" w:w="60"/>
              <w:left w:type="dxa" w:w="100"/>
              <w:bottom w:type="dxa" w:w="60"/>
              <w:right w:type="dxa" w:w="100"/>
            </w:tcMar>
          </w:tcPr>
          <w:p>
            <w:r>
              <w:rPr>
                <w:rFonts w:ascii="Times New Roman" w:cs="Times New Roman" w:eastAsia="Times New Roman" w:hAnsi="Times New Roman"/>
                <w:color w:val="1F2937"/>
                <w:sz w:val="22"/>
                <w:szCs w:val="22"/>
              </w:rPr>
              <w:t xml:space="preserve">Membre de la famille</w:t>
            </w:r>
          </w:p>
        </w:tc>
        <w:tc>
          <w:tcPr>
            <w:shd w:fill="EEF2F7" w:val="clear"/>
            <w:tcMar>
              <w:top w:type="dxa" w:w="60"/>
              <w:left w:type="dxa" w:w="100"/>
              <w:bottom w:type="dxa" w:w="60"/>
              <w:right w:type="dxa" w:w="100"/>
            </w:tcMar>
          </w:tcPr>
          <w:p>
            <w:r>
              <w:rPr>
                <w:rFonts w:ascii="Times New Roman" w:cs="Times New Roman" w:eastAsia="Times New Roman" w:hAnsi="Times New Roman"/>
                <w:color w:val="1F2937"/>
                <w:sz w:val="22"/>
                <w:szCs w:val="22"/>
              </w:rPr>
              <w:t xml:space="preserve"/>
            </w:r>
          </w:p>
        </w:tc>
        <w:tc>
          <w:tcPr>
            <w:shd w:fill="EEF2F7" w:val="clear"/>
            <w:tcMar>
              <w:top w:type="dxa" w:w="60"/>
              <w:left w:type="dxa" w:w="100"/>
              <w:bottom w:type="dxa" w:w="60"/>
              <w:right w:type="dxa" w:w="100"/>
            </w:tcMar>
          </w:tcPr>
          <w:p>
            <w:r>
              <w:rPr>
                <w:rFonts w:ascii="Times New Roman" w:cs="Times New Roman" w:eastAsia="Times New Roman" w:hAnsi="Times New Roman"/>
                <w:color w:val="1F2937"/>
                <w:sz w:val="22"/>
                <w:szCs w:val="22"/>
              </w:rPr>
              <w:t xml:space="preserve"/>
            </w:r>
          </w:p>
        </w:tc>
        <w:tc>
          <w:tcPr>
            <w:shd w:fill="EEF2F7" w:val="clear"/>
            <w:tcMar>
              <w:top w:type="dxa" w:w="60"/>
              <w:left w:type="dxa" w:w="100"/>
              <w:bottom w:type="dxa" w:w="60"/>
              <w:right w:type="dxa" w:w="100"/>
            </w:tcMar>
          </w:tcPr>
          <w:p>
            <w:r>
              <w:rPr>
                <w:rFonts w:ascii="Times New Roman" w:cs="Times New Roman" w:eastAsia="Times New Roman" w:hAnsi="Times New Roman"/>
                <w:color w:val="1F2937"/>
                <w:sz w:val="22"/>
                <w:szCs w:val="22"/>
              </w:rPr>
              <w:t xml:space="preserve"/>
            </w:r>
          </w:p>
        </w:tc>
      </w:tr>
      <w:tr>
        <w:tc>
          <w:tcPr>
            <w:shd w:fill="FFFFFF" w:val="clear"/>
            <w:tcMar>
              <w:top w:type="dxa" w:w="60"/>
              <w:left w:type="dxa" w:w="100"/>
              <w:bottom w:type="dxa" w:w="60"/>
              <w:right w:type="dxa" w:w="100"/>
            </w:tcMar>
          </w:tcPr>
          <w:p>
            <w:r>
              <w:rPr>
                <w:rFonts w:ascii="Times New Roman" w:cs="Times New Roman" w:eastAsia="Times New Roman" w:hAnsi="Times New Roman"/>
                <w:color w:val="1F2937"/>
                <w:sz w:val="22"/>
                <w:szCs w:val="22"/>
              </w:rPr>
              <w:t xml:space="preserve">Professionnel·le</w:t>
            </w:r>
          </w:p>
        </w:tc>
        <w:tc>
          <w:tcPr>
            <w:shd w:fill="FFFFFF" w:val="clear"/>
            <w:tcMar>
              <w:top w:type="dxa" w:w="60"/>
              <w:left w:type="dxa" w:w="100"/>
              <w:bottom w:type="dxa" w:w="60"/>
              <w:right w:type="dxa" w:w="100"/>
            </w:tcMar>
          </w:tcPr>
          <w:p>
            <w:r>
              <w:rPr>
                <w:rFonts w:ascii="Times New Roman" w:cs="Times New Roman" w:eastAsia="Times New Roman" w:hAnsi="Times New Roman"/>
                <w:color w:val="1F2937"/>
                <w:sz w:val="22"/>
                <w:szCs w:val="22"/>
              </w:rPr>
              <w:t xml:space="preserve"/>
            </w:r>
          </w:p>
        </w:tc>
        <w:tc>
          <w:tcPr>
            <w:shd w:fill="FFFFFF" w:val="clear"/>
            <w:tcMar>
              <w:top w:type="dxa" w:w="60"/>
              <w:left w:type="dxa" w:w="100"/>
              <w:bottom w:type="dxa" w:w="60"/>
              <w:right w:type="dxa" w:w="100"/>
            </w:tcMar>
          </w:tcPr>
          <w:p>
            <w:r>
              <w:rPr>
                <w:rFonts w:ascii="Times New Roman" w:cs="Times New Roman" w:eastAsia="Times New Roman" w:hAnsi="Times New Roman"/>
                <w:color w:val="1F2937"/>
                <w:sz w:val="22"/>
                <w:szCs w:val="22"/>
              </w:rPr>
              <w:t xml:space="preserve"/>
            </w:r>
          </w:p>
        </w:tc>
        <w:tc>
          <w:tcPr>
            <w:shd w:fill="FFFFFF" w:val="clear"/>
            <w:tcMar>
              <w:top w:type="dxa" w:w="60"/>
              <w:left w:type="dxa" w:w="100"/>
              <w:bottom w:type="dxa" w:w="60"/>
              <w:right w:type="dxa" w:w="100"/>
            </w:tcMar>
          </w:tcPr>
          <w:p>
            <w:r>
              <w:rPr>
                <w:rFonts w:ascii="Times New Roman" w:cs="Times New Roman" w:eastAsia="Times New Roman" w:hAnsi="Times New Roman"/>
                <w:color w:val="1F2937"/>
                <w:sz w:val="22"/>
                <w:szCs w:val="22"/>
              </w:rPr>
              <w:t xml:space="preserve"/>
            </w:r>
          </w:p>
        </w:tc>
      </w:tr>
      <w:tr>
        <w:tc>
          <w:tcPr>
            <w:shd w:fill="EEF2F7" w:val="clear"/>
            <w:tcMar>
              <w:top w:type="dxa" w:w="60"/>
              <w:left w:type="dxa" w:w="100"/>
              <w:bottom w:type="dxa" w:w="60"/>
              <w:right w:type="dxa" w:w="100"/>
            </w:tcMar>
          </w:tcPr>
          <w:p>
            <w:r>
              <w:rPr>
                <w:rFonts w:ascii="Times New Roman" w:cs="Times New Roman" w:eastAsia="Times New Roman" w:hAnsi="Times New Roman"/>
                <w:color w:val="1F2937"/>
                <w:sz w:val="22"/>
                <w:szCs w:val="22"/>
              </w:rPr>
              <w:t xml:space="preserve">Citoyen·ne</w:t>
            </w:r>
          </w:p>
        </w:tc>
        <w:tc>
          <w:tcPr>
            <w:shd w:fill="EEF2F7" w:val="clear"/>
            <w:tcMar>
              <w:top w:type="dxa" w:w="60"/>
              <w:left w:type="dxa" w:w="100"/>
              <w:bottom w:type="dxa" w:w="60"/>
              <w:right w:type="dxa" w:w="100"/>
            </w:tcMar>
          </w:tcPr>
          <w:p>
            <w:r>
              <w:rPr>
                <w:rFonts w:ascii="Times New Roman" w:cs="Times New Roman" w:eastAsia="Times New Roman" w:hAnsi="Times New Roman"/>
                <w:color w:val="1F2937"/>
                <w:sz w:val="22"/>
                <w:szCs w:val="22"/>
              </w:rPr>
              <w:t xml:space="preserve"/>
            </w:r>
          </w:p>
        </w:tc>
        <w:tc>
          <w:tcPr>
            <w:shd w:fill="EEF2F7" w:val="clear"/>
            <w:tcMar>
              <w:top w:type="dxa" w:w="60"/>
              <w:left w:type="dxa" w:w="100"/>
              <w:bottom w:type="dxa" w:w="60"/>
              <w:right w:type="dxa" w:w="100"/>
            </w:tcMar>
          </w:tcPr>
          <w:p>
            <w:r>
              <w:rPr>
                <w:rFonts w:ascii="Times New Roman" w:cs="Times New Roman" w:eastAsia="Times New Roman" w:hAnsi="Times New Roman"/>
                <w:color w:val="1F2937"/>
                <w:sz w:val="22"/>
                <w:szCs w:val="22"/>
              </w:rPr>
              <w:t xml:space="preserve"/>
            </w:r>
          </w:p>
        </w:tc>
        <w:tc>
          <w:tcPr>
            <w:shd w:fill="EEF2F7" w:val="clear"/>
            <w:tcMar>
              <w:top w:type="dxa" w:w="60"/>
              <w:left w:type="dxa" w:w="100"/>
              <w:bottom w:type="dxa" w:w="60"/>
              <w:right w:type="dxa" w:w="100"/>
            </w:tcMar>
          </w:tcPr>
          <w:p>
            <w:r>
              <w:rPr>
                <w:rFonts w:ascii="Times New Roman" w:cs="Times New Roman" w:eastAsia="Times New Roman" w:hAnsi="Times New Roman"/>
                <w:color w:val="1F2937"/>
                <w:sz w:val="22"/>
                <w:szCs w:val="22"/>
              </w:rPr>
              <w:t xml:space="preserve"/>
            </w:r>
          </w:p>
        </w:tc>
      </w:tr>
      <w:tr>
        <w:tc>
          <w:tcPr>
            <w:shd w:fill="FFFFFF" w:val="clear"/>
            <w:tcMar>
              <w:top w:type="dxa" w:w="60"/>
              <w:left w:type="dxa" w:w="100"/>
              <w:bottom w:type="dxa" w:w="60"/>
              <w:right w:type="dxa" w:w="100"/>
            </w:tcMar>
          </w:tcPr>
          <w:p>
            <w:r>
              <w:rPr>
                <w:rFonts w:ascii="Times New Roman" w:cs="Times New Roman" w:eastAsia="Times New Roman" w:hAnsi="Times New Roman"/>
                <w:color w:val="1F2937"/>
                <w:sz w:val="22"/>
                <w:szCs w:val="22"/>
              </w:rPr>
              <w:t xml:space="preserve">Ami·e</w:t>
            </w:r>
          </w:p>
        </w:tc>
        <w:tc>
          <w:tcPr>
            <w:shd w:fill="FFFFFF" w:val="clear"/>
            <w:tcMar>
              <w:top w:type="dxa" w:w="60"/>
              <w:left w:type="dxa" w:w="100"/>
              <w:bottom w:type="dxa" w:w="60"/>
              <w:right w:type="dxa" w:w="100"/>
            </w:tcMar>
          </w:tcPr>
          <w:p>
            <w:r>
              <w:rPr>
                <w:rFonts w:ascii="Times New Roman" w:cs="Times New Roman" w:eastAsia="Times New Roman" w:hAnsi="Times New Roman"/>
                <w:color w:val="1F2937"/>
                <w:sz w:val="22"/>
                <w:szCs w:val="22"/>
              </w:rPr>
              <w:t xml:space="preserve"/>
            </w:r>
          </w:p>
        </w:tc>
        <w:tc>
          <w:tcPr>
            <w:shd w:fill="FFFFFF" w:val="clear"/>
            <w:tcMar>
              <w:top w:type="dxa" w:w="60"/>
              <w:left w:type="dxa" w:w="100"/>
              <w:bottom w:type="dxa" w:w="60"/>
              <w:right w:type="dxa" w:w="100"/>
            </w:tcMar>
          </w:tcPr>
          <w:p>
            <w:r>
              <w:rPr>
                <w:rFonts w:ascii="Times New Roman" w:cs="Times New Roman" w:eastAsia="Times New Roman" w:hAnsi="Times New Roman"/>
                <w:color w:val="1F2937"/>
                <w:sz w:val="22"/>
                <w:szCs w:val="22"/>
              </w:rPr>
              <w:t xml:space="preserve"/>
            </w:r>
          </w:p>
        </w:tc>
        <w:tc>
          <w:tcPr>
            <w:shd w:fill="FFFFFF" w:val="clear"/>
            <w:tcMar>
              <w:top w:type="dxa" w:w="60"/>
              <w:left w:type="dxa" w:w="100"/>
              <w:bottom w:type="dxa" w:w="60"/>
              <w:right w:type="dxa" w:w="100"/>
            </w:tcMar>
          </w:tcPr>
          <w:p>
            <w:r>
              <w:rPr>
                <w:rFonts w:ascii="Times New Roman" w:cs="Times New Roman" w:eastAsia="Times New Roman" w:hAnsi="Times New Roman"/>
                <w:color w:val="1F2937"/>
                <w:sz w:val="22"/>
                <w:szCs w:val="22"/>
              </w:rPr>
              <w:t xml:space="preserve"/>
            </w:r>
          </w:p>
        </w:tc>
      </w:tr>
      <w:tr>
        <w:tc>
          <w:tcPr>
            <w:shd w:fill="EEF2F7" w:val="clear"/>
            <w:tcMar>
              <w:top w:type="dxa" w:w="60"/>
              <w:left w:type="dxa" w:w="100"/>
              <w:bottom w:type="dxa" w:w="60"/>
              <w:right w:type="dxa" w:w="100"/>
            </w:tcMar>
          </w:tcPr>
          <w:p>
            <w:r>
              <w:rPr>
                <w:rFonts w:ascii="Times New Roman" w:cs="Times New Roman" w:eastAsia="Times New Roman" w:hAnsi="Times New Roman"/>
                <w:color w:val="1F2937"/>
                <w:sz w:val="22"/>
                <w:szCs w:val="22"/>
              </w:rPr>
              <w:t xml:space="preserve">Autre rôle…</w:t>
            </w:r>
          </w:p>
        </w:tc>
        <w:tc>
          <w:tcPr>
            <w:shd w:fill="EEF2F7" w:val="clear"/>
            <w:tcMar>
              <w:top w:type="dxa" w:w="60"/>
              <w:left w:type="dxa" w:w="100"/>
              <w:bottom w:type="dxa" w:w="60"/>
              <w:right w:type="dxa" w:w="100"/>
            </w:tcMar>
          </w:tcPr>
          <w:p>
            <w:r>
              <w:rPr>
                <w:rFonts w:ascii="Times New Roman" w:cs="Times New Roman" w:eastAsia="Times New Roman" w:hAnsi="Times New Roman"/>
                <w:color w:val="1F2937"/>
                <w:sz w:val="22"/>
                <w:szCs w:val="22"/>
              </w:rPr>
              <w:t xml:space="preserve"/>
            </w:r>
          </w:p>
        </w:tc>
        <w:tc>
          <w:tcPr>
            <w:shd w:fill="EEF2F7" w:val="clear"/>
            <w:tcMar>
              <w:top w:type="dxa" w:w="60"/>
              <w:left w:type="dxa" w:w="100"/>
              <w:bottom w:type="dxa" w:w="60"/>
              <w:right w:type="dxa" w:w="100"/>
            </w:tcMar>
          </w:tcPr>
          <w:p>
            <w:r>
              <w:rPr>
                <w:rFonts w:ascii="Times New Roman" w:cs="Times New Roman" w:eastAsia="Times New Roman" w:hAnsi="Times New Roman"/>
                <w:color w:val="1F2937"/>
                <w:sz w:val="22"/>
                <w:szCs w:val="22"/>
              </w:rPr>
              <w:t xml:space="preserve"/>
            </w:r>
          </w:p>
        </w:tc>
        <w:tc>
          <w:tcPr>
            <w:shd w:fill="EEF2F7" w:val="clear"/>
            <w:tcMar>
              <w:top w:type="dxa" w:w="60"/>
              <w:left w:type="dxa" w:w="100"/>
              <w:bottom w:type="dxa" w:w="60"/>
              <w:right w:type="dxa" w:w="100"/>
            </w:tcMar>
          </w:tcPr>
          <w:p>
            <w:r>
              <w:rPr>
                <w:rFonts w:ascii="Times New Roman" w:cs="Times New Roman" w:eastAsia="Times New Roman" w:hAnsi="Times New Roman"/>
                <w:color w:val="1F2937"/>
                <w:sz w:val="22"/>
                <w:szCs w:val="22"/>
              </w:rPr>
              <w:t xml:space="preserve"/>
            </w:r>
          </w:p>
        </w:tc>
      </w:tr>
    </w:tbl>
    <w:p>
      <w:pPr>
        <w:spacing w:after="80"/>
      </w:pPr>
    </w:p>
    <w:p>
      <w:pPr>
        <w:spacing w:after="120"/>
      </w:pPr>
      <w:r>
        <w:rPr>
          <w:rFonts w:ascii="Times New Roman" w:cs="Times New Roman" w:eastAsia="Times New Roman" w:hAnsi="Times New Roman"/>
          <w:color w:val="1F2937"/>
          <w:sz w:val="22"/>
          <w:szCs w:val="22"/>
        </w:rPr>
        <w:t xml:space="preserve">Questions après l'exercice :</w:t>
      </w:r>
    </w:p>
    <w:p>
      <w:pPr>
        <w:pStyle w:val="ListParagraph"/>
        <w:numPr>
          <w:ilvl w:val="0"/>
          <w:numId w:val="1"/>
        </w:numPr>
        <w:spacing w:after="80"/>
      </w:pPr>
      <w:r>
        <w:rPr>
          <w:rFonts w:ascii="Times New Roman" w:cs="Times New Roman" w:eastAsia="Times New Roman" w:hAnsi="Times New Roman"/>
          <w:color w:val="1F2937"/>
          <w:sz w:val="22"/>
          <w:szCs w:val="22"/>
        </w:rPr>
        <w:t xml:space="preserve">Y a-t-il un rôle dont les devoirs te semblent trop exigeants par rapport à tes ressources actuelles ?</w:t>
      </w:r>
    </w:p>
    <w:p>
      <w:pPr>
        <w:pStyle w:val="ListParagraph"/>
        <w:numPr>
          <w:ilvl w:val="0"/>
          <w:numId w:val="1"/>
        </w:numPr>
        <w:spacing w:after="80"/>
      </w:pPr>
      <w:r>
        <w:rPr>
          <w:rFonts w:ascii="Times New Roman" w:cs="Times New Roman" w:eastAsia="Times New Roman" w:hAnsi="Times New Roman"/>
          <w:color w:val="1F2937"/>
          <w:sz w:val="22"/>
          <w:szCs w:val="22"/>
        </w:rPr>
        <w:t xml:space="preserve">Y a-t-il un rôle que tu assumes sans avoir jamais explicité les devoirs qu'il implique ?</w:t>
      </w:r>
    </w:p>
    <w:p>
      <w:pPr>
        <w:pStyle w:val="ListParagraph"/>
        <w:numPr>
          <w:ilvl w:val="0"/>
          <w:numId w:val="1"/>
        </w:numPr>
        <w:spacing w:after="80"/>
      </w:pPr>
      <w:r>
        <w:rPr>
          <w:rFonts w:ascii="Times New Roman" w:cs="Times New Roman" w:eastAsia="Times New Roman" w:hAnsi="Times New Roman"/>
          <w:color w:val="1F2937"/>
          <w:sz w:val="22"/>
          <w:szCs w:val="22"/>
        </w:rPr>
        <w:t xml:space="preserve">Reviens à ce tableau dans une semaine et note ce qui a changé — ou non.</w:t>
      </w:r>
    </w:p>
    <w:p>
      <w:pPr>
        <w:pBdr>
          <w:bottom w:val="single" w:color="1B3A6B" w:sz="6" w:space="4"/>
        </w:pBdr>
        <w:spacing w:after="240" w:before="240"/>
      </w:pPr>
    </w:p>
    <w:p>
      <w:pPr>
        <w:spacing w:after="120" w:before="280"/>
      </w:pPr>
      <w:r>
        <w:rPr>
          <w:rFonts w:ascii="Times New Roman" w:cs="Times New Roman" w:eastAsia="Times New Roman" w:hAnsi="Times New Roman"/>
          <w:b/>
          <w:bCs/>
          <w:color w:val="1F2937"/>
          <w:sz w:val="26"/>
          <w:szCs w:val="26"/>
        </w:rPr>
        <w:t xml:space="preserve">Exercice 3 — Les cercles de Hiéroclès : cartographier ses obligations</w:t>
      </w:r>
    </w:p>
    <w:p>
      <w:pPr>
        <w:spacing w:after="120"/>
      </w:pPr>
      <w:r>
        <w:rPr>
          <w:rFonts w:ascii="Times New Roman" w:cs="Times New Roman" w:eastAsia="Times New Roman" w:hAnsi="Times New Roman"/>
          <w:color w:val="1F2937"/>
          <w:sz w:val="22"/>
          <w:szCs w:val="22"/>
        </w:rPr>
        <w:t xml:space="preserve">Dessine dans ton journal cinq cercles concentriques. Inscris dans chacun les personnes ou entités concernées. L'exercice prend 10 à 15 minutes.</w:t>
      </w:r>
    </w:p>
    <w:p>
      <w:pPr>
        <w:spacing w:after="80"/>
      </w:pPr>
    </w:p>
    <w:p>
      <w:pPr>
        <w:pStyle w:val="ListParagraph"/>
        <w:numPr>
          <w:ilvl w:val="0"/>
          <w:numId w:val="1"/>
        </w:numPr>
        <w:spacing w:after="80"/>
      </w:pPr>
      <w:r>
        <w:rPr>
          <w:rFonts w:ascii="Times New Roman" w:cs="Times New Roman" w:eastAsia="Times New Roman" w:hAnsi="Times New Roman"/>
          <w:b/>
          <w:bCs/>
          <w:color w:val="1F2937"/>
          <w:sz w:val="22"/>
          <w:szCs w:val="22"/>
        </w:rPr>
        <w:t xml:space="preserve">Centre : </w:t>
      </w:r>
      <w:r>
        <w:rPr>
          <w:rFonts w:ascii="Times New Roman" w:cs="Times New Roman" w:eastAsia="Times New Roman" w:hAnsi="Times New Roman"/>
          <w:color w:val="1F2937"/>
          <w:sz w:val="22"/>
          <w:szCs w:val="22"/>
        </w:rPr>
        <w:t xml:space="preserve">Toi-même (tes besoins, ta santé, ton équilibre intérieur)</w:t>
      </w:r>
    </w:p>
    <w:p>
      <w:pPr>
        <w:pStyle w:val="ListParagraph"/>
        <w:numPr>
          <w:ilvl w:val="0"/>
          <w:numId w:val="1"/>
        </w:numPr>
        <w:spacing w:after="80"/>
      </w:pPr>
      <w:r>
        <w:rPr>
          <w:rFonts w:ascii="Times New Roman" w:cs="Times New Roman" w:eastAsia="Times New Roman" w:hAnsi="Times New Roman"/>
          <w:b/>
          <w:bCs/>
          <w:color w:val="1F2937"/>
          <w:sz w:val="22"/>
          <w:szCs w:val="22"/>
        </w:rPr>
        <w:t xml:space="preserve">Cercle 1 : </w:t>
      </w:r>
      <w:r>
        <w:rPr>
          <w:rFonts w:ascii="Times New Roman" w:cs="Times New Roman" w:eastAsia="Times New Roman" w:hAnsi="Times New Roman"/>
          <w:color w:val="1F2937"/>
          <w:sz w:val="22"/>
          <w:szCs w:val="22"/>
        </w:rPr>
        <w:t xml:space="preserve">Famille proche (conjoint·e, enfants, parents)</w:t>
      </w:r>
    </w:p>
    <w:p>
      <w:pPr>
        <w:pStyle w:val="ListParagraph"/>
        <w:numPr>
          <w:ilvl w:val="0"/>
          <w:numId w:val="1"/>
        </w:numPr>
        <w:spacing w:after="80"/>
      </w:pPr>
      <w:r>
        <w:rPr>
          <w:rFonts w:ascii="Times New Roman" w:cs="Times New Roman" w:eastAsia="Times New Roman" w:hAnsi="Times New Roman"/>
          <w:b/>
          <w:bCs/>
          <w:color w:val="1F2937"/>
          <w:sz w:val="22"/>
          <w:szCs w:val="22"/>
        </w:rPr>
        <w:t xml:space="preserve">Cercle 2 : </w:t>
      </w:r>
      <w:r>
        <w:rPr>
          <w:rFonts w:ascii="Times New Roman" w:cs="Times New Roman" w:eastAsia="Times New Roman" w:hAnsi="Times New Roman"/>
          <w:color w:val="1F2937"/>
          <w:sz w:val="22"/>
          <w:szCs w:val="22"/>
        </w:rPr>
        <w:t xml:space="preserve">Amis proches</w:t>
      </w:r>
    </w:p>
    <w:p>
      <w:pPr>
        <w:pStyle w:val="ListParagraph"/>
        <w:numPr>
          <w:ilvl w:val="0"/>
          <w:numId w:val="1"/>
        </w:numPr>
        <w:spacing w:after="80"/>
      </w:pPr>
      <w:r>
        <w:rPr>
          <w:rFonts w:ascii="Times New Roman" w:cs="Times New Roman" w:eastAsia="Times New Roman" w:hAnsi="Times New Roman"/>
          <w:b/>
          <w:bCs/>
          <w:color w:val="1F2937"/>
          <w:sz w:val="22"/>
          <w:szCs w:val="22"/>
        </w:rPr>
        <w:t xml:space="preserve">Cercle 3 : </w:t>
      </w:r>
      <w:r>
        <w:rPr>
          <w:rFonts w:ascii="Times New Roman" w:cs="Times New Roman" w:eastAsia="Times New Roman" w:hAnsi="Times New Roman"/>
          <w:color w:val="1F2937"/>
          <w:sz w:val="22"/>
          <w:szCs w:val="22"/>
        </w:rPr>
        <w:t xml:space="preserve">Communauté professionnelle (équipe, collègues, usagers)</w:t>
      </w:r>
    </w:p>
    <w:p>
      <w:pPr>
        <w:pStyle w:val="ListParagraph"/>
        <w:numPr>
          <w:ilvl w:val="0"/>
          <w:numId w:val="1"/>
        </w:numPr>
        <w:spacing w:after="80"/>
      </w:pPr>
      <w:r>
        <w:rPr>
          <w:rFonts w:ascii="Times New Roman" w:cs="Times New Roman" w:eastAsia="Times New Roman" w:hAnsi="Times New Roman"/>
          <w:b/>
          <w:bCs/>
          <w:color w:val="1F2937"/>
          <w:sz w:val="22"/>
          <w:szCs w:val="22"/>
        </w:rPr>
        <w:t xml:space="preserve">Cercle 4 : </w:t>
      </w:r>
      <w:r>
        <w:rPr>
          <w:rFonts w:ascii="Times New Roman" w:cs="Times New Roman" w:eastAsia="Times New Roman" w:hAnsi="Times New Roman"/>
          <w:color w:val="1F2937"/>
          <w:sz w:val="22"/>
          <w:szCs w:val="22"/>
        </w:rPr>
        <w:t xml:space="preserve">Cité (voisinage, vie associative, participation civique)</w:t>
      </w:r>
    </w:p>
    <w:p>
      <w:pPr>
        <w:pStyle w:val="ListParagraph"/>
        <w:numPr>
          <w:ilvl w:val="0"/>
          <w:numId w:val="1"/>
        </w:numPr>
        <w:spacing w:after="80"/>
      </w:pPr>
      <w:r>
        <w:rPr>
          <w:rFonts w:ascii="Times New Roman" w:cs="Times New Roman" w:eastAsia="Times New Roman" w:hAnsi="Times New Roman"/>
          <w:b/>
          <w:bCs/>
          <w:color w:val="1F2937"/>
          <w:sz w:val="22"/>
          <w:szCs w:val="22"/>
        </w:rPr>
        <w:t xml:space="preserve">Cercle 5 : </w:t>
      </w:r>
      <w:r>
        <w:rPr>
          <w:rFonts w:ascii="Times New Roman" w:cs="Times New Roman" w:eastAsia="Times New Roman" w:hAnsi="Times New Roman"/>
          <w:color w:val="1F2937"/>
          <w:sz w:val="22"/>
          <w:szCs w:val="22"/>
        </w:rPr>
        <w:t xml:space="preserve">Humanité (inconnus, causes lointaines, générations futures)</w:t>
      </w:r>
    </w:p>
    <w:p>
      <w:pPr>
        <w:spacing w:after="80"/>
      </w:pPr>
    </w:p>
    <w:p>
      <w:pPr>
        <w:spacing w:after="120"/>
      </w:pPr>
      <w:r>
        <w:rPr>
          <w:rFonts w:ascii="Times New Roman" w:cs="Times New Roman" w:eastAsia="Times New Roman" w:hAnsi="Times New Roman"/>
          <w:color w:val="1F2937"/>
          <w:sz w:val="22"/>
          <w:szCs w:val="22"/>
        </w:rPr>
        <w:t xml:space="preserve">Questions de réflexion après le dessin :</w:t>
      </w:r>
    </w:p>
    <w:p>
      <w:pPr>
        <w:pStyle w:val="ListParagraph"/>
        <w:numPr>
          <w:ilvl w:val="0"/>
          <w:numId w:val="1"/>
        </w:numPr>
        <w:spacing w:after="80"/>
      </w:pPr>
      <w:r>
        <w:rPr>
          <w:rFonts w:ascii="Times New Roman" w:cs="Times New Roman" w:eastAsia="Times New Roman" w:hAnsi="Times New Roman"/>
          <w:color w:val="1F2937"/>
          <w:sz w:val="22"/>
          <w:szCs w:val="22"/>
        </w:rPr>
        <w:t xml:space="preserve">Quel cercle reçoit le moins de ton attention réelle — pas de tes intentions, mais de ton temps et de ton énergie effectifs ?</w:t>
      </w:r>
    </w:p>
    <w:p>
      <w:pPr>
        <w:pStyle w:val="ListParagraph"/>
        <w:numPr>
          <w:ilvl w:val="0"/>
          <w:numId w:val="1"/>
        </w:numPr>
        <w:spacing w:after="80"/>
      </w:pPr>
      <w:r>
        <w:rPr>
          <w:rFonts w:ascii="Times New Roman" w:cs="Times New Roman" w:eastAsia="Times New Roman" w:hAnsi="Times New Roman"/>
          <w:color w:val="1F2937"/>
          <w:sz w:val="22"/>
          <w:szCs w:val="22"/>
        </w:rPr>
        <w:t xml:space="preserve">Y a-t-il un cercle que tu surinvestis au détriment des autres ?</w:t>
      </w:r>
    </w:p>
    <w:p>
      <w:pPr>
        <w:pStyle w:val="ListParagraph"/>
        <w:numPr>
          <w:ilvl w:val="0"/>
          <w:numId w:val="1"/>
        </w:numPr>
        <w:spacing w:after="80"/>
      </w:pPr>
      <w:r>
        <w:rPr>
          <w:rFonts w:ascii="Times New Roman" w:cs="Times New Roman" w:eastAsia="Times New Roman" w:hAnsi="Times New Roman"/>
          <w:color w:val="1F2937"/>
          <w:sz w:val="22"/>
          <w:szCs w:val="22"/>
        </w:rPr>
        <w:t xml:space="preserve">Choisis cette semaine UN cercle extérieur que tu vas « ramener vers le centre » par un acte concret et délibéré. Lequel ? Quel acte ?</w:t>
      </w:r>
    </w:p>
    <w:p>
      <w:pPr>
        <w:spacing w:after="80"/>
      </w:pPr>
    </w:p>
    <w:p>
      <w:pPr>
        <w:spacing w:after="120"/>
      </w:pPr>
      <w:r>
        <w:rPr>
          <w:rFonts w:ascii="Times New Roman" w:cs="Times New Roman" w:eastAsia="Times New Roman" w:hAnsi="Times New Roman"/>
          <w:color w:val="1F2937"/>
          <w:sz w:val="22"/>
          <w:szCs w:val="22"/>
        </w:rPr>
        <w:t xml:space="preserve">Note stoïcienne : ce n'est pas un exercice de culpabilisation. C'est un outil de diagnostic. L'objectif n'est pas d'investir tous les cercles également — c'est impossible — mais de choisir consciemment où tu places ton énergie, plutôt que de le subir.</w:t>
      </w:r>
    </w:p>
    <w:p>
      <w:pPr>
        <w:pBdr>
          <w:bottom w:val="single" w:color="1B3A6B" w:sz="6" w:space="4"/>
        </w:pBdr>
        <w:spacing w:after="240" w:before="240"/>
      </w:pPr>
    </w:p>
    <w:p>
      <w:pPr>
        <w:spacing w:after="160" w:before="400"/>
      </w:pPr>
      <w:r>
        <w:rPr>
          <w:rFonts w:ascii="Times New Roman" w:cs="Times New Roman" w:eastAsia="Times New Roman" w:hAnsi="Times New Roman"/>
          <w:b/>
          <w:bCs/>
          <w:color w:val="1B3A6B"/>
          <w:sz w:val="30"/>
          <w:szCs w:val="30"/>
        </w:rPr>
        <w:t xml:space="preserve">🎯 Challenge — Arbitrer entre deux devoirs</w:t>
      </w:r>
    </w:p>
    <w:p>
      <w:pPr>
        <w:spacing w:after="120"/>
      </w:pPr>
      <w:r>
        <w:rPr>
          <w:rFonts w:ascii="Times New Roman" w:cs="Times New Roman" w:eastAsia="Times New Roman" w:hAnsi="Times New Roman"/>
          <w:color w:val="1F2937"/>
          <w:sz w:val="22"/>
          <w:szCs w:val="22"/>
        </w:rPr>
        <w:t xml:space="preserve">Pense à une situation récente — professionnelle ou personnelle — où deux kathêkon s'affrontaient : par exemple, un devoir envers un proche versus une obligation professionnelle ; un engagement public versus une priorité familiale.</w:t>
      </w:r>
    </w:p>
    <w:p>
      <w:pPr>
        <w:spacing w:after="80"/>
      </w:pPr>
    </w:p>
    <w:p>
      <w:pPr>
        <w:spacing w:after="120"/>
      </w:pPr>
      <w:r>
        <w:rPr>
          <w:rFonts w:ascii="Times New Roman" w:cs="Times New Roman" w:eastAsia="Times New Roman" w:hAnsi="Times New Roman"/>
          <w:color w:val="1F2937"/>
          <w:sz w:val="22"/>
          <w:szCs w:val="22"/>
        </w:rPr>
        <w:t xml:space="preserve">Analyse la situation en quatre étapes dans ton journal :</w:t>
      </w:r>
    </w:p>
    <w:p>
      <w:pPr>
        <w:pStyle w:val="ListParagraph"/>
        <w:numPr>
          <w:ilvl w:val="0"/>
          <w:numId w:val="1"/>
        </w:numPr>
        <w:spacing w:after="80"/>
      </w:pPr>
      <w:r>
        <w:rPr>
          <w:rFonts w:ascii="Times New Roman" w:cs="Times New Roman" w:eastAsia="Times New Roman" w:hAnsi="Times New Roman"/>
          <w:color w:val="1F2937"/>
          <w:sz w:val="22"/>
          <w:szCs w:val="22"/>
        </w:rPr>
        <w:t xml:space="preserve">1.  Quels rôles étaient en jeu ? Nomme-les précisément.</w:t>
      </w:r>
    </w:p>
    <w:p>
      <w:pPr>
        <w:pStyle w:val="ListParagraph"/>
        <w:numPr>
          <w:ilvl w:val="0"/>
          <w:numId w:val="1"/>
        </w:numPr>
        <w:spacing w:after="80"/>
      </w:pPr>
      <w:r>
        <w:rPr>
          <w:rFonts w:ascii="Times New Roman" w:cs="Times New Roman" w:eastAsia="Times New Roman" w:hAnsi="Times New Roman"/>
          <w:color w:val="1F2937"/>
          <w:sz w:val="22"/>
          <w:szCs w:val="22"/>
        </w:rPr>
        <w:t xml:space="preserve">2.  Selon la hiérarchie de Cicéron (patrie et parents &gt; famille proche &gt; communauté élargie), quel devoir primait en théorie ?</w:t>
      </w:r>
    </w:p>
    <w:p>
      <w:pPr>
        <w:pStyle w:val="ListParagraph"/>
        <w:numPr>
          <w:ilvl w:val="0"/>
          <w:numId w:val="1"/>
        </w:numPr>
        <w:spacing w:after="80"/>
      </w:pPr>
      <w:r>
        <w:rPr>
          <w:rFonts w:ascii="Times New Roman" w:cs="Times New Roman" w:eastAsia="Times New Roman" w:hAnsi="Times New Roman"/>
          <w:color w:val="1F2937"/>
          <w:sz w:val="22"/>
          <w:szCs w:val="22"/>
        </w:rPr>
        <w:t xml:space="preserve">3.  L'action que tu as choisie était-elle conforme à cette hiérarchie ? Sinon, pourquoi ?</w:t>
      </w:r>
    </w:p>
    <w:p>
      <w:pPr>
        <w:pStyle w:val="ListParagraph"/>
        <w:numPr>
          <w:ilvl w:val="0"/>
          <w:numId w:val="1"/>
        </w:numPr>
        <w:spacing w:after="80"/>
      </w:pPr>
      <w:r>
        <w:rPr>
          <w:rFonts w:ascii="Times New Roman" w:cs="Times New Roman" w:eastAsia="Times New Roman" w:hAnsi="Times New Roman"/>
          <w:color w:val="1F2937"/>
          <w:sz w:val="22"/>
          <w:szCs w:val="22"/>
        </w:rPr>
        <w:t xml:space="preserve">4.  Comment un stoïcien expérimenté — Marc Aurèle, Épictète — aurait-il arbitré ? Qu'aurait-il sacrifié, et dans quel état intérieur ?</w:t>
      </w:r>
    </w:p>
    <w:p>
      <w:pPr>
        <w:spacing w:after="80"/>
      </w:pPr>
    </w:p>
    <w:p>
      <w:pPr>
        <w:spacing w:after="120"/>
      </w:pPr>
      <w:r>
        <w:rPr>
          <w:rFonts w:ascii="Times New Roman" w:cs="Times New Roman" w:eastAsia="Times New Roman" w:hAnsi="Times New Roman"/>
          <w:color w:val="1F2937"/>
          <w:sz w:val="22"/>
          <w:szCs w:val="22"/>
        </w:rPr>
        <w:t xml:space="preserve">Clé de lecture : l'objectif n'est pas de culpabiliser du choix passé, mais d'affiner la boussole pour les arbitrages futurs. Les stoïciens savent que les devoirs entrent en conflit — ils cherchent à clarifier les priorités avant d'agir plutôt qu'à les rationaliser après.</w:t>
      </w:r>
    </w:p>
    <w:p>
      <w:pPr>
        <w:pBdr>
          <w:bottom w:val="single" w:color="1B3A6B" w:sz="6" w:space="4"/>
        </w:pBdr>
        <w:spacing w:after="240" w:before="240"/>
      </w:pPr>
    </w:p>
    <w:p>
      <w:pPr>
        <w:spacing w:after="160" w:before="400"/>
      </w:pPr>
      <w:r>
        <w:rPr>
          <w:rFonts w:ascii="Times New Roman" w:cs="Times New Roman" w:eastAsia="Times New Roman" w:hAnsi="Times New Roman"/>
          <w:b/>
          <w:bCs/>
          <w:color w:val="1B3A6B"/>
          <w:sz w:val="30"/>
          <w:szCs w:val="30"/>
        </w:rPr>
        <w:t xml:space="preserve">🌉 Pont pro (chef de service en ESSMS)</w:t>
      </w:r>
    </w:p>
    <w:p>
      <w:pPr>
        <w:spacing w:after="120"/>
      </w:pPr>
      <w:r>
        <w:rPr>
          <w:rFonts w:ascii="Times New Roman" w:cs="Times New Roman" w:eastAsia="Times New Roman" w:hAnsi="Times New Roman"/>
          <w:color w:val="1F2937"/>
          <w:sz w:val="22"/>
          <w:szCs w:val="22"/>
        </w:rPr>
        <w:t xml:space="preserve">Le kathêkon stoïcien rappelle qu'une fonction d'encadrement n'est pas un attribut, mais un rôle — porteur de devoirs spécifiques envers chaque cercle : les personnes accompagnées, l'équipe, l'institution, les familles, la société.</w:t>
      </w:r>
    </w:p>
    <w:p>
      <w:pPr>
        <w:spacing w:after="120"/>
      </w:pPr>
      <w:r>
        <w:rPr>
          <w:rFonts w:ascii="Times New Roman" w:cs="Times New Roman" w:eastAsia="Times New Roman" w:hAnsi="Times New Roman"/>
          <w:color w:val="1F2937"/>
          <w:sz w:val="22"/>
          <w:szCs w:val="22"/>
        </w:rPr>
        <w:t xml:space="preserve">Selon Épictète, on ne peut pas décider d'ignorer les devoirs liés à un rôle tout en conservant ce rôle. La congruence entre la fonction occupée et les obligations assumées est elle-même une forme d'intégrité professionnelle — indépendamment de tout cadre réglementaire.</w:t>
      </w:r>
    </w:p>
    <w:p>
      <w:pPr>
        <w:spacing w:after="120"/>
      </w:pPr>
      <w:r>
        <w:rPr>
          <w:rFonts w:ascii="Times New Roman" w:cs="Times New Roman" w:eastAsia="Times New Roman" w:hAnsi="Times New Roman"/>
          <w:color w:val="1F2937"/>
          <w:sz w:val="22"/>
          <w:szCs w:val="22"/>
        </w:rPr>
        <w:t xml:space="preserve">(Observation de bon sens professionnel — ne relève d'aucune recommandation réglementaire spécifique.)</w:t>
      </w:r>
    </w:p>
    <w:p>
      <w:pPr>
        <w:pBdr>
          <w:bottom w:val="single" w:color="1B3A6B" w:sz="6" w:space="4"/>
        </w:pBdr>
        <w:spacing w:after="240" w:before="240"/>
      </w:pPr>
    </w:p>
    <w:p>
      <w:pPr>
        <w:spacing w:after="160" w:before="400"/>
      </w:pPr>
      <w:r>
        <w:rPr>
          <w:rFonts w:ascii="Times New Roman" w:cs="Times New Roman" w:eastAsia="Times New Roman" w:hAnsi="Times New Roman"/>
          <w:b/>
          <w:bCs/>
          <w:color w:val="1B3A6B"/>
          <w:sz w:val="30"/>
          <w:szCs w:val="30"/>
        </w:rPr>
        <w:t xml:space="preserve">📚 Ressources pour approfondir</w:t>
      </w:r>
    </w:p>
    <w:p>
      <w:pPr>
        <w:spacing w:after="120"/>
      </w:pPr>
      <w:r>
        <w:rPr>
          <w:rFonts w:ascii="Times New Roman" w:cs="Times New Roman" w:eastAsia="Times New Roman" w:hAnsi="Times New Roman"/>
          <w:color w:val="1F2937"/>
          <w:sz w:val="22"/>
          <w:szCs w:val="22"/>
        </w:rPr>
        <w:t xml:space="preserve">Sources consultées et testées (HTTP 200) pendant cette exécution :</w:t>
      </w:r>
    </w:p>
    <w:p>
      <w:pPr>
        <w:spacing w:after="80"/>
      </w:pPr>
    </w:p>
    <w:p>
      <w:pPr>
        <w:spacing w:after="120"/>
      </w:pPr>
      <w:hyperlink w:history="1" r:id="rId2vfdilh0oezuv_3ktww6p">
        <w:r>
          <w:rPr>
            <w:rFonts w:ascii="Times New Roman" w:cs="Times New Roman" w:eastAsia="Times New Roman" w:hAnsi="Times New Roman"/>
            <w:color w:val="1155CC"/>
            <w:sz w:val="22"/>
            <w:szCs w:val="22"/>
            <w:u w:val="single"/>
          </w:rPr>
          <w:t xml:space="preserve">Stanford Encyclopedia of Philosophy — Stoicism</w:t>
        </w:r>
      </w:hyperlink>
      <w:r>
        <w:rPr>
          <w:rFonts w:ascii="Times New Roman" w:cs="Times New Roman" w:eastAsia="Times New Roman" w:hAnsi="Times New Roman"/>
          <w:color w:val="1F2937"/>
          <w:sz w:val="22"/>
          <w:szCs w:val="22"/>
        </w:rPr>
        <w:t xml:space="preserve"> — Sections 4.3–4.5 : kathêkon, éthique sociale, cosmopolitisme stoïcien</w:t>
      </w:r>
    </w:p>
    <w:p>
      <w:pPr>
        <w:spacing w:after="120"/>
      </w:pPr>
      <w:hyperlink w:history="1" r:id="rIdpl-wczo74s-tz1d4y-csa">
        <w:r>
          <w:rPr>
            <w:rFonts w:ascii="Times New Roman" w:cs="Times New Roman" w:eastAsia="Times New Roman" w:hAnsi="Times New Roman"/>
            <w:color w:val="1155CC"/>
            <w:sz w:val="22"/>
            <w:szCs w:val="22"/>
            <w:u w:val="single"/>
          </w:rPr>
          <w:t xml:space="preserve">Stoicism — Massimo Pigliucci, Internet Encyclopedia of Philosophy</w:t>
        </w:r>
      </w:hyperlink>
      <w:r>
        <w:rPr>
          <w:rFonts w:ascii="Times New Roman" w:cs="Times New Roman" w:eastAsia="Times New Roman" w:hAnsi="Times New Roman"/>
          <w:color w:val="1F2937"/>
          <w:sz w:val="22"/>
          <w:szCs w:val="22"/>
        </w:rPr>
        <w:t xml:space="preserve"> — Kathêkon, oikeiôsis, engagement social ; Hiéroclès et les cercles concentriques</w:t>
      </w:r>
      <w:r>
        <w:rPr>
          <w:rFonts w:ascii="Times New Roman" w:cs="Times New Roman" w:eastAsia="Times New Roman" w:hAnsi="Times New Roman"/>
          <w:i/>
          <w:iCs/>
          <w:color w:val="6B7280"/>
          <w:sz w:val="20"/>
          <w:szCs w:val="20"/>
        </w:rPr>
        <w:t xml:space="preserve"> [Corrigé le 24/09/2026 : l'article est signé Massimo Pigliucci (City University of New York) ; la ligne ne portait que le nom de l'encyclopédie.]</w:t>
      </w:r>
    </w:p>
    <w:p>
      <w:pPr>
        <w:spacing w:after="120"/>
      </w:pPr>
      <w:hyperlink w:history="1" r:id="rId_fjlhw5g4mxqhvyiii8st">
        <w:r>
          <w:rPr>
            <w:rFonts w:ascii="Times New Roman" w:cs="Times New Roman" w:eastAsia="Times New Roman" w:hAnsi="Times New Roman"/>
            <w:color w:val="1155CC"/>
            <w:sz w:val="22"/>
            <w:szCs w:val="22"/>
            <w:u w:val="single"/>
          </w:rPr>
          <w:t xml:space="preserve">Marc Aurèle — Méditations, Livre III (trad. George Long)</w:t>
        </w:r>
      </w:hyperlink>
      <w:r>
        <w:rPr>
          <w:rFonts w:ascii="Times New Roman" w:cs="Times New Roman" w:eastAsia="Times New Roman" w:hAnsi="Times New Roman"/>
          <w:color w:val="1F2937"/>
          <w:sz w:val="22"/>
          <w:szCs w:val="22"/>
        </w:rPr>
        <w:t xml:space="preserve"> — Devoir envers l'humanité : « every rational animal is his kinsman »</w:t>
      </w:r>
    </w:p>
    <w:p>
      <w:pPr>
        <w:spacing w:after="120"/>
      </w:pPr>
      <w:hyperlink w:history="1" r:id="rIdipt-bpc9ljgw_g30czmkz">
        <w:r>
          <w:rPr>
            <w:rFonts w:ascii="Times New Roman" w:cs="Times New Roman" w:eastAsia="Times New Roman" w:hAnsi="Times New Roman"/>
            <w:color w:val="1155CC"/>
            <w:sz w:val="22"/>
            <w:szCs w:val="22"/>
            <w:u w:val="single"/>
          </w:rPr>
          <w:t xml:space="preserve">Marc Aurèle — Méditations, Livre VI (trad. George Long)</w:t>
        </w:r>
      </w:hyperlink>
      <w:r>
        <w:rPr>
          <w:rFonts w:ascii="Times New Roman" w:cs="Times New Roman" w:eastAsia="Times New Roman" w:hAnsi="Times New Roman"/>
          <w:color w:val="1F2937"/>
          <w:sz w:val="22"/>
          <w:szCs w:val="22"/>
        </w:rPr>
        <w:t xml:space="preserve"> — L'âme adaptée à la vie politique et à la coopération sociale</w:t>
      </w:r>
    </w:p>
    <w:p>
      <w:pPr>
        <w:spacing w:after="120"/>
      </w:pPr>
      <w:hyperlink w:history="1" r:id="rIddsfr0v2jvoh__uca-uwk_">
        <w:r>
          <w:rPr>
            <w:rFonts w:ascii="Times New Roman" w:cs="Times New Roman" w:eastAsia="Times New Roman" w:hAnsi="Times New Roman"/>
            <w:color w:val="1155CC"/>
            <w:sz w:val="22"/>
            <w:szCs w:val="22"/>
            <w:u w:val="single"/>
          </w:rPr>
          <w:t xml:space="preserve">Marc Aurèle — Méditations, Livre IX (trad. George Long)</w:t>
        </w:r>
      </w:hyperlink>
      <w:r>
        <w:rPr>
          <w:rFonts w:ascii="Times New Roman" w:cs="Times New Roman" w:eastAsia="Times New Roman" w:hAnsi="Times New Roman"/>
          <w:color w:val="1F2937"/>
          <w:sz w:val="22"/>
          <w:szCs w:val="22"/>
        </w:rPr>
        <w:t xml:space="preserve"> — Chaque acte comme composante de la vie sociale ; solidarité de l'âme rationnelle partagée</w:t>
      </w:r>
    </w:p>
    <w:p>
      <w:pPr>
        <w:spacing w:after="120"/>
      </w:pPr>
      <w:hyperlink w:history="1" r:id="rIdg8x58ndr-dwj87-vwnfcv">
        <w:r>
          <w:rPr>
            <w:rFonts w:ascii="Times New Roman" w:cs="Times New Roman" w:eastAsia="Times New Roman" w:hAnsi="Times New Roman"/>
            <w:color w:val="1155CC"/>
            <w:sz w:val="22"/>
            <w:szCs w:val="22"/>
            <w:u w:val="single"/>
          </w:rPr>
          <w:t xml:space="preserve">Épictète — Enchiridion (trad. Elizabeth Carter)</w:t>
        </w:r>
      </w:hyperlink>
      <w:r>
        <w:rPr>
          <w:rFonts w:ascii="Times New Roman" w:cs="Times New Roman" w:eastAsia="Times New Roman" w:hAnsi="Times New Roman"/>
          <w:color w:val="1F2937"/>
          <w:sz w:val="22"/>
          <w:szCs w:val="22"/>
        </w:rPr>
        <w:t xml:space="preserve"> — § 30 : les devoirs se mesurent par les relations, indépendamment du comportement d'autrui</w:t>
      </w:r>
    </w:p>
    <w:p>
      <w:pPr>
        <w:spacing w:after="120"/>
      </w:pPr>
      <w:hyperlink w:history="1" r:id="rIdh1nnrreq69c4gh3whtgmt">
        <w:r>
          <w:rPr>
            <w:rFonts w:ascii="Times New Roman" w:cs="Times New Roman" w:eastAsia="Times New Roman" w:hAnsi="Times New Roman"/>
            <w:color w:val="1155CC"/>
            <w:sz w:val="22"/>
            <w:szCs w:val="22"/>
            <w:u w:val="single"/>
          </w:rPr>
          <w:t xml:space="preserve">Wikipedia — De Officiis</w:t>
        </w:r>
      </w:hyperlink>
      <w:r>
        <w:rPr>
          <w:rFonts w:ascii="Times New Roman" w:cs="Times New Roman" w:eastAsia="Times New Roman" w:hAnsi="Times New Roman"/>
          <w:color w:val="1F2937"/>
          <w:sz w:val="22"/>
          <w:szCs w:val="22"/>
        </w:rPr>
        <w:t xml:space="preserve"> — Cicéron, De Officiis : structure, dette envers Panétius, influence sur l'Occident</w:t>
      </w:r>
    </w:p>
    <w:p>
      <w:pPr>
        <w:spacing w:after="120"/>
      </w:pPr>
      <w:hyperlink w:history="1" r:id="rIdqmonw0cbfmzs9wonqklbt">
        <w:r>
          <w:rPr>
            <w:rFonts w:ascii="Times New Roman" w:cs="Times New Roman" w:eastAsia="Times New Roman" w:hAnsi="Times New Roman"/>
            <w:color w:val="1155CC"/>
            <w:sz w:val="22"/>
            <w:szCs w:val="22"/>
            <w:u w:val="single"/>
          </w:rPr>
          <w:t xml:space="preserve">Modern Stoicism — Cicero's On Duties: A Guideline to Morality (Pete Fagella)</w:t>
        </w:r>
      </w:hyperlink>
      <w:r>
        <w:rPr>
          <w:rFonts w:ascii="Times New Roman" w:cs="Times New Roman" w:eastAsia="Times New Roman" w:hAnsi="Times New Roman"/>
          <w:color w:val="1F2937"/>
          <w:sz w:val="22"/>
          <w:szCs w:val="22"/>
        </w:rPr>
        <w:t xml:space="preserve"> — Lecture contemporaine du De Officiis à travers le prisme stoïcien</w:t>
      </w:r>
    </w:p>
    <w:p>
      <w:pPr>
        <w:spacing w:after="120"/>
      </w:pPr>
      <w:hyperlink w:history="1" r:id="rIdsqgjvipzxv7eq9lwmubrs">
        <w:r>
          <w:rPr>
            <w:rFonts w:ascii="Times New Roman" w:cs="Times New Roman" w:eastAsia="Times New Roman" w:hAnsi="Times New Roman"/>
            <w:color w:val="1155CC"/>
            <w:sz w:val="22"/>
            <w:szCs w:val="22"/>
            <w:u w:val="single"/>
          </w:rPr>
          <w:t xml:space="preserve">Stay Stoic — Panaetius of Rhodes</w:t>
        </w:r>
      </w:hyperlink>
      <w:r>
        <w:rPr>
          <w:rFonts w:ascii="Times New Roman" w:cs="Times New Roman" w:eastAsia="Times New Roman" w:hAnsi="Times New Roman"/>
          <w:color w:val="1F2937"/>
          <w:sz w:val="22"/>
          <w:szCs w:val="22"/>
        </w:rPr>
        <w:t xml:space="preserve"> — Panétius : kathêkon, stoïcisme moyen, transition vers la culture romaine</w:t>
      </w:r>
    </w:p>
    <w:p>
      <w:pPr>
        <w:pBdr>
          <w:bottom w:val="single" w:color="1B3A6B" w:sz="6" w:space="4"/>
        </w:pBdr>
        <w:spacing w:after="240" w:before="240"/>
      </w:pPr>
    </w:p>
    <w:p>
      <w:pPr>
        <w:spacing w:after="160" w:before="400"/>
      </w:pPr>
      <w:r>
        <w:rPr>
          <w:rFonts w:ascii="Times New Roman" w:cs="Times New Roman" w:eastAsia="Times New Roman" w:hAnsi="Times New Roman"/>
          <w:b/>
          <w:bCs/>
          <w:color w:val="1B3A6B"/>
          <w:sz w:val="30"/>
          <w:szCs w:val="30"/>
        </w:rPr>
        <w:t xml:space="preserve">🔜 Prochaine leçon</w:t>
      </w:r>
    </w:p>
    <w:p>
      <w:pPr>
        <w:spacing w:after="120"/>
      </w:pPr>
      <w:r>
        <w:rPr>
          <w:rFonts w:ascii="Times New Roman" w:cs="Times New Roman" w:eastAsia="Times New Roman" w:hAnsi="Times New Roman"/>
          <w:b/>
          <w:bCs/>
          <w:color w:val="1F2937"/>
          <w:sz w:val="22"/>
          <w:szCs w:val="22"/>
        </w:rPr>
        <w:t xml:space="preserve">Leçon 16 / 20 — </w:t>
      </w:r>
      <w:r>
        <w:rPr>
          <w:rFonts w:ascii="Times New Roman" w:cs="Times New Roman" w:eastAsia="Times New Roman" w:hAnsi="Times New Roman"/>
          <w:color w:val="1F2937"/>
          <w:sz w:val="22"/>
          <w:szCs w:val="22"/>
        </w:rPr>
        <w:t xml:space="preserve">Les exercices spirituels selon Pierre Hadot</w:t>
      </w:r>
    </w:p>
    <w:p>
      <w:pPr>
        <w:spacing w:after="120"/>
      </w:pPr>
      <w:r>
        <w:rPr>
          <w:rFonts w:ascii="Times New Roman" w:cs="Times New Roman" w:eastAsia="Times New Roman" w:hAnsi="Times New Roman"/>
          <w:color w:val="1F2937"/>
          <w:sz w:val="22"/>
          <w:szCs w:val="22"/>
        </w:rPr>
        <w:t xml:space="preserve">Pierre Hadot (1922-2010) a proposé une lecture des philosophies antiques — le stoïcisme en particulier — comme des systèmes d'exercices spirituels pratiques, et non de simples doctrines spéculatives. La prochaine leçon explorera comment sa grille de lecture éclaire et relie tout ce que nous avons pratiqué depuis la leçon 1 : prosechê (attention à soi), meditatio, vue d'en haut, dialogue intérieur, memento mori. Une leçon de synthèse avant le bilan final.</w:t>
      </w:r>
    </w:p>
    <w:p>
      <w:pPr>
        <w:pStyle w:val="Heading2"/>
        <w:spacing w:after="80" w:before="240"/>
      </w:pPr>
      <w:r>
        <w:rPr>
          <w:rFonts w:ascii="Times New Roman" w:cs="Times New Roman" w:eastAsia="Times New Roman" w:hAnsi="Times New Roman"/>
          <w:b/>
          <w:bCs/>
          <w:color w:val="1B3A6B"/>
          <w:sz w:val="30"/>
          <w:szCs w:val="30"/>
        </w:rPr>
        <w:t xml:space="preserve">📝 Journal des corrections</w:t>
      </w:r>
    </w:p>
    <w:p>
      <w:pPr>
        <w:spacing w:after="120"/>
      </w:pPr>
      <w:r>
        <w:rPr>
          <w:rFonts w:ascii="Times New Roman" w:cs="Times New Roman" w:eastAsia="Times New Roman" w:hAnsi="Times New Roman"/>
          <w:color w:val="1155CC"/>
          <w:sz w:val="22"/>
          <w:szCs w:val="22"/>
          <w:u w:val="single"/>
        </w:rPr>
        <w:t xml:space="preserve">Corrigée le 24/09/2026. « Internet Encyclopedia of Philosophy — Stoicism » → l'article est signé Massimo Pigliucci (City University of New York), signature portée en fin de page sous « Author Information ». Une encyclopédie publie, elle n'écrit pas ; la formulation d'origine est conservée ici, et seulement ici.</w:t>
      </w:r>
    </w:p>
    <w:p>
      <w:pPr>
        <w:spacing w:after="120"/>
      </w:pPr>
      <w:r>
        <w:rPr>
          <w:rFonts w:ascii="Times New Roman" w:cs="Times New Roman" w:eastAsia="Times New Roman" w:hAnsi="Times New Roman"/>
          <w:color w:val="1155CC"/>
          <w:sz w:val="22"/>
          <w:szCs w:val="22"/>
          <w:u w:val="single"/>
        </w:rPr>
        <w:t xml:space="preserve">② « L'Enchiridion d'Épictète, § 30 (trad. George Chrystal) », deux fois → la page du MIT porte « Translated by Elizabeth Carter » ; « Chrystal » n'y figure pas.</w:t>
      </w:r>
    </w:p>
    <w:p>
      <w:pPr>
        <w:spacing w:after="120"/>
      </w:pPr>
      <w:r>
        <w:rPr>
          <w:rFonts w:ascii="Times New Roman" w:cs="Times New Roman" w:eastAsia="Times New Roman" w:hAnsi="Times New Roman"/>
          <w:color w:val="1155CC"/>
          <w:sz w:val="22"/>
          <w:szCs w:val="22"/>
          <w:u w:val="single"/>
        </w:rPr>
        <w:t xml:space="preserve">③ « (Stanford Encyclopedia of Philosophy, section 4.5 — cosmopolitisme stoïcien.) » pour les cercles de Hiéroclès → la section 4.5 s'intitule « Stoic Cosmopolitanism » et ne porte pas les cercles ; l'IEP non plus (aucune occurrence de « concentric »). Les cercles sont transmis par Stobée.</w:t>
      </w:r>
    </w:p>
    <w:p>
      <w:pPr>
        <w:spacing w:after="120"/>
      </w:pPr>
      <w:r>
        <w:rPr>
          <w:rFonts w:ascii="Times New Roman" w:cs="Times New Roman" w:eastAsia="Times New Roman" w:hAnsi="Times New Roman"/>
          <w:color w:val="1155CC"/>
          <w:sz w:val="22"/>
          <w:szCs w:val="22"/>
          <w:u w:val="single"/>
        </w:rPr>
        <w:t xml:space="preserve">④ Corrigé de l'exercice 1 : « D → Ni l'un ni l'autre » quand C, motivé de la même façon par une contrainte extérieure, était « kathêkon minimal ». D devient un kathêkon mal motivé, cohérent avec C.</w:t>
      </w:r>
    </w:p>
    <w:sectPr>
      <w:pgSz w:w="11906" w:h="16838" w:orient="portrait"/>
      <w:pgMar w:top="1418" w:right="1418" w:bottom="1418"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2vfdilh0oezuv_3ktww6p" Type="http://schemas.openxmlformats.org/officeDocument/2006/relationships/hyperlink" Target="https://plato.stanford.edu/entries/stoicism/" TargetMode="External"/><Relationship Id="rIdpl-wczo74s-tz1d4y-csa" Type="http://schemas.openxmlformats.org/officeDocument/2006/relationships/hyperlink" Target="https://iep.utm.edu/stoicism/" TargetMode="External"/><Relationship Id="rId_fjlhw5g4mxqhvyiii8st" Type="http://schemas.openxmlformats.org/officeDocument/2006/relationships/hyperlink" Target="https://classics.mit.edu/Antoninus/meditations.3.three.html" TargetMode="External"/><Relationship Id="rIdipt-bpc9ljgw_g30czmkz" Type="http://schemas.openxmlformats.org/officeDocument/2006/relationships/hyperlink" Target="https://classics.mit.edu/Antoninus/meditations.6.six.html" TargetMode="External"/><Relationship Id="rIddsfr0v2jvoh__uca-uwk_" Type="http://schemas.openxmlformats.org/officeDocument/2006/relationships/hyperlink" Target="https://classics.mit.edu/Antoninus/meditations.9.nine.html" TargetMode="External"/><Relationship Id="rIdg8x58ndr-dwj87-vwnfcv" Type="http://schemas.openxmlformats.org/officeDocument/2006/relationships/hyperlink" Target="https://classics.mit.edu/Epictetus/epicench.html" TargetMode="External"/><Relationship Id="rIdh1nnrreq69c4gh3whtgmt" Type="http://schemas.openxmlformats.org/officeDocument/2006/relationships/hyperlink" Target="https://en.wikipedia.org/wiki/De_Officiis" TargetMode="External"/><Relationship Id="rIdqmonw0cbfmzs9wonqklbt" Type="http://schemas.openxmlformats.org/officeDocument/2006/relationships/hyperlink" Target="https://modernstoicism.com/ciceros-on-duties-a-guideline-to-morality-by-pete-fagella/" TargetMode="External"/><Relationship Id="rIdsqgjvipzxv7eq9lwmubrs" Type="http://schemas.openxmlformats.org/officeDocument/2006/relationships/hyperlink" Target="https://stay-stoic.com/en/stoic-philosophers/panaetius-of-rhodes/" TargetMode="External"/><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Leçon Stoïcisme n°15 — Le devoir (kathêkon) et l'engagement dans la cité</dc:title>
  <dc:creator>Claude</dc:creator>
  <cp:lastModifiedBy>Un-named</cp:lastModifiedBy>
  <cp:revision>1</cp:revision>
  <dcterms:created xsi:type="dcterms:W3CDTF">2026-09-17T06:13:43.525Z</dcterms:created>
  <dcterms:modified xsi:type="dcterms:W3CDTF">2026-09-17T06:13:43.528Z</dcterms:modified>
</cp:coreProperties>
</file>

<file path=docProps/custom.xml><?xml version="1.0" encoding="utf-8"?>
<Properties xmlns="http://schemas.openxmlformats.org/officeDocument/2006/custom-properties" xmlns:vt="http://schemas.openxmlformats.org/officeDocument/2006/docPropsVTypes"/>
</file>