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Times New Roman" w:cs="Times New Roman" w:eastAsia="Times New Roman" w:hAnsi="Times New Roman"/>
          <w:b/>
          <w:bCs/>
          <w:color w:val="1B3A6B"/>
          <w:sz w:val="52"/>
          <w:szCs w:val="52"/>
        </w:rPr>
        <w:t xml:space="preserve">Leçon Dzogchen n°18 — Le dzogchen dans la tradition bön</w:t>
      </w:r>
    </w:p>
    <w:p>
      <w:pPr>
        <w:spacing w:after="100"/>
        <w:jc w:val="center"/>
      </w:pPr>
      <w:r>
        <w:rPr>
          <w:rFonts w:ascii="Times New Roman" w:cs="Times New Roman" w:eastAsia="Times New Roman" w:hAnsi="Times New Roman"/>
          <w:i/>
          <w:iCs/>
          <w:color w:val="666666"/>
          <w:sz w:val="22"/>
          <w:szCs w:val="22"/>
        </w:rPr>
        <w:t xml:space="preserve">29 septembre 2026  ·  Leçon 18 / 20</w:t>
      </w:r>
    </w:p>
    <w:p>
      <w:pPr>
        <w:pBdr>
          <w:bottom w:val="single" w:color="C0C0C0" w:sz="1"/>
        </w:pBdr>
        <w:spacing w:after="160" w:before="160"/>
      </w:pPr>
    </w:p>
    <w:p>
      <w:pPr>
        <w:pStyle w:val="Heading2"/>
        <w:spacing w:after="120" w:before="280"/>
      </w:pPr>
      <w:r>
        <w:rPr>
          <w:rFonts w:ascii="Times New Roman" w:cs="Times New Roman" w:eastAsia="Times New Roman" w:hAnsi="Times New Roman"/>
          <w:b/>
          <w:bCs/>
          <w:color w:val="1B3A6B"/>
          <w:sz w:val="30"/>
          <w:szCs w:val="30"/>
        </w:rPr>
        <w:t xml:space="preserve">🎯 Objectif &amp; continuité</w:t>
      </w:r>
    </w:p>
    <w:p>
      <w:pPr>
        <w:spacing w:after="100"/>
      </w:pPr>
      <w:r>
        <w:rPr>
          <w:rFonts w:ascii="Times New Roman" w:cs="Times New Roman" w:eastAsia="Times New Roman" w:hAnsi="Times New Roman"/>
          <w:color w:val="1F2937"/>
          <w:sz w:val="22"/>
          <w:szCs w:val="22"/>
        </w:rPr>
        <w:t xml:space="preserve">À l'issue de cette leçon, je saurai distinguer la tradition Dzogchen bönpo du Dzogchen nyingma : ses origines dans le royaume de Zhang Zhung, sa lignée centrale (Zhang Zhung Nyan Gyu), ses maîtres clés et ses pratiques caractéristiques.</w:t>
      </w:r>
    </w:p>
    <w:p>
      <w:pPr>
        <w:spacing w:after="100"/>
      </w:pPr>
      <w:r>
        <w:rPr>
          <w:rFonts w:ascii="Times New Roman" w:cs="Times New Roman" w:eastAsia="Times New Roman" w:hAnsi="Times New Roman"/>
          <w:color w:val="1F2937"/>
          <w:sz w:val="22"/>
          <w:szCs w:val="22"/>
        </w:rPr>
        <w:t xml:space="preserve">Lien avec la leçon 17 : après avoir comparé Dzogchen et Mahamudra — deux voies bouddhistes vers la même reconnaissance — cette leçon ouvre une autre question : un Dzogchen peut-il exister hors du bouddhisme indien ? Le Bön répond oui, et son histoire oblige à affiner ce qu'on entend par « tradition dzogchen ».</w:t>
      </w:r>
    </w:p>
    <w:p>
      <w:pPr>
        <w:pBdr>
          <w:bottom w:val="single" w:color="C0C0C0" w:sz="1"/>
        </w:pBdr>
        <w:spacing w:after="160" w:before="160"/>
      </w:pPr>
    </w:p>
    <w:p>
      <w:pPr>
        <w:pStyle w:val="Heading2"/>
        <w:spacing w:after="120" w:before="280"/>
      </w:pPr>
      <w:r>
        <w:rPr>
          <w:rFonts w:ascii="Times New Roman" w:cs="Times New Roman" w:eastAsia="Times New Roman" w:hAnsi="Times New Roman"/>
          <w:b/>
          <w:bCs/>
          <w:color w:val="1B3A6B"/>
          <w:sz w:val="30"/>
          <w:szCs w:val="30"/>
        </w:rPr>
        <w:t xml:space="preserve">🔬 Théorie (20 %)</w:t>
      </w:r>
    </w:p>
    <w:p>
      <w:pPr>
        <w:pStyle w:val="Heading3"/>
        <w:spacing w:after="80" w:before="200"/>
      </w:pPr>
      <w:r>
        <w:rPr>
          <w:rFonts w:ascii="Times New Roman" w:cs="Times New Roman" w:eastAsia="Times New Roman" w:hAnsi="Times New Roman"/>
          <w:b/>
          <w:bCs/>
          <w:color w:val="1F2937"/>
          <w:sz w:val="26"/>
          <w:szCs w:val="26"/>
        </w:rPr>
        <w:t xml:space="preserve">1. Le Bön : bref rappel historique</w:t>
      </w:r>
    </w:p>
    <w:p>
      <w:pPr>
        <w:spacing w:after="100"/>
      </w:pPr>
      <w:r>
        <w:rPr>
          <w:rFonts w:ascii="Times New Roman" w:cs="Times New Roman" w:eastAsia="Times New Roman" w:hAnsi="Times New Roman"/>
          <w:color w:val="1F2937"/>
          <w:sz w:val="22"/>
          <w:szCs w:val="22"/>
        </w:rPr>
        <w:t xml:space="preserve">Le Bön est la tradition religieuse tibétaine qui précède ou se développe en parallèle au bouddhisme. Sa figure fondatrice est Tonpa Shenrab Miwoche, dit né à Olmo Lungring — une origine qui relève du récit de tradition, non d'une localisation historiquement vérifiable. Le Dalaï-Lama reconnaît aujourd'hui le Bön comme la cinquième religion tibétaine et lui a accordé une représentation au Conseil des Affaires Religieuses (Wikipedia, Bon).</w:t>
      </w:r>
    </w:p>
    <w:p>
      <w:pPr>
        <w:spacing w:after="100"/>
      </w:pPr>
      <w:r>
        <w:rPr>
          <w:rFonts w:ascii="Times New Roman" w:cs="Times New Roman" w:eastAsia="Times New Roman" w:hAnsi="Times New Roman"/>
          <w:color w:val="1F2937"/>
          <w:sz w:val="22"/>
          <w:szCs w:val="22"/>
        </w:rPr>
        <w:t xml:space="preserve">Deux grandes orientations coexistent : le Yungdrung Bön (ancien, ou « éternel ») et le New Bön, qui intègre des révélations de termas bönpos à partir du XIVe siècle.</w:t>
      </w:r>
    </w:p>
    <w:p>
      <w:pPr>
        <w:pStyle w:val="Heading3"/>
        <w:spacing w:after="80" w:before="200"/>
      </w:pPr>
      <w:r>
        <w:rPr>
          <w:rFonts w:ascii="Times New Roman" w:cs="Times New Roman" w:eastAsia="Times New Roman" w:hAnsi="Times New Roman"/>
          <w:b/>
          <w:bCs/>
          <w:color w:val="1F2937"/>
          <w:sz w:val="26"/>
          <w:szCs w:val="26"/>
        </w:rPr>
        <w:t xml:space="preserve">2. Zhang Zhung : l'ancrage géographique de la transmission</w:t>
      </w:r>
    </w:p>
    <w:p>
      <w:pPr>
        <w:spacing w:after="100"/>
      </w:pPr>
      <w:r>
        <w:rPr>
          <w:rFonts w:ascii="Times New Roman" w:cs="Times New Roman" w:eastAsia="Times New Roman" w:hAnsi="Times New Roman"/>
          <w:color w:val="1F2937"/>
          <w:sz w:val="22"/>
          <w:szCs w:val="22"/>
        </w:rPr>
        <w:t xml:space="preserve">Zhang Zhung était un royaume ancien situé au Tibet occidental, aujourd'hui disparu. Sa langue — le zhang-zhung — constitue le premier vecteur de transmission orale du Dzogchen bönpo. Le royaume fut intégré au Tibet au VIIIe siècle, et c'est dans ce contexte de transition que les textes Dzogchen furent mis par écrit.</w:t>
      </w:r>
    </w:p>
    <w:p>
      <w:pPr>
        <w:spacing w:after="100"/>
      </w:pPr>
      <w:r>
        <w:rPr>
          <w:rFonts w:ascii="Times New Roman" w:cs="Times New Roman" w:eastAsia="Times New Roman" w:hAnsi="Times New Roman"/>
          <w:color w:val="1F2937"/>
          <w:sz w:val="22"/>
          <w:szCs w:val="22"/>
        </w:rPr>
        <w:t xml:space="preserve">La première mise par écrit des enseignements du Zhang Zhung Nyan Gyu eut lieu en zhang-zhung au VIIIe siècle. Un siècle plus tard, Ponchen Tsanpo les traduisit en tibétain (source : résultats de recherche WebSearch sur le Zhang Zhung Nyan Gyu ; cet élément n'est pas confirmé dans les pages directement ouvertes).</w:t>
      </w:r>
    </w:p>
    <w:p>
      <w:pPr>
        <w:pStyle w:val="Heading3"/>
        <w:spacing w:after="80" w:before="200"/>
      </w:pPr>
      <w:r>
        <w:rPr>
          <w:rFonts w:ascii="Times New Roman" w:cs="Times New Roman" w:eastAsia="Times New Roman" w:hAnsi="Times New Roman"/>
          <w:b/>
          <w:bCs/>
          <w:color w:val="1F2937"/>
          <w:sz w:val="26"/>
          <w:szCs w:val="26"/>
        </w:rPr>
        <w:t xml:space="preserve">3. Le Zhang Zhung Nyan Gyu — la lignée orale centrale</w:t>
      </w:r>
    </w:p>
    <w:p>
      <w:pPr>
        <w:spacing w:after="100"/>
      </w:pPr>
      <w:r>
        <w:rPr>
          <w:rFonts w:ascii="Times New Roman" w:cs="Times New Roman" w:eastAsia="Times New Roman" w:hAnsi="Times New Roman"/>
          <w:color w:val="1F2937"/>
          <w:sz w:val="22"/>
          <w:szCs w:val="22"/>
        </w:rPr>
        <w:t xml:space="preserve">Le Zhang Zhung Nyan Gyu (en tibétain : transmission orale depuis Zhang Zhung) est une des trois lignes de transmission Dzogchen bönpo identifiées par John Myrdhin Reynolds. Il la décrit comme « claims to represent a continuous oral tradition (snyan-rgyud) from the earliest times coming from Zhang-zhung in Western Tibet ».</w:t>
      </w:r>
    </w:p>
    <w:p>
      <w:pPr>
        <w:spacing w:after="100"/>
      </w:pPr>
      <w:r>
        <w:rPr>
          <w:rFonts w:ascii="Times New Roman" w:cs="Times New Roman" w:eastAsia="Times New Roman" w:hAnsi="Times New Roman"/>
          <w:color w:val="1F2937"/>
          <w:sz w:val="22"/>
          <w:szCs w:val="22"/>
        </w:rPr>
        <w:t xml:space="preserve">La lignée culmine avec Tapihritsa, décrit par Wikipedia (Bon) comme « the 7th century siddha Tapihritsa, the last of the 24 masters ». Après son passage, Tapihritsa apparaît au siddha Gyerpung Nangzher Lodpo (VIIIe siècle) et lui transmet les enseignements — fondant ainsi la continuité vivante de la lignée.</w:t>
      </w:r>
    </w:p>
    <w:p>
      <w:pPr>
        <w:spacing w:after="100"/>
      </w:pPr>
      <w:r>
        <w:rPr>
          <w:rFonts w:ascii="Times New Roman" w:cs="Times New Roman" w:eastAsia="Times New Roman" w:hAnsi="Times New Roman"/>
          <w:color w:val="1F2937"/>
          <w:sz w:val="22"/>
          <w:szCs w:val="22"/>
        </w:rPr>
        <w:t xml:space="preserve">Son texte principal : Les Vingt et Un Clous (Twenty-One Nails). Deux traductions anglaises existent : Reynolds 2014 et Brown &amp; Gurung 2019 (Wikipedia, Tapihritsa).</w:t>
      </w:r>
    </w:p>
    <w:p>
      <w:pPr>
        <w:pStyle w:val="Heading3"/>
        <w:spacing w:after="80" w:before="200"/>
      </w:pPr>
      <w:r>
        <w:rPr>
          <w:rFonts w:ascii="Times New Roman" w:cs="Times New Roman" w:eastAsia="Times New Roman" w:hAnsi="Times New Roman"/>
          <w:b/>
          <w:bCs/>
          <w:color w:val="1F2937"/>
          <w:sz w:val="26"/>
          <w:szCs w:val="26"/>
        </w:rPr>
        <w:t xml:space="preserve">4. Les cinq lignes de Dawa Gyaltsen</w:t>
      </w:r>
    </w:p>
    <w:p>
      <w:pPr>
        <w:spacing w:after="100"/>
      </w:pPr>
      <w:r>
        <w:rPr>
          <w:rFonts w:ascii="Times New Roman" w:cs="Times New Roman" w:eastAsia="Times New Roman" w:hAnsi="Times New Roman"/>
          <w:color w:val="1F2937"/>
          <w:sz w:val="22"/>
          <w:szCs w:val="22"/>
        </w:rPr>
        <w:t xml:space="preserve">Dawa Gyaltsen est décrit par Geshe Tenzin Wangyal Rinpoche, dans son article « Discovering the True Nature of Mind » (Lion's Roar, 2004), comme un maître bönpo du VIIIe siècle, enseignant de Tapihritsa. Sa formule d'introduction directe à la nature de l'esprit est ainsi présentée par Tenzin Wangyal :</w:t>
      </w:r>
    </w:p>
    <w:p>
      <w:pPr>
        <w:shd w:fill="F3F4F6" w:color="auto" w:val="clear"/>
        <w:spacing w:after="120"/>
        <w:ind w:left="576"/>
      </w:pPr>
      <w:r>
        <w:rPr>
          <w:rFonts w:ascii="Times New Roman" w:cs="Times New Roman" w:eastAsia="Times New Roman" w:hAnsi="Times New Roman"/>
          <w:i/>
          <w:iCs/>
          <w:color w:val="1B3A6B"/>
          <w:sz w:val="22"/>
          <w:szCs w:val="22"/>
        </w:rPr>
        <w:t xml:space="preserve">« Vision is mind. Mind is empty. Emptiness is clear light. Clear light is union. Union is great bliss. »</w:t>
      </w:r>
    </w:p>
    <w:p>
      <w:pPr>
        <w:spacing w:after="100"/>
      </w:pPr>
      <w:r>
        <w:rPr>
          <w:rFonts w:ascii="Times New Roman" w:cs="Times New Roman" w:eastAsia="Times New Roman" w:hAnsi="Times New Roman"/>
          <w:color w:val="1F2937"/>
          <w:sz w:val="22"/>
          <w:szCs w:val="22"/>
        </w:rPr>
        <w:t xml:space="preserve">Tenzin Wangyal commente cette chaîne comme un chemin de reconnaissance : chaque terme désigne la même réalité vue depuis un angle différent — non une progression graduelle, mais une décomposition de la reconnaissance.</w:t>
      </w:r>
    </w:p>
    <w:p>
      <w:pPr>
        <w:pStyle w:val="Heading3"/>
        <w:spacing w:after="80" w:before="200"/>
      </w:pPr>
      <w:r>
        <w:rPr>
          <w:rFonts w:ascii="Times New Roman" w:cs="Times New Roman" w:eastAsia="Times New Roman" w:hAnsi="Times New Roman"/>
          <w:b/>
          <w:bCs/>
          <w:color w:val="1F2937"/>
          <w:sz w:val="26"/>
          <w:szCs w:val="26"/>
        </w:rPr>
        <w:t xml:space="preserve">5. Maîtres clés du Dzogchen bönpo</w:t>
      </w:r>
    </w:p>
    <w:p>
      <w:pPr>
        <w:pStyle w:val="ListParagraph"/>
        <w:numPr>
          <w:ilvl w:val="0"/>
          <w:numId w:val="1"/>
        </w:numPr>
        <w:spacing w:after="60"/>
      </w:pPr>
      <w:r>
        <w:rPr>
          <w:rFonts w:ascii="Times New Roman" w:cs="Times New Roman" w:eastAsia="Times New Roman" w:hAnsi="Times New Roman"/>
          <w:color w:val="1F2937"/>
          <w:sz w:val="22"/>
          <w:szCs w:val="22"/>
        </w:rPr>
        <w:t xml:space="preserve">Shardza Tashi Gyaltsen : auteur prolifique sur le Dzogchen bönpo, connu pour avoir réalisé le corps d'arc-en-ciel à sa mort. Sa date de naissance est 1859 dans toutes les sources consultées. Sa date de mort est discordante : Wikipedia (Bon) donne 1933 dans un passage, 1934 dans plusieurs autres, et 1935 dans un troisième ; Reynolds, dans son article sur le Dzogchen bönpo, donne 1859-1934 (note 51). Les deux sources ne s'accordent pas sur l'année exacte.</w:t>
      </w:r>
    </w:p>
    <w:p>
      <w:pPr>
        <w:pStyle w:val="ListParagraph"/>
        <w:numPr>
          <w:ilvl w:val="0"/>
          <w:numId w:val="1"/>
        </w:numPr>
        <w:spacing w:after="60"/>
      </w:pPr>
      <w:r>
        <w:rPr>
          <w:rFonts w:ascii="Times New Roman" w:cs="Times New Roman" w:eastAsia="Times New Roman" w:hAnsi="Times New Roman"/>
          <w:color w:val="1F2937"/>
          <w:sz w:val="22"/>
          <w:szCs w:val="22"/>
        </w:rPr>
        <w:t xml:space="preserve">Lopön Tenzin Namdak (1925-2025) : Wikipedia (Bon) indique que lui et Menri Trizin Lungtok Tenpai Nyima sont « important current lineage holders of Bon ». Il est aussi nommé par Jesse Abbot dans Tricycle comme le « prominent Bonpo teacher » dont Tenzin Wangyal est le disciple.</w:t>
      </w:r>
    </w:p>
    <w:p>
      <w:pPr>
        <w:pStyle w:val="ListParagraph"/>
        <w:numPr>
          <w:ilvl w:val="0"/>
          <w:numId w:val="1"/>
        </w:numPr>
        <w:spacing w:after="60"/>
      </w:pPr>
      <w:r>
        <w:rPr>
          <w:rFonts w:ascii="Times New Roman" w:cs="Times New Roman" w:eastAsia="Times New Roman" w:hAnsi="Times New Roman"/>
          <w:color w:val="1F2937"/>
          <w:sz w:val="22"/>
          <w:szCs w:val="22"/>
        </w:rPr>
        <w:t xml:space="preserve">Geshe Tenzin Wangyal Rinpoche (né au début des années 1960 en Inde) : disciple de Lopön Tenzin Namdak. Auteur de Wonders of the Natural Mind (Station Hill Press, 1993), décrit par Jesse Abbot dans sa recension publiée dans Tricycle comme un ouvrage fondé sur le Zhang Zhung Nyan Gyu, « the key Bon treasury of Dzogchen teachings ».</w:t>
      </w:r>
    </w:p>
    <w:p>
      <w:pPr>
        <w:pStyle w:val="Heading3"/>
        <w:spacing w:after="80" w:before="200"/>
      </w:pPr>
      <w:r>
        <w:rPr>
          <w:rFonts w:ascii="Times New Roman" w:cs="Times New Roman" w:eastAsia="Times New Roman" w:hAnsi="Times New Roman"/>
          <w:b/>
          <w:bCs/>
          <w:color w:val="1F2937"/>
          <w:sz w:val="26"/>
          <w:szCs w:val="26"/>
        </w:rPr>
        <w:t xml:space="preserve">6. Convergences et différences avec le Dzogchen nyingma</w:t>
      </w:r>
    </w:p>
    <w:p>
      <w:pPr>
        <w:spacing w:after="100"/>
      </w:pPr>
      <w:r>
        <w:rPr>
          <w:rFonts w:ascii="Times New Roman" w:cs="Times New Roman" w:eastAsia="Times New Roman" w:hAnsi="Times New Roman"/>
          <w:color w:val="1F2937"/>
          <w:sz w:val="22"/>
          <w:szCs w:val="22"/>
        </w:rPr>
        <w:t xml:space="preserve">John Myrdhin Reynolds formule ainsi la convergence dans son article publié sur vajranatha.com :</w:t>
      </w:r>
    </w:p>
    <w:p>
      <w:pPr>
        <w:shd w:fill="F3F4F6" w:color="auto" w:val="clear"/>
        <w:spacing w:after="120"/>
        <w:ind w:left="576"/>
      </w:pPr>
      <w:r>
        <w:rPr>
          <w:rFonts w:ascii="Times New Roman" w:cs="Times New Roman" w:eastAsia="Times New Roman" w:hAnsi="Times New Roman"/>
          <w:i/>
          <w:iCs/>
          <w:color w:val="1B3A6B"/>
          <w:sz w:val="22"/>
          <w:szCs w:val="22"/>
        </w:rPr>
        <w:t xml:space="preserve">« these teachings are substantially the same in meaning and terminology, and both traditions claim to have an unbroken lineage coming down to the present time from the eighth century and even before. »</w:t>
      </w:r>
    </w:p>
    <w:p>
      <w:pPr>
        <w:spacing w:after="100"/>
      </w:pPr>
      <w:r>
        <w:rPr>
          <w:rFonts w:ascii="Times New Roman" w:cs="Times New Roman" w:eastAsia="Times New Roman" w:hAnsi="Times New Roman"/>
          <w:color w:val="1F2937"/>
          <w:sz w:val="22"/>
          <w:szCs w:val="22"/>
        </w:rPr>
        <w:t xml:space="preserve">Les différences qu'il identifie portent sur la source d'autorité (tradition indienne pour les Nyingma ; Zhang Zhung pour le Bön) et sur la figure fondatrice (Shakyamuni vs Tonpa Shenrab).</w:t>
      </w:r>
    </w:p>
    <w:p>
      <w:pPr>
        <w:spacing w:after="100"/>
      </w:pPr>
      <w:r>
        <w:rPr>
          <w:rFonts w:ascii="Times New Roman" w:cs="Times New Roman" w:eastAsia="Times New Roman" w:hAnsi="Times New Roman"/>
          <w:color w:val="1F2937"/>
          <w:sz w:val="22"/>
          <w:szCs w:val="22"/>
        </w:rPr>
        <w:t xml:space="preserve">Sur la question des origines, Reynolds note que certains chercheurs affirment que des textes Dzogchen ont été « fabricated in the tenth century » — il conteste cette position en soulignant que l'absence de ces textes dans les grottes de Tun Huang ne prouve pas une composition tardive. Il propose de chercher les origines du Dzogchen dans un « syncretistic Indo-Iranian Buddhism » de la région frontalière indo-tibétaine, plutôt que dans l'Inde proprement dite.</w:t>
      </w:r>
    </w:p>
    <w:p>
      <w:pPr>
        <w:spacing w:after="80" w:before="160"/>
      </w:pPr>
      <w:r>
        <w:rPr>
          <w:rFonts w:ascii="Times New Roman" w:cs="Times New Roman" w:eastAsia="Times New Roman" w:hAnsi="Times New Roman"/>
          <w:b/>
          <w:bCs/>
          <w:color w:val="1F2937"/>
          <w:sz w:val="22"/>
          <w:szCs w:val="22"/>
        </w:rPr>
        <w:t xml:space="preserve">Tableau comparatif : Dzogchen bönpo / Dzogchen nyingma</w:t>
      </w:r>
    </w:p>
    <w:p>
      <w:pPr>
        <w:spacing w:after="100"/>
      </w:pPr>
      <w:r>
        <w:rPr>
          <w:rFonts w:ascii="Times New Roman" w:cs="Times New Roman" w:eastAsia="Times New Roman" w:hAnsi="Times New Roman"/>
          <w:color w:val="1F2937"/>
          <w:sz w:val="22"/>
          <w:szCs w:val="22"/>
        </w:rPr>
        <w:t xml:space="preserve">(Sources : Reynolds, « Bonpo and Nyingmapa Traditions of Dzogchen Meditation » ; Wikipedia, Bon)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1B3A6B" w:color="auto" w:val="clear"/>
          </w:tcPr>
          <w:p>
            <w:r>
              <w:rPr>
                <w:rFonts w:ascii="Times New Roman" w:cs="Times New Roman" w:eastAsia="Times New Roman" w:hAnsi="Times New Roman"/>
                <w:b/>
                <w:bCs/>
                <w:color w:val="FFFFFF"/>
                <w:sz w:val="20"/>
                <w:szCs w:val="20"/>
              </w:rPr>
              <w:t xml:space="preserve">Dimension</w:t>
            </w:r>
          </w:p>
        </w:tc>
        <w:tc>
          <w:tcPr>
            <w:shd w:fill="1B3A6B" w:color="auto" w:val="clear"/>
          </w:tcPr>
          <w:p>
            <w:r>
              <w:rPr>
                <w:rFonts w:ascii="Times New Roman" w:cs="Times New Roman" w:eastAsia="Times New Roman" w:hAnsi="Times New Roman"/>
                <w:b/>
                <w:bCs/>
                <w:color w:val="FFFFFF"/>
                <w:sz w:val="20"/>
                <w:szCs w:val="20"/>
              </w:rPr>
              <w:t xml:space="preserve">Dzogchen bönpo</w:t>
            </w:r>
          </w:p>
        </w:tc>
        <w:tc>
          <w:tcPr>
            <w:shd w:fill="1B3A6B" w:color="auto" w:val="clear"/>
          </w:tcPr>
          <w:p>
            <w:r>
              <w:rPr>
                <w:rFonts w:ascii="Times New Roman" w:cs="Times New Roman" w:eastAsia="Times New Roman" w:hAnsi="Times New Roman"/>
                <w:b/>
                <w:bCs/>
                <w:color w:val="FFFFFF"/>
                <w:sz w:val="20"/>
                <w:szCs w:val="20"/>
              </w:rPr>
              <w:t xml:space="preserve">Dzogchen nyingma</w:t>
            </w:r>
          </w:p>
        </w:tc>
      </w:tr>
      <w:tr>
        <w:tc>
          <w:p>
            <w:r>
              <w:rPr>
                <w:rFonts w:ascii="Times New Roman" w:cs="Times New Roman" w:eastAsia="Times New Roman" w:hAnsi="Times New Roman"/>
                <w:color w:val="1F2937"/>
                <w:sz w:val="20"/>
                <w:szCs w:val="20"/>
              </w:rPr>
              <w:t xml:space="preserve">Fondateur (tradition)</w:t>
            </w:r>
          </w:p>
        </w:tc>
        <w:tc>
          <w:p>
            <w:r>
              <w:rPr>
                <w:rFonts w:ascii="Times New Roman" w:cs="Times New Roman" w:eastAsia="Times New Roman" w:hAnsi="Times New Roman"/>
                <w:color w:val="1F2937"/>
                <w:sz w:val="20"/>
                <w:szCs w:val="20"/>
              </w:rPr>
              <w:t xml:space="preserve">Tonpa Shenrab Miwoche (dit né à Olmo Lungring)</w:t>
            </w:r>
          </w:p>
        </w:tc>
        <w:tc>
          <w:p>
            <w:r>
              <w:rPr>
                <w:rFonts w:ascii="Times New Roman" w:cs="Times New Roman" w:eastAsia="Times New Roman" w:hAnsi="Times New Roman"/>
                <w:color w:val="1F2937"/>
                <w:sz w:val="20"/>
                <w:szCs w:val="20"/>
              </w:rPr>
              <w:t xml:space="preserve">Shakyamuni Buddha, puis Garab Dorje</w:t>
            </w:r>
          </w:p>
        </w:tc>
      </w:tr>
      <w:tr>
        <w:tc>
          <w:tcPr>
            <w:shd w:fill="EEF2F7" w:color="auto" w:val="clear"/>
          </w:tcPr>
          <w:p>
            <w:r>
              <w:rPr>
                <w:rFonts w:ascii="Times New Roman" w:cs="Times New Roman" w:eastAsia="Times New Roman" w:hAnsi="Times New Roman"/>
                <w:color w:val="1F2937"/>
                <w:sz w:val="20"/>
                <w:szCs w:val="20"/>
              </w:rPr>
              <w:t xml:space="preserve">Source de la transmission</w:t>
            </w:r>
          </w:p>
        </w:tc>
        <w:tc>
          <w:tcPr>
            <w:shd w:fill="EEF2F7" w:color="auto" w:val="clear"/>
          </w:tcPr>
          <w:p>
            <w:r>
              <w:rPr>
                <w:rFonts w:ascii="Times New Roman" w:cs="Times New Roman" w:eastAsia="Times New Roman" w:hAnsi="Times New Roman"/>
                <w:color w:val="1F2937"/>
                <w:sz w:val="20"/>
                <w:szCs w:val="20"/>
              </w:rPr>
              <w:t xml:space="preserve">Zhang Zhung (Tibet occidental) — langue zhang-zhung</w:t>
            </w:r>
          </w:p>
        </w:tc>
        <w:tc>
          <w:tcPr>
            <w:shd w:fill="EEF2F7" w:color="auto" w:val="clear"/>
          </w:tcPr>
          <w:p>
            <w:r>
              <w:rPr>
                <w:rFonts w:ascii="Times New Roman" w:cs="Times New Roman" w:eastAsia="Times New Roman" w:hAnsi="Times New Roman"/>
                <w:color w:val="1F2937"/>
                <w:sz w:val="20"/>
                <w:szCs w:val="20"/>
              </w:rPr>
              <w:t xml:space="preserve">Inde bouddhiste, via Shrisimha, Vimalamitra, Padmasambhava</w:t>
            </w:r>
          </w:p>
        </w:tc>
      </w:tr>
      <w:tr>
        <w:tc>
          <w:p>
            <w:r>
              <w:rPr>
                <w:rFonts w:ascii="Times New Roman" w:cs="Times New Roman" w:eastAsia="Times New Roman" w:hAnsi="Times New Roman"/>
                <w:color w:val="1F2937"/>
                <w:sz w:val="20"/>
                <w:szCs w:val="20"/>
              </w:rPr>
              <w:t xml:space="preserve">Lignée centrale étudiée ici</w:t>
            </w:r>
          </w:p>
        </w:tc>
        <w:tc>
          <w:p>
            <w:r>
              <w:rPr>
                <w:rFonts w:ascii="Times New Roman" w:cs="Times New Roman" w:eastAsia="Times New Roman" w:hAnsi="Times New Roman"/>
                <w:color w:val="1F2937"/>
                <w:sz w:val="20"/>
                <w:szCs w:val="20"/>
              </w:rPr>
              <w:t xml:space="preserve">Zhang Zhung Nyan Gyu (transmission orale)</w:t>
            </w:r>
          </w:p>
        </w:tc>
        <w:tc>
          <w:p>
            <w:r>
              <w:rPr>
                <w:rFonts w:ascii="Times New Roman" w:cs="Times New Roman" w:eastAsia="Times New Roman" w:hAnsi="Times New Roman"/>
                <w:color w:val="1F2937"/>
                <w:sz w:val="20"/>
                <w:szCs w:val="20"/>
              </w:rPr>
              <w:t xml:space="preserve">Nyingma Dzogchen (semdé, longdé, mengagdé)</w:t>
            </w:r>
          </w:p>
        </w:tc>
      </w:tr>
      <w:tr>
        <w:tc>
          <w:tcPr>
            <w:shd w:fill="EEF2F7" w:color="auto" w:val="clear"/>
          </w:tcPr>
          <w:p>
            <w:r>
              <w:rPr>
                <w:rFonts w:ascii="Times New Roman" w:cs="Times New Roman" w:eastAsia="Times New Roman" w:hAnsi="Times New Roman"/>
                <w:color w:val="1F2937"/>
                <w:sz w:val="20"/>
                <w:szCs w:val="20"/>
              </w:rPr>
              <w:t xml:space="preserve">Terme pour l'état fondamental</w:t>
            </w:r>
          </w:p>
        </w:tc>
        <w:tc>
          <w:tcPr>
            <w:shd w:fill="EEF2F7" w:color="auto" w:val="clear"/>
          </w:tcPr>
          <w:p>
            <w:r>
              <w:rPr>
                <w:rFonts w:ascii="Times New Roman" w:cs="Times New Roman" w:eastAsia="Times New Roman" w:hAnsi="Times New Roman"/>
                <w:color w:val="1F2937"/>
                <w:sz w:val="20"/>
                <w:szCs w:val="20"/>
              </w:rPr>
              <w:t xml:space="preserve">Sem / rigpa (bönpo) — même spectre conceptuel</w:t>
            </w:r>
          </w:p>
        </w:tc>
        <w:tc>
          <w:tcPr>
            <w:shd w:fill="EEF2F7" w:color="auto" w:val="clear"/>
          </w:tcPr>
          <w:p>
            <w:r>
              <w:rPr>
                <w:rFonts w:ascii="Times New Roman" w:cs="Times New Roman" w:eastAsia="Times New Roman" w:hAnsi="Times New Roman"/>
                <w:color w:val="1F2937"/>
                <w:sz w:val="20"/>
                <w:szCs w:val="20"/>
              </w:rPr>
              <w:t xml:space="preserve">Rigpa / buddha-nature</w:t>
            </w:r>
          </w:p>
        </w:tc>
      </w:tr>
      <w:tr>
        <w:tc>
          <w:p>
            <w:r>
              <w:rPr>
                <w:rFonts w:ascii="Times New Roman" w:cs="Times New Roman" w:eastAsia="Times New Roman" w:hAnsi="Times New Roman"/>
                <w:color w:val="1F2937"/>
                <w:sz w:val="20"/>
                <w:szCs w:val="20"/>
              </w:rPr>
              <w:t xml:space="preserve">Rapport au bouddhisme indien</w:t>
            </w:r>
          </w:p>
        </w:tc>
        <w:tc>
          <w:p>
            <w:r>
              <w:rPr>
                <w:rFonts w:ascii="Times New Roman" w:cs="Times New Roman" w:eastAsia="Times New Roman" w:hAnsi="Times New Roman"/>
                <w:color w:val="1F2937"/>
                <w:sz w:val="20"/>
                <w:szCs w:val="20"/>
              </w:rPr>
              <w:t xml:space="preserve">Tradition autonome (non dérivée de l'Inde, selon le Bön)</w:t>
            </w:r>
          </w:p>
        </w:tc>
        <w:tc>
          <w:p>
            <w:r>
              <w:rPr>
                <w:rFonts w:ascii="Times New Roman" w:cs="Times New Roman" w:eastAsia="Times New Roman" w:hAnsi="Times New Roman"/>
                <w:color w:val="1F2937"/>
                <w:sz w:val="20"/>
                <w:szCs w:val="20"/>
              </w:rPr>
              <w:t xml:space="preserve">Origine indienne affirmée</w:t>
            </w:r>
          </w:p>
        </w:tc>
      </w:tr>
    </w:tbl>
    <w:p>
      <w:pPr>
        <w:pBdr>
          <w:bottom w:val="single" w:color="C0C0C0" w:sz="1"/>
        </w:pBdr>
        <w:spacing w:after="160" w:before="160"/>
      </w:pPr>
    </w:p>
    <w:p>
      <w:pPr>
        <w:pStyle w:val="Heading2"/>
        <w:spacing w:after="120" w:before="280"/>
      </w:pPr>
      <w:r>
        <w:rPr>
          <w:rFonts w:ascii="Times New Roman" w:cs="Times New Roman" w:eastAsia="Times New Roman" w:hAnsi="Times New Roman"/>
          <w:b/>
          <w:bCs/>
          <w:color w:val="1B3A6B"/>
          <w:sz w:val="30"/>
          <w:szCs w:val="30"/>
        </w:rPr>
        <w:t xml:space="preserve">🛠️ Pratique (80 %)</w:t>
      </w:r>
    </w:p>
    <w:p>
      <w:pPr>
        <w:pStyle w:val="Heading3"/>
        <w:spacing w:after="80" w:before="200"/>
      </w:pPr>
      <w:r>
        <w:rPr>
          <w:rFonts w:ascii="Times New Roman" w:cs="Times New Roman" w:eastAsia="Times New Roman" w:hAnsi="Times New Roman"/>
          <w:b/>
          <w:bCs/>
          <w:color w:val="1F2937"/>
          <w:sz w:val="26"/>
          <w:szCs w:val="26"/>
        </w:rPr>
        <w:t xml:space="preserve">Exercice 1 — Méditation guidée : « Vision is mind » (Dawa Gyaltsen / Tenzin Wangyal)</w:t>
      </w:r>
    </w:p>
    <w:p>
      <w:pPr>
        <w:spacing w:after="100"/>
      </w:pPr>
      <w:r>
        <w:rPr>
          <w:rFonts w:ascii="Times New Roman" w:cs="Times New Roman" w:eastAsia="Times New Roman" w:hAnsi="Times New Roman"/>
          <w:color w:val="1F2937"/>
          <w:sz w:val="22"/>
          <w:szCs w:val="22"/>
        </w:rPr>
        <w:t xml:space="preserve">Durée : 15-20 minutes</w:t>
      </w:r>
    </w:p>
    <w:p>
      <w:pPr>
        <w:spacing w:after="100"/>
      </w:pPr>
      <w:r>
        <w:rPr>
          <w:rFonts w:ascii="Times New Roman" w:cs="Times New Roman" w:eastAsia="Times New Roman" w:hAnsi="Times New Roman"/>
          <w:color w:val="1F2937"/>
          <w:sz w:val="22"/>
          <w:szCs w:val="22"/>
        </w:rPr>
        <w:t xml:space="preserve">Consigne :</w:t>
      </w:r>
    </w:p>
    <w:p>
      <w:pPr>
        <w:pStyle w:val="ListParagraph"/>
        <w:numPr>
          <w:ilvl w:val="0"/>
          <w:numId w:val="1"/>
        </w:numPr>
        <w:spacing w:after="60"/>
      </w:pPr>
      <w:r>
        <w:rPr>
          <w:rFonts w:ascii="Times New Roman" w:cs="Times New Roman" w:eastAsia="Times New Roman" w:hAnsi="Times New Roman"/>
          <w:color w:val="1F2937"/>
          <w:sz w:val="22"/>
          <w:szCs w:val="22"/>
        </w:rPr>
        <w:t xml:space="preserve">Choisir une situation récente qui te dérange — une personne, un mot, une image.</w:t>
      </w:r>
    </w:p>
    <w:p>
      <w:pPr>
        <w:pStyle w:val="ListParagraph"/>
        <w:numPr>
          <w:ilvl w:val="0"/>
          <w:numId w:val="1"/>
        </w:numPr>
        <w:spacing w:after="60"/>
      </w:pPr>
      <w:r>
        <w:rPr>
          <w:rFonts w:ascii="Times New Roman" w:cs="Times New Roman" w:eastAsia="Times New Roman" w:hAnsi="Times New Roman"/>
          <w:color w:val="1F2937"/>
          <w:sz w:val="22"/>
          <w:szCs w:val="22"/>
        </w:rPr>
        <w:t xml:space="preserve">S'asseoir, laisser la situation se lever dans l'esprit sans chercher à l'effacer.</w:t>
      </w:r>
    </w:p>
    <w:p>
      <w:pPr>
        <w:pStyle w:val="ListParagraph"/>
        <w:numPr>
          <w:ilvl w:val="0"/>
          <w:numId w:val="1"/>
        </w:numPr>
        <w:spacing w:after="60"/>
      </w:pPr>
      <w:r>
        <w:rPr>
          <w:rFonts w:ascii="Times New Roman" w:cs="Times New Roman" w:eastAsia="Times New Roman" w:hAnsi="Times New Roman"/>
          <w:color w:val="1F2937"/>
          <w:sz w:val="22"/>
          <w:szCs w:val="22"/>
        </w:rPr>
        <w:t xml:space="preserve">Appliquer la chaîne ligne par ligne. À chaque étape, rester avec l'expérience, pas avec la formule.</w:t>
      </w:r>
    </w:p>
    <w:p>
      <w:pPr>
        <w:pStyle w:val="ListParagraph"/>
        <w:numPr>
          <w:ilvl w:val="1"/>
          <w:numId w:val="1"/>
        </w:numPr>
        <w:spacing w:after="60"/>
      </w:pPr>
      <w:r>
        <w:rPr>
          <w:rFonts w:ascii="Times New Roman" w:cs="Times New Roman" w:eastAsia="Times New Roman" w:hAnsi="Times New Roman"/>
          <w:color w:val="1F2937"/>
          <w:sz w:val="22"/>
          <w:szCs w:val="22"/>
        </w:rPr>
        <w:t xml:space="preserve">Vision is mind — ce que je vois est dans mon esprit, pas à l'extérieur.</w:t>
      </w:r>
    </w:p>
    <w:p>
      <w:pPr>
        <w:pStyle w:val="ListParagraph"/>
        <w:numPr>
          <w:ilvl w:val="1"/>
          <w:numId w:val="1"/>
        </w:numPr>
        <w:spacing w:after="60"/>
      </w:pPr>
      <w:r>
        <w:rPr>
          <w:rFonts w:ascii="Times New Roman" w:cs="Times New Roman" w:eastAsia="Times New Roman" w:hAnsi="Times New Roman"/>
          <w:color w:val="1F2937"/>
          <w:sz w:val="22"/>
          <w:szCs w:val="22"/>
        </w:rPr>
        <w:t xml:space="preserve">Mind is empty — cet esprit, quand je le cherche, n'a pas de forme fixe, pas de contour.</w:t>
      </w:r>
    </w:p>
    <w:p>
      <w:pPr>
        <w:pStyle w:val="ListParagraph"/>
        <w:numPr>
          <w:ilvl w:val="1"/>
          <w:numId w:val="1"/>
        </w:numPr>
        <w:spacing w:after="60"/>
      </w:pPr>
      <w:r>
        <w:rPr>
          <w:rFonts w:ascii="Times New Roman" w:cs="Times New Roman" w:eastAsia="Times New Roman" w:hAnsi="Times New Roman"/>
          <w:color w:val="1F2937"/>
          <w:sz w:val="22"/>
          <w:szCs w:val="22"/>
        </w:rPr>
        <w:t xml:space="preserve">Emptiness is clear light — cette vacuité n'est pas obscure : elle est lumineuse, vivante.</w:t>
      </w:r>
    </w:p>
    <w:p>
      <w:pPr>
        <w:pStyle w:val="ListParagraph"/>
        <w:numPr>
          <w:ilvl w:val="1"/>
          <w:numId w:val="1"/>
        </w:numPr>
        <w:spacing w:after="60"/>
      </w:pPr>
      <w:r>
        <w:rPr>
          <w:rFonts w:ascii="Times New Roman" w:cs="Times New Roman" w:eastAsia="Times New Roman" w:hAnsi="Times New Roman"/>
          <w:color w:val="1F2937"/>
          <w:sz w:val="22"/>
          <w:szCs w:val="22"/>
        </w:rPr>
        <w:t xml:space="preserve">Clear light is union — lumière et espace ne sont pas deux.</w:t>
      </w:r>
    </w:p>
    <w:p>
      <w:pPr>
        <w:pStyle w:val="ListParagraph"/>
        <w:numPr>
          <w:ilvl w:val="1"/>
          <w:numId w:val="1"/>
        </w:numPr>
        <w:spacing w:after="60"/>
      </w:pPr>
      <w:r>
        <w:rPr>
          <w:rFonts w:ascii="Times New Roman" w:cs="Times New Roman" w:eastAsia="Times New Roman" w:hAnsi="Times New Roman"/>
          <w:color w:val="1F2937"/>
          <w:sz w:val="22"/>
          <w:szCs w:val="22"/>
        </w:rPr>
        <w:t xml:space="preserve">Union is great bliss — dans cette reconnaissance, quelque chose se détend spontanément.</w:t>
      </w:r>
    </w:p>
    <w:p>
      <w:pPr>
        <w:pStyle w:val="ListParagraph"/>
        <w:numPr>
          <w:ilvl w:val="0"/>
          <w:numId w:val="1"/>
        </w:numPr>
        <w:spacing w:after="60"/>
      </w:pPr>
      <w:r>
        <w:rPr>
          <w:rFonts w:ascii="Times New Roman" w:cs="Times New Roman" w:eastAsia="Times New Roman" w:hAnsi="Times New Roman"/>
          <w:color w:val="1F2937"/>
          <w:sz w:val="22"/>
          <w:szCs w:val="22"/>
        </w:rPr>
        <w:t xml:space="preserve">Tenir cette reconnaissance 5 minutes, puis noter : qu'est-ce qui a changé dans le rapport à la situation ?</w:t>
      </w:r>
    </w:p>
    <w:p>
      <w:pPr>
        <w:spacing w:after="100"/>
      </w:pPr>
      <w:r>
        <w:rPr>
          <w:rFonts w:ascii="Times New Roman" w:cs="Times New Roman" w:eastAsia="Times New Roman" w:hAnsi="Times New Roman"/>
          <w:color w:val="1F2937"/>
          <w:sz w:val="22"/>
          <w:szCs w:val="22"/>
        </w:rPr>
        <w:t xml:space="preserve">Corrigé : La pratique ne vise pas à faire disparaître la situation dérangeante. Elle vise à reconnaître sa nature comme manifestation de l'esprit ouvert. C'est une introduction directe (ngo sprod) dans le cadre bönpo : on reconnaît, on ne construit pas.</w:t>
      </w:r>
    </w:p>
    <w:p>
      <w:pPr>
        <w:pStyle w:val="Heading3"/>
        <w:spacing w:after="80" w:before="200"/>
      </w:pPr>
      <w:r>
        <w:rPr>
          <w:rFonts w:ascii="Times New Roman" w:cs="Times New Roman" w:eastAsia="Times New Roman" w:hAnsi="Times New Roman"/>
          <w:b/>
          <w:bCs/>
          <w:color w:val="1F2937"/>
          <w:sz w:val="26"/>
          <w:szCs w:val="26"/>
        </w:rPr>
        <w:t xml:space="preserve">Exercice 2 — Compréhension active : le tableau comparatif</w:t>
      </w:r>
    </w:p>
    <w:p>
      <w:pPr>
        <w:spacing w:after="100"/>
      </w:pPr>
      <w:r>
        <w:rPr>
          <w:rFonts w:ascii="Times New Roman" w:cs="Times New Roman" w:eastAsia="Times New Roman" w:hAnsi="Times New Roman"/>
          <w:color w:val="1F2937"/>
          <w:sz w:val="22"/>
          <w:szCs w:val="22"/>
        </w:rPr>
        <w:t xml:space="preserve">Reprendre le tableau ci-dessus. Pour chaque ligne :</w:t>
      </w:r>
    </w:p>
    <w:p>
      <w:pPr>
        <w:pStyle w:val="ListParagraph"/>
        <w:numPr>
          <w:ilvl w:val="0"/>
          <w:numId w:val="1"/>
        </w:numPr>
        <w:spacing w:after="60"/>
      </w:pPr>
      <w:r>
        <w:rPr>
          <w:rFonts w:ascii="Times New Roman" w:cs="Times New Roman" w:eastAsia="Times New Roman" w:hAnsi="Times New Roman"/>
          <w:color w:val="1F2937"/>
          <w:sz w:val="22"/>
          <w:szCs w:val="22"/>
        </w:rPr>
        <w:t xml:space="preserve">Identifier quelle leçon du parcours éclaire déjà ce point pour le Dzogchen nyingma (ex. : la ligne « fondateur » renvoie aux leçons 4 et 8).</w:t>
      </w:r>
    </w:p>
    <w:p>
      <w:pPr>
        <w:pStyle w:val="ListParagraph"/>
        <w:numPr>
          <w:ilvl w:val="0"/>
          <w:numId w:val="1"/>
        </w:numPr>
        <w:spacing w:after="60"/>
      </w:pPr>
      <w:r>
        <w:rPr>
          <w:rFonts w:ascii="Times New Roman" w:cs="Times New Roman" w:eastAsia="Times New Roman" w:hAnsi="Times New Roman"/>
          <w:color w:val="1F2937"/>
          <w:sz w:val="22"/>
          <w:szCs w:val="22"/>
        </w:rPr>
        <w:t xml:space="preserve">Écrire, sans consulter les sources, ce que je me rappelle des positions nyingma — puis vérifier contre le tableau.</w:t>
      </w:r>
    </w:p>
    <w:p>
      <w:pPr>
        <w:pStyle w:val="ListParagraph"/>
        <w:numPr>
          <w:ilvl w:val="0"/>
          <w:numId w:val="1"/>
        </w:numPr>
        <w:spacing w:after="60"/>
      </w:pPr>
      <w:r>
        <w:rPr>
          <w:rFonts w:ascii="Times New Roman" w:cs="Times New Roman" w:eastAsia="Times New Roman" w:hAnsi="Times New Roman"/>
          <w:color w:val="1F2937"/>
          <w:sz w:val="22"/>
          <w:szCs w:val="22"/>
        </w:rPr>
        <w:t xml:space="preserve">Formuler, pour chaque divergence, une question que je ne saurais pas trancher avec les sources disponibles.</w:t>
      </w:r>
    </w:p>
    <w:p>
      <w:pPr>
        <w:spacing w:after="100"/>
      </w:pPr>
      <w:r>
        <w:rPr>
          <w:rFonts w:ascii="Times New Roman" w:cs="Times New Roman" w:eastAsia="Times New Roman" w:hAnsi="Times New Roman"/>
          <w:color w:val="1F2937"/>
          <w:sz w:val="22"/>
          <w:szCs w:val="22"/>
        </w:rPr>
        <w:t xml:space="preserve">Corrigé : les divergences les plus nettes portent sur la source d'autorité et la figure fondatrice. Les convergences les plus nettes portent sur la terminologie et l'orientation pratique. La question des origines historiques reste ouverte dans la littérature savante.</w:t>
      </w:r>
    </w:p>
    <w:p>
      <w:pPr>
        <w:pStyle w:val="Heading3"/>
        <w:spacing w:after="80" w:before="200"/>
      </w:pPr>
      <w:r>
        <w:rPr>
          <w:rFonts w:ascii="Times New Roman" w:cs="Times New Roman" w:eastAsia="Times New Roman" w:hAnsi="Times New Roman"/>
          <w:b/>
          <w:bCs/>
          <w:color w:val="1F2937"/>
          <w:sz w:val="26"/>
          <w:szCs w:val="26"/>
        </w:rPr>
        <w:t xml:space="preserve">Exercice 3 — Lecture active : un texte bönpo</w:t>
      </w:r>
    </w:p>
    <w:p>
      <w:pPr>
        <w:spacing w:after="100"/>
      </w:pPr>
      <w:r>
        <w:rPr>
          <w:rFonts w:ascii="Times New Roman" w:cs="Times New Roman" w:eastAsia="Times New Roman" w:hAnsi="Times New Roman"/>
          <w:color w:val="1F2937"/>
          <w:sz w:val="22"/>
          <w:szCs w:val="22"/>
        </w:rPr>
        <w:t xml:space="preserve">Ouvrir la page Lotsawa House consacrée aux textes Bön :</w:t>
      </w:r>
    </w:p>
    <w:p>
      <w:pPr>
        <w:spacing w:after="80"/>
      </w:pPr>
      <w:r>
        <w:rPr>
          <w:rFonts w:ascii="Times New Roman" w:cs="Times New Roman" w:eastAsia="Times New Roman" w:hAnsi="Times New Roman"/>
          <w:color w:val="1F2937"/>
          <w:sz w:val="22"/>
          <w:szCs w:val="22"/>
        </w:rPr>
        <w:t xml:space="preserve">→ </w:t>
      </w:r>
      <w:hyperlink w:history="1" r:id="rId_1std2j8me8rcom29-a0p">
        <w:r>
          <w:rPr>
            <w:rStyle w:val="Hyperlink"/>
            <w:rFonts w:ascii="Times New Roman" w:cs="Times New Roman" w:eastAsia="Times New Roman" w:hAnsi="Times New Roman"/>
            <w:color w:val="1155CC"/>
            <w:sz w:val="22"/>
            <w:szCs w:val="22"/>
            <w:u w:val="single"/>
          </w:rPr>
          <w:t xml:space="preserve">Lotsawa House — Textes Bön</w:t>
        </w:r>
      </w:hyperlink>
    </w:p>
    <w:p>
      <w:pPr>
        <w:spacing w:after="100"/>
      </w:pPr>
      <w:r>
        <w:rPr>
          <w:rFonts w:ascii="Times New Roman" w:cs="Times New Roman" w:eastAsia="Times New Roman" w:hAnsi="Times New Roman"/>
          <w:color w:val="1F2937"/>
          <w:sz w:val="22"/>
          <w:szCs w:val="22"/>
        </w:rPr>
        <w:t xml:space="preserve">Le seul texte actuellement disponible est : Refuge Prayer for the Way of Bön from The Golden Needle of Great Perfection (Dorje Lingpa, publié le 30 juin 2025).</w:t>
      </w:r>
    </w:p>
    <w:p>
      <w:pPr>
        <w:spacing w:after="100"/>
      </w:pPr>
      <w:r>
        <w:rPr>
          <w:rFonts w:ascii="Times New Roman" w:cs="Times New Roman" w:eastAsia="Times New Roman" w:hAnsi="Times New Roman"/>
          <w:color w:val="1F2937"/>
          <w:sz w:val="22"/>
          <w:szCs w:val="22"/>
        </w:rPr>
        <w:t xml:space="preserve">Lire cette prière de refuge. Puis répondre par écrit :</w:t>
      </w:r>
    </w:p>
    <w:p>
      <w:pPr>
        <w:pStyle w:val="ListParagraph"/>
        <w:numPr>
          <w:ilvl w:val="0"/>
          <w:numId w:val="1"/>
        </w:numPr>
        <w:spacing w:after="60"/>
      </w:pPr>
      <w:r>
        <w:rPr>
          <w:rFonts w:ascii="Times New Roman" w:cs="Times New Roman" w:eastAsia="Times New Roman" w:hAnsi="Times New Roman"/>
          <w:color w:val="1F2937"/>
          <w:sz w:val="22"/>
          <w:szCs w:val="22"/>
        </w:rPr>
        <w:t xml:space="preserve">Quels termes retrouves-tu dans le Dzogchen nyingma étudié jusqu'ici (trekchö, tögal, rigpa, base, etc.) ?</w:t>
      </w:r>
    </w:p>
    <w:p>
      <w:pPr>
        <w:pStyle w:val="ListParagraph"/>
        <w:numPr>
          <w:ilvl w:val="0"/>
          <w:numId w:val="1"/>
        </w:numPr>
        <w:spacing w:after="60"/>
      </w:pPr>
      <w:r>
        <w:rPr>
          <w:rFonts w:ascii="Times New Roman" w:cs="Times New Roman" w:eastAsia="Times New Roman" w:hAnsi="Times New Roman"/>
          <w:color w:val="1F2937"/>
          <w:sz w:val="22"/>
          <w:szCs w:val="22"/>
        </w:rPr>
        <w:t xml:space="preserve">Quels termes ou formulations te semblent spécifiques au registre bönpo ?</w:t>
      </w:r>
    </w:p>
    <w:p>
      <w:pPr>
        <w:pStyle w:val="ListParagraph"/>
        <w:numPr>
          <w:ilvl w:val="0"/>
          <w:numId w:val="1"/>
        </w:numPr>
        <w:spacing w:after="60"/>
      </w:pPr>
      <w:r>
        <w:rPr>
          <w:rFonts w:ascii="Times New Roman" w:cs="Times New Roman" w:eastAsia="Times New Roman" w:hAnsi="Times New Roman"/>
          <w:color w:val="1F2937"/>
          <w:sz w:val="22"/>
          <w:szCs w:val="22"/>
        </w:rPr>
        <w:t xml:space="preserve">Rédige 3 phrases sur ce que ce texte enseigne sur la nature de l'esprit.</w:t>
      </w:r>
    </w:p>
    <w:p>
      <w:pPr>
        <w:spacing w:after="100"/>
      </w:pPr>
      <w:r>
        <w:rPr>
          <w:rFonts w:ascii="Times New Roman" w:cs="Times New Roman" w:eastAsia="Times New Roman" w:hAnsi="Times New Roman"/>
          <w:color w:val="1F2937"/>
          <w:sz w:val="22"/>
          <w:szCs w:val="22"/>
        </w:rPr>
        <w:t xml:space="preserve">Corrigé : un texte bönpo de cette qualité mobilise les mêmes catégories que le Dzogchen nyingma (Grande Perfection, Refuge, nature de l'esprit). Les différences lexicales sont souvent minimes en traduction anglaise ou française ; c'est l'examen des termes tibétains et bönpos qui révèle les écarts ou les équivalences.</w:t>
      </w:r>
    </w:p>
    <w:p>
      <w:pPr>
        <w:pBdr>
          <w:bottom w:val="single" w:color="C0C0C0" w:sz="1"/>
        </w:pBdr>
        <w:spacing w:after="160" w:before="160"/>
      </w:pPr>
    </w:p>
    <w:p>
      <w:pPr>
        <w:pStyle w:val="Heading2"/>
        <w:spacing w:after="120" w:before="280"/>
      </w:pPr>
      <w:r>
        <w:rPr>
          <w:rFonts w:ascii="Times New Roman" w:cs="Times New Roman" w:eastAsia="Times New Roman" w:hAnsi="Times New Roman"/>
          <w:b/>
          <w:bCs/>
          <w:color w:val="1B3A6B"/>
          <w:sz w:val="30"/>
          <w:szCs w:val="30"/>
        </w:rPr>
        <w:t xml:space="preserve">🎯 Challenge</w:t>
      </w:r>
    </w:p>
    <w:p>
      <w:pPr>
        <w:spacing w:after="100"/>
      </w:pPr>
      <w:r>
        <w:rPr>
          <w:rFonts w:ascii="Times New Roman" w:cs="Times New Roman" w:eastAsia="Times New Roman" w:hAnsi="Times New Roman"/>
          <w:color w:val="1F2937"/>
          <w:sz w:val="22"/>
          <w:szCs w:val="22"/>
        </w:rPr>
        <w:t xml:space="preserve">À partir des sources de cette leçon (Reynolds, Wikipedia Bon, Tenzin Wangyal), rédige un paragraphe de 8 à 10 lignes sur la question suivante :</w:t>
      </w:r>
    </w:p>
    <w:p>
      <w:pPr>
        <w:shd w:fill="F3F4F6" w:color="auto" w:val="clear"/>
        <w:spacing w:after="120"/>
        <w:ind w:left="576"/>
      </w:pPr>
      <w:r>
        <w:rPr>
          <w:rFonts w:ascii="Times New Roman" w:cs="Times New Roman" w:eastAsia="Times New Roman" w:hAnsi="Times New Roman"/>
          <w:i/>
          <w:iCs/>
          <w:color w:val="1B3A6B"/>
          <w:sz w:val="22"/>
          <w:szCs w:val="22"/>
        </w:rPr>
        <w:t xml:space="preserve">« Le Dzogchen bönpo et le Dzogchen nyingma sont-ils la même chose sous des noms différents, ou deux traditions réellement distinctes ? »</w:t>
      </w:r>
    </w:p>
    <w:p>
      <w:pPr>
        <w:spacing w:after="100"/>
      </w:pPr>
      <w:r>
        <w:rPr>
          <w:rFonts w:ascii="Times New Roman" w:cs="Times New Roman" w:eastAsia="Times New Roman" w:hAnsi="Times New Roman"/>
          <w:color w:val="1F2937"/>
          <w:sz w:val="22"/>
          <w:szCs w:val="22"/>
        </w:rPr>
        <w:t xml:space="preserve">Contraintes :</w:t>
      </w:r>
    </w:p>
    <w:p>
      <w:pPr>
        <w:pStyle w:val="ListParagraph"/>
        <w:numPr>
          <w:ilvl w:val="0"/>
          <w:numId w:val="1"/>
        </w:numPr>
        <w:spacing w:after="60"/>
      </w:pPr>
      <w:r>
        <w:rPr>
          <w:rFonts w:ascii="Times New Roman" w:cs="Times New Roman" w:eastAsia="Times New Roman" w:hAnsi="Times New Roman"/>
          <w:color w:val="1F2937"/>
          <w:sz w:val="22"/>
          <w:szCs w:val="22"/>
        </w:rPr>
        <w:t xml:space="preserve">Appuier chaque affirmation sur une source nommée.</w:t>
      </w:r>
    </w:p>
    <w:p>
      <w:pPr>
        <w:pStyle w:val="ListParagraph"/>
        <w:numPr>
          <w:ilvl w:val="0"/>
          <w:numId w:val="1"/>
        </w:numPr>
        <w:spacing w:after="60"/>
      </w:pPr>
      <w:r>
        <w:rPr>
          <w:rFonts w:ascii="Times New Roman" w:cs="Times New Roman" w:eastAsia="Times New Roman" w:hAnsi="Times New Roman"/>
          <w:color w:val="1F2937"/>
          <w:sz w:val="22"/>
          <w:szCs w:val="22"/>
        </w:rPr>
        <w:t xml:space="preserve">Signaler ce que les sources ne permettent pas de trancher.</w:t>
      </w:r>
    </w:p>
    <w:p>
      <w:pPr>
        <w:pStyle w:val="ListParagraph"/>
        <w:numPr>
          <w:ilvl w:val="0"/>
          <w:numId w:val="1"/>
        </w:numPr>
        <w:spacing w:after="60"/>
      </w:pPr>
      <w:r>
        <w:rPr>
          <w:rFonts w:ascii="Times New Roman" w:cs="Times New Roman" w:eastAsia="Times New Roman" w:hAnsi="Times New Roman"/>
          <w:color w:val="1F2937"/>
          <w:sz w:val="22"/>
          <w:szCs w:val="22"/>
        </w:rPr>
        <w:t xml:space="preserve">Éviter les positions définitives non sourcées.</w:t>
      </w:r>
    </w:p>
    <w:p>
      <w:pPr>
        <w:spacing w:after="100"/>
      </w:pPr>
      <w:r>
        <w:rPr>
          <w:rFonts w:ascii="Times New Roman" w:cs="Times New Roman" w:eastAsia="Times New Roman" w:hAnsi="Times New Roman"/>
          <w:color w:val="1F2937"/>
          <w:sz w:val="22"/>
          <w:szCs w:val="22"/>
        </w:rPr>
        <w:t xml:space="preserve">Corrigé indicatif : Reynolds affirme que les enseignements sont « substantially the same in meaning and terminology », mais note des différences de source d'autorité et de fondateur. Wikipedia souligne que les enseignements Bön et Nyingma se ressemblent de près, sans trancher la question des origines. La question de savoir si cette ressemblance vient d'une origine commune, d'une influence réciproque ou d'un développement parallèle reste débattue dans la littérature savante, et les sources disponibles ici ne permettent pas de la résoudre. Le paragraphe bien rédigé nommera ces incertitudes plutôt que de les effacer.</w:t>
      </w:r>
    </w:p>
    <w:p>
      <w:pPr>
        <w:pBdr>
          <w:bottom w:val="single" w:color="C0C0C0" w:sz="1"/>
        </w:pBdr>
        <w:spacing w:after="160" w:before="160"/>
      </w:pPr>
    </w:p>
    <w:p>
      <w:pPr>
        <w:pStyle w:val="Heading2"/>
        <w:spacing w:after="120" w:before="280"/>
      </w:pPr>
      <w:r>
        <w:rPr>
          <w:rFonts w:ascii="Times New Roman" w:cs="Times New Roman" w:eastAsia="Times New Roman" w:hAnsi="Times New Roman"/>
          <w:b/>
          <w:bCs/>
          <w:color w:val="1B3A6B"/>
          <w:sz w:val="30"/>
          <w:szCs w:val="30"/>
        </w:rPr>
        <w:t xml:space="preserve">🌉 Pont pro</w:t>
      </w:r>
    </w:p>
    <w:p>
      <w:pPr>
        <w:spacing w:after="100"/>
      </w:pPr>
      <w:r>
        <w:rPr>
          <w:rFonts w:ascii="Times New Roman" w:cs="Times New Roman" w:eastAsia="Times New Roman" w:hAnsi="Times New Roman"/>
          <w:color w:val="1F2937"/>
          <w:sz w:val="22"/>
          <w:szCs w:val="22"/>
        </w:rPr>
        <w:t xml:space="preserve">L'histoire du Bön est aussi celle d'une légitimation institutionnelle progressive : de tradition marginalisée à cinquième religion tibétaine officiellement reconnue. Dans le secteur médico-social, certaines pratiques d'accompagnement (approches non-médicamenteuses, médiations par les arts, Snoezelen) ont suivi un chemin analogue — d'abord tolérées en marge des pratiques consacrées, puis évaluées, enfin intégrées dans les recommandations de bonnes pratiques. La reconnaissance formelle prend du temps et n'efface pas les débats sur les fondements. Cette observation relève du bon sens professionnel ; elle n'est adossée à aucune recommandation spécifique.</w:t>
      </w:r>
    </w:p>
    <w:p>
      <w:pPr>
        <w:pBdr>
          <w:bottom w:val="single" w:color="C0C0C0" w:sz="1"/>
        </w:pBdr>
        <w:spacing w:after="160" w:before="160"/>
      </w:pPr>
    </w:p>
    <w:p>
      <w:pPr>
        <w:pStyle w:val="Heading2"/>
        <w:spacing w:after="120" w:before="280"/>
      </w:pPr>
      <w:r>
        <w:rPr>
          <w:rFonts w:ascii="Times New Roman" w:cs="Times New Roman" w:eastAsia="Times New Roman" w:hAnsi="Times New Roman"/>
          <w:b/>
          <w:bCs/>
          <w:color w:val="1B3A6B"/>
          <w:sz w:val="30"/>
          <w:szCs w:val="30"/>
        </w:rPr>
        <w:t xml:space="preserve">📚 Ressources</w:t>
      </w:r>
    </w:p>
    <w:p>
      <w:pPr>
        <w:spacing w:after="80"/>
      </w:pPr>
      <w:r>
        <w:rPr>
          <w:rFonts w:ascii="Times New Roman" w:cs="Times New Roman" w:eastAsia="Times New Roman" w:hAnsi="Times New Roman"/>
          <w:color w:val="1F2937"/>
          <w:sz w:val="22"/>
          <w:szCs w:val="22"/>
        </w:rPr>
        <w:t xml:space="preserve">Wikipedia — </w:t>
      </w:r>
      <w:hyperlink w:history="1" r:id="rIdosyauf8w7spcsif7j8cmv">
        <w:r>
          <w:rPr>
            <w:rStyle w:val="Hyperlink"/>
            <w:rFonts w:ascii="Times New Roman" w:cs="Times New Roman" w:eastAsia="Times New Roman" w:hAnsi="Times New Roman"/>
            <w:color w:val="1155CC"/>
            <w:sz w:val="22"/>
            <w:szCs w:val="22"/>
            <w:u w:val="single"/>
          </w:rPr>
          <w:t xml:space="preserve">Bon</w:t>
        </w:r>
      </w:hyperlink>
    </w:p>
    <w:p>
      <w:pPr>
        <w:spacing w:after="80"/>
      </w:pPr>
      <w:r>
        <w:rPr>
          <w:rFonts w:ascii="Times New Roman" w:cs="Times New Roman" w:eastAsia="Times New Roman" w:hAnsi="Times New Roman"/>
          <w:color w:val="1F2937"/>
          <w:sz w:val="22"/>
          <w:szCs w:val="22"/>
        </w:rPr>
        <w:t xml:space="preserve">Wikipedia — </w:t>
      </w:r>
      <w:hyperlink w:history="1" r:id="rIdwdv7-wljos4jaw2q7vbmr">
        <w:r>
          <w:rPr>
            <w:rStyle w:val="Hyperlink"/>
            <w:rFonts w:ascii="Times New Roman" w:cs="Times New Roman" w:eastAsia="Times New Roman" w:hAnsi="Times New Roman"/>
            <w:color w:val="1155CC"/>
            <w:sz w:val="22"/>
            <w:szCs w:val="22"/>
            <w:u w:val="single"/>
          </w:rPr>
          <w:t xml:space="preserve">Tapihritsa</w:t>
        </w:r>
      </w:hyperlink>
    </w:p>
    <w:p>
      <w:pPr>
        <w:spacing w:after="80"/>
      </w:pPr>
      <w:r>
        <w:rPr>
          <w:rFonts w:ascii="Times New Roman" w:cs="Times New Roman" w:eastAsia="Times New Roman" w:hAnsi="Times New Roman"/>
          <w:color w:val="1F2937"/>
          <w:sz w:val="22"/>
          <w:szCs w:val="22"/>
        </w:rPr>
        <w:t xml:space="preserve">John Myrdhin Reynolds (Lama Vajranatha) — </w:t>
      </w:r>
      <w:hyperlink w:history="1" r:id="rIdc5abd70kdsj1lhg9hflbo">
        <w:r>
          <w:rPr>
            <w:rStyle w:val="Hyperlink"/>
            <w:rFonts w:ascii="Times New Roman" w:cs="Times New Roman" w:eastAsia="Times New Roman" w:hAnsi="Times New Roman"/>
            <w:color w:val="1155CC"/>
            <w:sz w:val="22"/>
            <w:szCs w:val="22"/>
            <w:u w:val="single"/>
          </w:rPr>
          <w:t xml:space="preserve">Bonpo and Nyingmapa Traditions of Dzogchen Meditation (2020)</w:t>
        </w:r>
      </w:hyperlink>
    </w:p>
    <w:p>
      <w:pPr>
        <w:spacing w:after="80"/>
      </w:pPr>
      <w:r>
        <w:rPr>
          <w:rFonts w:ascii="Times New Roman" w:cs="Times New Roman" w:eastAsia="Times New Roman" w:hAnsi="Times New Roman"/>
          <w:color w:val="1F2937"/>
          <w:sz w:val="22"/>
          <w:szCs w:val="22"/>
        </w:rPr>
        <w:t xml:space="preserve">Geshe Tenzin Wangyal Rinpoche — </w:t>
      </w:r>
      <w:hyperlink w:history="1" r:id="rIdg9mcvwp-4mhdr03mdxctz">
        <w:r>
          <w:rPr>
            <w:rStyle w:val="Hyperlink"/>
            <w:rFonts w:ascii="Times New Roman" w:cs="Times New Roman" w:eastAsia="Times New Roman" w:hAnsi="Times New Roman"/>
            <w:color w:val="1155CC"/>
            <w:sz w:val="22"/>
            <w:szCs w:val="22"/>
            <w:u w:val="single"/>
          </w:rPr>
          <w:t xml:space="preserve">Discovering the True Nature of Mind (Lion's Roar, 2004)</w:t>
        </w:r>
      </w:hyperlink>
    </w:p>
    <w:p>
      <w:pPr>
        <w:spacing w:after="80"/>
      </w:pPr>
      <w:r>
        <w:rPr>
          <w:rFonts w:ascii="Times New Roman" w:cs="Times New Roman" w:eastAsia="Times New Roman" w:hAnsi="Times New Roman"/>
          <w:color w:val="1F2937"/>
          <w:sz w:val="22"/>
          <w:szCs w:val="22"/>
        </w:rPr>
        <w:t xml:space="preserve">Jesse Abbot — </w:t>
      </w:r>
      <w:hyperlink w:history="1" r:id="rId2o53aeynapmma_rppotfo">
        <w:r>
          <w:rPr>
            <w:rStyle w:val="Hyperlink"/>
            <w:rFonts w:ascii="Times New Roman" w:cs="Times New Roman" w:eastAsia="Times New Roman" w:hAnsi="Times New Roman"/>
            <w:color w:val="1155CC"/>
            <w:sz w:val="22"/>
            <w:szCs w:val="22"/>
            <w:u w:val="single"/>
          </w:rPr>
          <w:t xml:space="preserve">Review : Wonders of the Natural Mind &amp; Heart Drops of Dharmakaya (Tricycle)</w:t>
        </w:r>
      </w:hyperlink>
    </w:p>
    <w:p>
      <w:pPr>
        <w:spacing w:after="80"/>
      </w:pPr>
      <w:r>
        <w:rPr>
          <w:rFonts w:ascii="Times New Roman" w:cs="Times New Roman" w:eastAsia="Times New Roman" w:hAnsi="Times New Roman"/>
          <w:color w:val="1F2937"/>
          <w:sz w:val="22"/>
          <w:szCs w:val="22"/>
        </w:rPr>
        <w:t xml:space="preserve">Lotsawa House — </w:t>
      </w:r>
      <w:hyperlink w:history="1" r:id="rIdr-qdlxscl06ifjynwuipm">
        <w:r>
          <w:rPr>
            <w:rStyle w:val="Hyperlink"/>
            <w:rFonts w:ascii="Times New Roman" w:cs="Times New Roman" w:eastAsia="Times New Roman" w:hAnsi="Times New Roman"/>
            <w:color w:val="1155CC"/>
            <w:sz w:val="22"/>
            <w:szCs w:val="22"/>
            <w:u w:val="single"/>
          </w:rPr>
          <w:t xml:space="preserve">Textes Bön</w:t>
        </w:r>
      </w:hyperlink>
    </w:p>
    <w:p>
      <w:pPr>
        <w:pBdr>
          <w:bottom w:val="single" w:color="C0C0C0" w:sz="1"/>
        </w:pBdr>
        <w:spacing w:after="160" w:before="160"/>
      </w:pPr>
    </w:p>
    <w:p>
      <w:pPr>
        <w:pStyle w:val="Heading2"/>
        <w:spacing w:after="120" w:before="280"/>
      </w:pPr>
      <w:r>
        <w:rPr>
          <w:rFonts w:ascii="Times New Roman" w:cs="Times New Roman" w:eastAsia="Times New Roman" w:hAnsi="Times New Roman"/>
          <w:b/>
          <w:bCs/>
          <w:color w:val="1B3A6B"/>
          <w:sz w:val="30"/>
          <w:szCs w:val="30"/>
        </w:rPr>
        <w:t xml:space="preserve">🔜 Prochaine leçon</w:t>
      </w:r>
    </w:p>
    <w:p>
      <w:pPr>
        <w:spacing w:after="100"/>
      </w:pPr>
      <w:r>
        <w:rPr>
          <w:rFonts w:ascii="Times New Roman" w:cs="Times New Roman" w:eastAsia="Times New Roman" w:hAnsi="Times New Roman"/>
          <w:color w:val="1F2937"/>
          <w:sz w:val="22"/>
          <w:szCs w:val="22"/>
        </w:rPr>
        <w:t xml:space="preserve">Leçon 19 / 20 — La transmission en Occident : adaptations, malentendus, écueils.</w:t>
      </w:r>
    </w:p>
    <w:p>
      <w:pPr>
        <w:spacing w:after="100"/>
      </w:pPr>
      <w:r>
        <w:rPr>
          <w:rFonts w:ascii="Times New Roman" w:cs="Times New Roman" w:eastAsia="Times New Roman" w:hAnsi="Times New Roman"/>
          <w:color w:val="1F2937"/>
          <w:sz w:val="22"/>
          <w:szCs w:val="22"/>
        </w:rPr>
        <w:t xml:space="preserve">Après avoir traversé les traditions tibétaines — Nyingma et Bön — la prochaine leçon examine comment le Dzogchen a été transplanté en Occident depuis les années 1970 : quels enseignants ont joué un rôle dans cette transmission, quels malentendus sont apparus, et quels écueils guettent la pratique hors de son contexte d'origine.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1std2j8me8rcom29-a0p" Type="http://schemas.openxmlformats.org/officeDocument/2006/relationships/hyperlink" Target="https://www.lotsawahouse.org/topics/bon/" TargetMode="External"/><Relationship Id="rIdosyauf8w7spcsif7j8cmv" Type="http://schemas.openxmlformats.org/officeDocument/2006/relationships/hyperlink" Target="https://en.wikipedia.org/wiki/Bon" TargetMode="External"/><Relationship Id="rIdwdv7-wljos4jaw2q7vbmr" Type="http://schemas.openxmlformats.org/officeDocument/2006/relationships/hyperlink" Target="https://en.wikipedia.org/wiki/Tapihritsa" TargetMode="External"/><Relationship Id="rIdc5abd70kdsj1lhg9hflbo" Type="http://schemas.openxmlformats.org/officeDocument/2006/relationships/hyperlink" Target="https://vajranatha.com/bonpo-and-nyingmapa-traditions-of-dzogchen/" TargetMode="External"/><Relationship Id="rIdg9mcvwp-4mhdr03mdxctz" Type="http://schemas.openxmlformats.org/officeDocument/2006/relationships/hyperlink" Target="https://www.lionsroar.com/discovering-the-true-nature-of-mind/" TargetMode="External"/><Relationship Id="rId2o53aeynapmma_rppotfo" Type="http://schemas.openxmlformats.org/officeDocument/2006/relationships/hyperlink" Target="https://tricycle.org/magazine/wonders-natural-mind-essence-dzogchen-native-bon-tradition-tibet/" TargetMode="External"/><Relationship Id="rIdr-qdlxscl06ifjynwuipm" Type="http://schemas.openxmlformats.org/officeDocument/2006/relationships/hyperlink" Target="https://www.lotsawahouse.org/topics/bon/"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2026-09-29T06:11:20.494Z</dcterms:created>
  <dcterms:modified xsi:type="dcterms:W3CDTF">2026-09-29T06:11:20.526Z</dcterms:modified>
</cp:coreProperties>
</file>

<file path=docProps/custom.xml><?xml version="1.0" encoding="utf-8"?>
<Properties xmlns="http://schemas.openxmlformats.org/officeDocument/2006/custom-properties" xmlns:vt="http://schemas.openxmlformats.org/officeDocument/2006/docPropsVTypes"/>
</file>