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00"/>
        <w:jc w:val="center"/>
      </w:pPr>
      <w:r>
        <w:rPr>
          <w:rFonts w:ascii="Times New Roman" w:cs="Times New Roman" w:eastAsia="Times New Roman" w:hAnsi="Times New Roman"/>
          <w:b/>
          <w:bCs/>
          <w:color w:val="1B3A6B"/>
          <w:sz w:val="52"/>
          <w:szCs w:val="52"/>
        </w:rPr>
        <w:t xml:space="preserve">Leçon Psychopathologie clinique n°13</w:t>
      </w:r>
    </w:p>
    <w:p>
      <w:pPr>
        <w:pStyle w:val="Heading1"/>
        <w:spacing w:after="200" w:before="200"/>
        <w:jc w:val="center"/>
      </w:pPr>
      <w:r>
        <w:rPr>
          <w:rFonts w:ascii="Times New Roman" w:cs="Times New Roman" w:eastAsia="Times New Roman" w:hAnsi="Times New Roman"/>
          <w:b/>
          <w:bCs/>
          <w:color w:val="1B3A6B"/>
          <w:sz w:val="52"/>
          <w:szCs w:val="52"/>
        </w:rPr>
        <w:t xml:space="preserve">Troubles neurocognitifs et psychopathologie du vieillissement</w:t>
      </w:r>
    </w:p>
    <w:p>
      <w:pPr>
        <w:spacing w:after="60" w:before="60"/>
        <w:ind/>
      </w:pPr>
      <w:r>
        <w:rPr>
          <w:rFonts w:ascii="Times New Roman" w:cs="Times New Roman" w:eastAsia="Times New Roman" w:hAnsi="Times New Roman"/>
          <w:b/>
          <w:bCs/>
          <w:i w:val="false"/>
          <w:iCs w:val="false"/>
          <w:color w:val="1B3A6B"/>
          <w:sz w:val="22"/>
          <w:szCs w:val="22"/>
        </w:rPr>
        <w:t xml:space="preserve">Date : 31 août 2026  |  Leçon 13 / 20</w:t>
      </w:r>
    </w:p>
    <w:p>
      <w:pPr>
        <w:spacing w:after="120" w:before="120"/>
      </w:pPr>
      <w:r>
        <w:rPr>
          <w:rFonts w:ascii="Times New Roman" w:cs="Times New Roman" w:eastAsia="Times New Roman" w:hAnsi="Times New Roman"/>
          <w:color w:val="CCCCCC"/>
          <w:sz w:val="20"/>
          <w:szCs w:val="20"/>
        </w:rPr>
        <w:t xml:space="preserve">────────────────────────────────────────────────────────────</w:t>
      </w:r>
    </w:p>
    <w:p>
      <w:pPr>
        <w:pStyle w:val="Heading2"/>
        <w:spacing w:after="120" w:before="320"/>
      </w:pPr>
      <w:r>
        <w:rPr>
          <w:rFonts w:ascii="Times New Roman" w:cs="Times New Roman" w:eastAsia="Times New Roman" w:hAnsi="Times New Roman"/>
          <w:b/>
          <w:bCs/>
          <w:color w:val="1B3A6B"/>
          <w:sz w:val="30"/>
          <w:szCs w:val="30"/>
        </w:rPr>
        <w:t xml:space="preserve">🎯 Objectif et continuité</w:t>
      </w:r>
    </w:p>
    <w:p>
      <w:pPr>
        <w:spacing w:after="60" w:before="60"/>
        <w:ind/>
      </w:pPr>
      <w:r>
        <w:rPr>
          <w:rFonts w:ascii="Times New Roman" w:cs="Times New Roman" w:eastAsia="Times New Roman" w:hAnsi="Times New Roman"/>
          <w:b w:val="false"/>
          <w:bCs w:val="false"/>
          <w:i w:val="false"/>
          <w:iCs w:val="false"/>
          <w:color w:val="1F2937"/>
          <w:sz w:val="22"/>
          <w:szCs w:val="22"/>
        </w:rPr>
        <w:t xml:space="preserve">À l'issue de cette leçon, tu seras capable de distinguer vieillissement cérébral normal, troubles neurocognitifs légers (TNC léger) et troubles neurocognitifs majeurs (TNC majeur), d'identifier les principaux sous-types étiologiques, de repérer les manifestations cliniques dans les 6 domaines cognitifs du DSM-5, et de comprendre la distinction critique entre délirium et démence.</w:t>
      </w:r>
    </w:p>
    <w:p>
      <w:pPr>
        <w:spacing w:after="60" w:before="60"/>
        <w:ind/>
      </w:pPr>
      <w:r>
        <w:rPr>
          <w:rFonts w:ascii="Times New Roman" w:cs="Times New Roman" w:eastAsia="Times New Roman" w:hAnsi="Times New Roman"/>
          <w:b w:val="false"/>
          <w:bCs w:val="false"/>
          <w:i/>
          <w:iCs/>
          <w:color w:val="1B3A6B"/>
          <w:sz w:val="22"/>
          <w:szCs w:val="22"/>
        </w:rPr>
        <w:t xml:space="preserve">Continuité avec la leçon 12 (psychotraumatisme, TSPT, trouble dissociatif) : les deux leçons abordent des tableaux cliniques où la mémoire est centrale — mais dans des logiques opposées. Le TSPT implique une mémoire traumatique qui envahit et revit ; les TNC impliquent une mémoire qui s'efface et se fragmente. La comparaison éclaire la psychopathologie de la mémoire dans ses deux pôles extrêmes.</w:t>
      </w:r>
    </w:p>
    <w:p>
      <w:pPr>
        <w:spacing w:after="120" w:before="120"/>
      </w:pPr>
      <w:r>
        <w:rPr>
          <w:rFonts w:ascii="Times New Roman" w:cs="Times New Roman" w:eastAsia="Times New Roman" w:hAnsi="Times New Roman"/>
          <w:color w:val="CCCCCC"/>
          <w:sz w:val="20"/>
          <w:szCs w:val="20"/>
        </w:rPr>
        <w:t xml:space="preserve">────────────────────────────────────────────────────────────</w:t>
      </w:r>
    </w:p>
    <w:p>
      <w:pPr>
        <w:pStyle w:val="Heading2"/>
        <w:spacing w:after="120" w:before="320"/>
      </w:pPr>
      <w:r>
        <w:rPr>
          <w:rFonts w:ascii="Times New Roman" w:cs="Times New Roman" w:eastAsia="Times New Roman" w:hAnsi="Times New Roman"/>
          <w:b/>
          <w:bCs/>
          <w:color w:val="1B3A6B"/>
          <w:sz w:val="30"/>
          <w:szCs w:val="30"/>
        </w:rPr>
        <w:t xml:space="preserve">🔬 Théorie (20 %) — Fondements des troubles neurocognitifs</w:t>
      </w:r>
    </w:p>
    <w:p>
      <w:pPr>
        <w:pStyle w:val="Heading3"/>
        <w:spacing w:after="80" w:before="200"/>
      </w:pPr>
      <w:r>
        <w:rPr>
          <w:rFonts w:ascii="Times New Roman" w:cs="Times New Roman" w:eastAsia="Times New Roman" w:hAnsi="Times New Roman"/>
          <w:b/>
          <w:bCs/>
          <w:color w:val="1F2937"/>
          <w:sz w:val="26"/>
          <w:szCs w:val="26"/>
        </w:rPr>
        <w:t xml:space="preserve">1. Terminologie et évolution des classifications</w:t>
      </w:r>
    </w:p>
    <w:p>
      <w:pPr>
        <w:spacing w:after="60" w:before="60"/>
        <w:ind/>
      </w:pPr>
      <w:r>
        <w:rPr>
          <w:rFonts w:ascii="Times New Roman" w:cs="Times New Roman" w:eastAsia="Times New Roman" w:hAnsi="Times New Roman"/>
          <w:b w:val="false"/>
          <w:bCs w:val="false"/>
          <w:i w:val="false"/>
          <w:iCs w:val="false"/>
          <w:color w:val="1F2937"/>
          <w:sz w:val="22"/>
          <w:szCs w:val="22"/>
        </w:rPr>
        <w:t xml:space="preserve">Le terme « démence » (DSM-III, CIM-10) a été progressivement remplacé dans le DSM-5 (2013) par le concept de Trouble NeuroCognitif (TNC) pour deux raisons : d'abord, déstigmatiser — « démence » porte une connotation péjorative liée à la folie ; ensuite, affiner le spectre clinique en distinguant un continuum de sévérité.</w:t>
      </w:r>
    </w:p>
    <w:p>
      <w:pPr>
        <w:spacing w:after="60" w:before="60"/>
        <w:ind/>
      </w:pPr>
      <w:r>
        <w:rPr>
          <w:rFonts w:ascii="Times New Roman" w:cs="Times New Roman" w:eastAsia="Times New Roman" w:hAnsi="Times New Roman"/>
          <w:b/>
          <w:bCs/>
          <w:i w:val="false"/>
          <w:iCs w:val="false"/>
          <w:color w:val="1F2937"/>
          <w:sz w:val="22"/>
          <w:szCs w:val="22"/>
        </w:rPr>
        <w:t xml:space="preserve">Le DSM-5 définit trois catégories :</w:t>
      </w:r>
    </w:p>
    <w:p>
      <w:pPr>
        <w:pStyle w:val="ListParagraph"/>
        <w:numPr>
          <w:ilvl w:val="0"/>
          <w:numId w:val="1"/>
        </w:numPr>
        <w:spacing w:after="40" w:before="40"/>
      </w:pPr>
      <w:r>
        <w:rPr>
          <w:rFonts w:ascii="Times New Roman" w:cs="Times New Roman" w:eastAsia="Times New Roman" w:hAnsi="Times New Roman"/>
          <w:b/>
          <w:bCs/>
          <w:color w:val="1F2937"/>
          <w:sz w:val="22"/>
          <w:szCs w:val="22"/>
        </w:rPr>
        <w:t xml:space="preserve">🔴 </w:t>
      </w:r>
      <w:r>
        <w:rPr>
          <w:rFonts w:ascii="Times New Roman" w:cs="Times New Roman" w:eastAsia="Times New Roman" w:hAnsi="Times New Roman"/>
          <w:color w:val="1F2937"/>
          <w:sz w:val="22"/>
          <w:szCs w:val="22"/>
        </w:rPr>
        <w:t xml:space="preserve">Délirium (confusion aiguë) : altération soudaine de l'attention et de la conscience, réversible dans la majorité des cas, liée à une cause médicale aiguë (infection, déshydratation, médicaments, sevrage).</w:t>
      </w:r>
    </w:p>
    <w:p>
      <w:pPr>
        <w:pStyle w:val="ListParagraph"/>
        <w:numPr>
          <w:ilvl w:val="0"/>
          <w:numId w:val="1"/>
        </w:numPr>
        <w:spacing w:after="40" w:before="40"/>
      </w:pPr>
      <w:r>
        <w:rPr>
          <w:rFonts w:ascii="Times New Roman" w:cs="Times New Roman" w:eastAsia="Times New Roman" w:hAnsi="Times New Roman"/>
          <w:b/>
          <w:bCs/>
          <w:color w:val="1F2937"/>
          <w:sz w:val="22"/>
          <w:szCs w:val="22"/>
        </w:rPr>
        <w:t xml:space="preserve">🟡 </w:t>
      </w:r>
      <w:r>
        <w:rPr>
          <w:rFonts w:ascii="Times New Roman" w:cs="Times New Roman" w:eastAsia="Times New Roman" w:hAnsi="Times New Roman"/>
          <w:color w:val="1F2937"/>
          <w:sz w:val="22"/>
          <w:szCs w:val="22"/>
        </w:rPr>
        <w:t xml:space="preserve">TNC léger (ex-MCI, Mild Cognitive Impairment) : déclin modeste, testé objectivement, mais autonomie préservée — la personne s'adapte avec effort accru.</w:t>
      </w:r>
    </w:p>
    <w:p>
      <w:pPr>
        <w:pStyle w:val="ListParagraph"/>
        <w:numPr>
          <w:ilvl w:val="0"/>
          <w:numId w:val="1"/>
        </w:numPr>
        <w:spacing w:after="40" w:before="40"/>
      </w:pPr>
      <w:r>
        <w:rPr>
          <w:rFonts w:ascii="Times New Roman" w:cs="Times New Roman" w:eastAsia="Times New Roman" w:hAnsi="Times New Roman"/>
          <w:b/>
          <w:bCs/>
          <w:color w:val="1F2937"/>
          <w:sz w:val="22"/>
          <w:szCs w:val="22"/>
        </w:rPr>
        <w:t xml:space="preserve">🔴 </w:t>
      </w:r>
      <w:r>
        <w:rPr>
          <w:rFonts w:ascii="Times New Roman" w:cs="Times New Roman" w:eastAsia="Times New Roman" w:hAnsi="Times New Roman"/>
          <w:color w:val="1F2937"/>
          <w:sz w:val="22"/>
          <w:szCs w:val="22"/>
        </w:rPr>
        <w:t xml:space="preserve">TNC majeur (ex-démence) : déclin significatif dans au moins un domaine, avec retentissement sur l'autonomie quotidienne, hors délirium concomitant.</w:t>
      </w:r>
    </w:p>
    <w:p>
      <w:pPr>
        <w:spacing w:after="60" w:before="60"/>
        <w:ind/>
      </w:pPr>
      <w:r>
        <w:rPr>
          <w:rFonts w:ascii="Times New Roman" w:cs="Times New Roman" w:eastAsia="Times New Roman" w:hAnsi="Times New Roman"/>
          <w:b w:val="false"/>
          <w:bCs w:val="false"/>
          <w:i w:val="false"/>
          <w:iCs w:val="false"/>
          <w:color w:val="1F2937"/>
          <w:sz w:val="22"/>
          <w:szCs w:val="22"/>
        </w:rPr>
        <w:t xml:space="preserve"/>
      </w:r>
    </w:p>
    <w:p>
      <w:pPr>
        <w:shd w:fill="EEF2F7" w:color="EEF2F7" w:val="solid"/>
        <w:spacing w:after="100" w:before="100"/>
        <w:ind w:left="360" w:right="360"/>
      </w:pPr>
      <w:r>
        <w:rPr>
          <w:rFonts w:ascii="Times New Roman" w:cs="Times New Roman" w:eastAsia="Times New Roman" w:hAnsi="Times New Roman"/>
          <w:i/>
          <w:iCs/>
          <w:color w:val="1F2937"/>
          <w:sz w:val="22"/>
          <w:szCs w:val="22"/>
        </w:rPr>
        <w:t xml:space="preserve">⚠️ CADRE DÉONTOLOGIQUE : poser un diagnostic de TNC est un acte médical réservé au médecin psychiatre, au neurologue ou au gériatre. En tant que professionnel non médical, ta posture est celle de l'observateur clinique rigoureux : noter, décrire, transmettre, orienter — jamais diagnostiquer.</w:t>
      </w:r>
    </w:p>
    <w:p>
      <w:pPr>
        <w:pStyle w:val="Heading3"/>
        <w:spacing w:after="80" w:before="200"/>
      </w:pPr>
      <w:r>
        <w:rPr>
          <w:rFonts w:ascii="Times New Roman" w:cs="Times New Roman" w:eastAsia="Times New Roman" w:hAnsi="Times New Roman"/>
          <w:b/>
          <w:bCs/>
          <w:color w:val="1F2937"/>
          <w:sz w:val="26"/>
          <w:szCs w:val="26"/>
        </w:rPr>
        <w:t xml:space="preserve">2. Les 6 domaines cognitifs du DSM-5</w:t>
      </w:r>
    </w:p>
    <w:p>
      <w:pPr>
        <w:spacing w:after="60" w:before="60"/>
        <w:ind/>
      </w:pPr>
      <w:r>
        <w:rPr>
          <w:rFonts w:ascii="Times New Roman" w:cs="Times New Roman" w:eastAsia="Times New Roman" w:hAnsi="Times New Roman"/>
          <w:b w:val="false"/>
          <w:bCs w:val="false"/>
          <w:i w:val="false"/>
          <w:iCs w:val="false"/>
          <w:color w:val="1F2937"/>
          <w:sz w:val="22"/>
          <w:szCs w:val="22"/>
        </w:rPr>
        <w:t xml:space="preserve">Tout TNC est évalué selon l'atteinte de 6 domaines cognitifs. Cette grille est l'outil conceptuel central de la leçon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shd w:fill="1B3A6B" w:color="1B3A6B" w:val="solid"/>
            <w:vAlign w:val="center"/>
          </w:tcPr>
          <w:p>
            <w:pPr>
              <w:jc w:val="center"/>
            </w:pPr>
            <w:r>
              <w:rPr>
                <w:rFonts w:ascii="Times New Roman" w:cs="Times New Roman" w:eastAsia="Times New Roman" w:hAnsi="Times New Roman"/>
                <w:b/>
                <w:bCs/>
                <w:color w:val="FFFFFF"/>
                <w:sz w:val="20"/>
                <w:szCs w:val="20"/>
              </w:rPr>
              <w:t xml:space="preserve">Domaine cognitif</w:t>
            </w:r>
          </w:p>
        </w:tc>
        <w:tc>
          <w:tcPr>
            <w:shd w:fill="1B3A6B" w:color="1B3A6B" w:val="solid"/>
            <w:vAlign w:val="center"/>
          </w:tcPr>
          <w:p>
            <w:pPr>
              <w:jc w:val="center"/>
            </w:pPr>
            <w:r>
              <w:rPr>
                <w:rFonts w:ascii="Times New Roman" w:cs="Times New Roman" w:eastAsia="Times New Roman" w:hAnsi="Times New Roman"/>
                <w:b/>
                <w:bCs/>
                <w:color w:val="FFFFFF"/>
                <w:sz w:val="20"/>
                <w:szCs w:val="20"/>
              </w:rPr>
              <w:t xml:space="preserve">Description clinique</w:t>
            </w:r>
          </w:p>
        </w:tc>
        <w:tc>
          <w:tcPr>
            <w:shd w:fill="1B3A6B" w:color="1B3A6B" w:val="solid"/>
            <w:vAlign w:val="center"/>
          </w:tcPr>
          <w:p>
            <w:pPr>
              <w:jc w:val="center"/>
            </w:pPr>
            <w:r>
              <w:rPr>
                <w:rFonts w:ascii="Times New Roman" w:cs="Times New Roman" w:eastAsia="Times New Roman" w:hAnsi="Times New Roman"/>
                <w:b/>
                <w:bCs/>
                <w:color w:val="FFFFFF"/>
                <w:sz w:val="20"/>
                <w:szCs w:val="20"/>
              </w:rPr>
              <w:t xml:space="preserve">Exemples observables en quotidien</w:t>
            </w:r>
          </w:p>
        </w:tc>
      </w:tr>
      <w:tr>
        <w:tc>
          <w:tcPr>
            <w:shd w:fill="FFFFFF" w:color="FFFFFF" w:val="solid"/>
          </w:tcPr>
          <w:p>
            <w:r>
              <w:rPr>
                <w:rFonts w:ascii="Times New Roman" w:cs="Times New Roman" w:eastAsia="Times New Roman" w:hAnsi="Times New Roman"/>
                <w:color w:val="1F2937"/>
                <w:sz w:val="20"/>
                <w:szCs w:val="20"/>
              </w:rPr>
              <w:t xml:space="preserve">Mémoire et apprentissage</w:t>
            </w:r>
          </w:p>
        </w:tc>
        <w:tc>
          <w:tcPr>
            <w:shd w:fill="FFFFFF" w:color="FFFFFF" w:val="solid"/>
          </w:tcPr>
          <w:p>
            <w:r>
              <w:rPr>
                <w:rFonts w:ascii="Times New Roman" w:cs="Times New Roman" w:eastAsia="Times New Roman" w:hAnsi="Times New Roman"/>
                <w:color w:val="1F2937"/>
                <w:sz w:val="20"/>
                <w:szCs w:val="20"/>
              </w:rPr>
              <w:t xml:space="preserve">Encodage, stockage, rappel d'informations</w:t>
            </w:r>
          </w:p>
        </w:tc>
        <w:tc>
          <w:tcPr>
            <w:shd w:fill="FFFFFF" w:color="FFFFFF" w:val="solid"/>
          </w:tcPr>
          <w:p>
            <w:r>
              <w:rPr>
                <w:rFonts w:ascii="Times New Roman" w:cs="Times New Roman" w:eastAsia="Times New Roman" w:hAnsi="Times New Roman"/>
                <w:color w:val="1F2937"/>
                <w:sz w:val="20"/>
                <w:szCs w:val="20"/>
              </w:rPr>
              <w:t xml:space="preserve">Répète les mêmes questions, oublie des événements récents, perd ses affaires</w:t>
            </w:r>
          </w:p>
        </w:tc>
      </w:tr>
      <w:tr>
        <w:tc>
          <w:tcPr>
            <w:shd w:fill="EEF2F7" w:color="EEF2F7" w:val="solid"/>
          </w:tcPr>
          <w:p>
            <w:r>
              <w:rPr>
                <w:rFonts w:ascii="Times New Roman" w:cs="Times New Roman" w:eastAsia="Times New Roman" w:hAnsi="Times New Roman"/>
                <w:color w:val="1F2937"/>
                <w:sz w:val="20"/>
                <w:szCs w:val="20"/>
              </w:rPr>
              <w:t xml:space="preserve">Fonctions exécutives</w:t>
            </w:r>
          </w:p>
        </w:tc>
        <w:tc>
          <w:tcPr>
            <w:shd w:fill="EEF2F7" w:color="EEF2F7" w:val="solid"/>
          </w:tcPr>
          <w:p>
            <w:r>
              <w:rPr>
                <w:rFonts w:ascii="Times New Roman" w:cs="Times New Roman" w:eastAsia="Times New Roman" w:hAnsi="Times New Roman"/>
                <w:color w:val="1F2937"/>
                <w:sz w:val="20"/>
                <w:szCs w:val="20"/>
              </w:rPr>
              <w:t xml:space="preserve">Planification, initiation, inhibition, flexibilité</w:t>
            </w:r>
          </w:p>
        </w:tc>
        <w:tc>
          <w:tcPr>
            <w:shd w:fill="EEF2F7" w:color="EEF2F7" w:val="solid"/>
          </w:tcPr>
          <w:p>
            <w:r>
              <w:rPr>
                <w:rFonts w:ascii="Times New Roman" w:cs="Times New Roman" w:eastAsia="Times New Roman" w:hAnsi="Times New Roman"/>
                <w:color w:val="1F2937"/>
                <w:sz w:val="20"/>
                <w:szCs w:val="20"/>
              </w:rPr>
              <w:t xml:space="preserve">Ne peut plus gérer son budget, se perd dans une tâche multi-étapes</w:t>
            </w:r>
          </w:p>
        </w:tc>
      </w:tr>
      <w:tr>
        <w:tc>
          <w:tcPr>
            <w:shd w:fill="FFFFFF" w:color="FFFFFF" w:val="solid"/>
          </w:tcPr>
          <w:p>
            <w:r>
              <w:rPr>
                <w:rFonts w:ascii="Times New Roman" w:cs="Times New Roman" w:eastAsia="Times New Roman" w:hAnsi="Times New Roman"/>
                <w:color w:val="1F2937"/>
                <w:sz w:val="20"/>
                <w:szCs w:val="20"/>
              </w:rPr>
              <w:t xml:space="preserve">Attention complexe</w:t>
            </w:r>
          </w:p>
        </w:tc>
        <w:tc>
          <w:tcPr>
            <w:shd w:fill="FFFFFF" w:color="FFFFFF" w:val="solid"/>
          </w:tcPr>
          <w:p>
            <w:r>
              <w:rPr>
                <w:rFonts w:ascii="Times New Roman" w:cs="Times New Roman" w:eastAsia="Times New Roman" w:hAnsi="Times New Roman"/>
                <w:color w:val="1F2937"/>
                <w:sz w:val="20"/>
                <w:szCs w:val="20"/>
              </w:rPr>
              <w:t xml:space="preserve">Attention soutenue, divisée, sélective, vitesse de traitement</w:t>
            </w:r>
          </w:p>
        </w:tc>
        <w:tc>
          <w:tcPr>
            <w:shd w:fill="FFFFFF" w:color="FFFFFF" w:val="solid"/>
          </w:tcPr>
          <w:p>
            <w:r>
              <w:rPr>
                <w:rFonts w:ascii="Times New Roman" w:cs="Times New Roman" w:eastAsia="Times New Roman" w:hAnsi="Times New Roman"/>
                <w:color w:val="1F2937"/>
                <w:sz w:val="20"/>
                <w:szCs w:val="20"/>
              </w:rPr>
              <w:t xml:space="preserve">Se laisse distraire, ne suit plus une conversation, lenteur</w:t>
            </w:r>
          </w:p>
        </w:tc>
      </w:tr>
      <w:tr>
        <w:tc>
          <w:tcPr>
            <w:shd w:fill="EEF2F7" w:color="EEF2F7" w:val="solid"/>
          </w:tcPr>
          <w:p>
            <w:r>
              <w:rPr>
                <w:rFonts w:ascii="Times New Roman" w:cs="Times New Roman" w:eastAsia="Times New Roman" w:hAnsi="Times New Roman"/>
                <w:color w:val="1F2937"/>
                <w:sz w:val="20"/>
                <w:szCs w:val="20"/>
              </w:rPr>
              <w:t xml:space="preserve">Langage</w:t>
            </w:r>
          </w:p>
        </w:tc>
        <w:tc>
          <w:tcPr>
            <w:shd w:fill="EEF2F7" w:color="EEF2F7" w:val="solid"/>
          </w:tcPr>
          <w:p>
            <w:r>
              <w:rPr>
                <w:rFonts w:ascii="Times New Roman" w:cs="Times New Roman" w:eastAsia="Times New Roman" w:hAnsi="Times New Roman"/>
                <w:color w:val="1F2937"/>
                <w:sz w:val="20"/>
                <w:szCs w:val="20"/>
              </w:rPr>
              <w:t xml:space="preserve">Fluence verbale, dénomination, compréhension, lecture/écriture</w:t>
            </w:r>
          </w:p>
        </w:tc>
        <w:tc>
          <w:tcPr>
            <w:shd w:fill="EEF2F7" w:color="EEF2F7" w:val="solid"/>
          </w:tcPr>
          <w:p>
            <w:r>
              <w:rPr>
                <w:rFonts w:ascii="Times New Roman" w:cs="Times New Roman" w:eastAsia="Times New Roman" w:hAnsi="Times New Roman"/>
                <w:color w:val="1F2937"/>
                <w:sz w:val="20"/>
                <w:szCs w:val="20"/>
              </w:rPr>
              <w:t xml:space="preserve">Cherche ses mots (manque du mot), phrases incomplètes, paraphasies</w:t>
            </w:r>
          </w:p>
        </w:tc>
      </w:tr>
      <w:tr>
        <w:tc>
          <w:tcPr>
            <w:shd w:fill="FFFFFF" w:color="FFFFFF" w:val="solid"/>
          </w:tcPr>
          <w:p>
            <w:r>
              <w:rPr>
                <w:rFonts w:ascii="Times New Roman" w:cs="Times New Roman" w:eastAsia="Times New Roman" w:hAnsi="Times New Roman"/>
                <w:color w:val="1F2937"/>
                <w:sz w:val="20"/>
                <w:szCs w:val="20"/>
              </w:rPr>
              <w:t xml:space="preserve">Cognition perceptivo-motrice</w:t>
            </w:r>
          </w:p>
        </w:tc>
        <w:tc>
          <w:tcPr>
            <w:shd w:fill="FFFFFF" w:color="FFFFFF" w:val="solid"/>
          </w:tcPr>
          <w:p>
            <w:r>
              <w:rPr>
                <w:rFonts w:ascii="Times New Roman" w:cs="Times New Roman" w:eastAsia="Times New Roman" w:hAnsi="Times New Roman"/>
                <w:color w:val="1F2937"/>
                <w:sz w:val="20"/>
                <w:szCs w:val="20"/>
              </w:rPr>
              <w:t xml:space="preserve">Praxies constructives, perception visuo-spatiale, gnosies</w:t>
            </w:r>
          </w:p>
        </w:tc>
        <w:tc>
          <w:tcPr>
            <w:shd w:fill="FFFFFF" w:color="FFFFFF" w:val="solid"/>
          </w:tcPr>
          <w:p>
            <w:r>
              <w:rPr>
                <w:rFonts w:ascii="Times New Roman" w:cs="Times New Roman" w:eastAsia="Times New Roman" w:hAnsi="Times New Roman"/>
                <w:color w:val="1F2937"/>
                <w:sz w:val="20"/>
                <w:szCs w:val="20"/>
              </w:rPr>
              <w:t xml:space="preserve">Se perd dans un lieu familier, ne reconnaît plus les visages (prosopagnosie)</w:t>
            </w:r>
          </w:p>
        </w:tc>
      </w:tr>
      <w:tr>
        <w:tc>
          <w:tcPr>
            <w:shd w:fill="EEF2F7" w:color="EEF2F7" w:val="solid"/>
          </w:tcPr>
          <w:p>
            <w:r>
              <w:rPr>
                <w:rFonts w:ascii="Times New Roman" w:cs="Times New Roman" w:eastAsia="Times New Roman" w:hAnsi="Times New Roman"/>
                <w:color w:val="1F2937"/>
                <w:sz w:val="20"/>
                <w:szCs w:val="20"/>
              </w:rPr>
              <w:t xml:space="preserve">Cognition sociale</w:t>
            </w:r>
          </w:p>
        </w:tc>
        <w:tc>
          <w:tcPr>
            <w:shd w:fill="EEF2F7" w:color="EEF2F7" w:val="solid"/>
          </w:tcPr>
          <w:p>
            <w:r>
              <w:rPr>
                <w:rFonts w:ascii="Times New Roman" w:cs="Times New Roman" w:eastAsia="Times New Roman" w:hAnsi="Times New Roman"/>
                <w:color w:val="1F2937"/>
                <w:sz w:val="20"/>
                <w:szCs w:val="20"/>
              </w:rPr>
              <w:t xml:space="preserve">Reconnaissance des émotions, théorie de l'esprit, comportement social</w:t>
            </w:r>
          </w:p>
        </w:tc>
        <w:tc>
          <w:tcPr>
            <w:shd w:fill="EEF2F7" w:color="EEF2F7" w:val="solid"/>
          </w:tcPr>
          <w:p>
            <w:r>
              <w:rPr>
                <w:rFonts w:ascii="Times New Roman" w:cs="Times New Roman" w:eastAsia="Times New Roman" w:hAnsi="Times New Roman"/>
                <w:color w:val="1F2937"/>
                <w:sz w:val="20"/>
                <w:szCs w:val="20"/>
              </w:rPr>
              <w:t xml:space="preserve">Désinhibition, comportements inappropriés, perte d'empathie</w:t>
            </w:r>
          </w:p>
        </w:tc>
      </w:tr>
    </w:tbl>
    <w:p>
      <w:pPr>
        <w:pStyle w:val="Heading3"/>
        <w:spacing w:after="80" w:before="200"/>
      </w:pPr>
      <w:r>
        <w:rPr>
          <w:rFonts w:ascii="Times New Roman" w:cs="Times New Roman" w:eastAsia="Times New Roman" w:hAnsi="Times New Roman"/>
          <w:b/>
          <w:bCs/>
          <w:color w:val="1F2937"/>
          <w:sz w:val="26"/>
          <w:szCs w:val="26"/>
        </w:rPr>
        <w:t xml:space="preserve">3. Les principaux sous-types étiologiques</w:t>
      </w:r>
    </w:p>
    <w:p>
      <w:pPr>
        <w:spacing w:after="60" w:before="60"/>
        <w:ind/>
      </w:pPr>
      <w:r>
        <w:rPr>
          <w:rFonts w:ascii="Times New Roman" w:cs="Times New Roman" w:eastAsia="Times New Roman" w:hAnsi="Times New Roman"/>
          <w:b w:val="false"/>
          <w:bCs w:val="false"/>
          <w:i w:val="false"/>
          <w:iCs w:val="false"/>
          <w:color w:val="1F2937"/>
          <w:sz w:val="22"/>
          <w:szCs w:val="22"/>
        </w:rPr>
        <w:t xml:space="preserve">Le TNC majeur n'est pas une maladie unique mais un syndrome aux multiples causes. La distinction étiologique oriente la prise en charge :</w:t>
      </w:r>
    </w:p>
    <w:p>
      <w:pPr>
        <w:pStyle w:val="ListParagraph"/>
        <w:numPr>
          <w:ilvl w:val="0"/>
          <w:numId w:val="1"/>
        </w:numPr>
        <w:spacing w:after="40" w:before="40"/>
      </w:pPr>
      <w:r>
        <w:rPr>
          <w:rFonts w:ascii="Times New Roman" w:cs="Times New Roman" w:eastAsia="Times New Roman" w:hAnsi="Times New Roman"/>
          <w:b/>
          <w:bCs/>
          <w:color w:val="1F2937"/>
          <w:sz w:val="22"/>
          <w:szCs w:val="22"/>
        </w:rPr>
        <w:t xml:space="preserve">🧠 </w:t>
      </w:r>
      <w:r>
        <w:rPr>
          <w:rFonts w:ascii="Times New Roman" w:cs="Times New Roman" w:eastAsia="Times New Roman" w:hAnsi="Times New Roman"/>
          <w:color w:val="1F2937"/>
          <w:sz w:val="22"/>
          <w:szCs w:val="22"/>
        </w:rPr>
        <w:t xml:space="preserve">Maladie d'Alzheimer (60-70 % des cas) : atteinte de mémoire épisodique en premier, évolution progressive et irréversible, dépôts amyloïdes et dégénérescence neurofibrillaire.</w:t>
      </w:r>
    </w:p>
    <w:p>
      <w:pPr>
        <w:pStyle w:val="ListParagraph"/>
        <w:numPr>
          <w:ilvl w:val="0"/>
          <w:numId w:val="1"/>
        </w:numPr>
        <w:spacing w:after="40" w:before="40"/>
      </w:pPr>
      <w:r>
        <w:rPr>
          <w:rFonts w:ascii="Times New Roman" w:cs="Times New Roman" w:eastAsia="Times New Roman" w:hAnsi="Times New Roman"/>
          <w:b/>
          <w:bCs/>
          <w:color w:val="1F2937"/>
          <w:sz w:val="22"/>
          <w:szCs w:val="22"/>
        </w:rPr>
        <w:t xml:space="preserve">🧠 </w:t>
      </w:r>
      <w:r>
        <w:rPr>
          <w:rFonts w:ascii="Times New Roman" w:cs="Times New Roman" w:eastAsia="Times New Roman" w:hAnsi="Times New Roman"/>
          <w:color w:val="1F2937"/>
          <w:sz w:val="22"/>
          <w:szCs w:val="22"/>
        </w:rPr>
        <w:t xml:space="preserve">Démence vasculaire (2e rang) : début brutal ou « en marches d'escalier », signes neurologiques focaux, troubles exécutifs et comportementaux précoces, lié à des lésions cérébrales vasculaires ischémiques ou hémorragiques.</w:t>
      </w:r>
    </w:p>
    <w:p>
      <w:pPr>
        <w:pStyle w:val="ListParagraph"/>
        <w:numPr>
          <w:ilvl w:val="0"/>
          <w:numId w:val="1"/>
        </w:numPr>
        <w:spacing w:after="40" w:before="40"/>
      </w:pPr>
      <w:r>
        <w:rPr>
          <w:rFonts w:ascii="Times New Roman" w:cs="Times New Roman" w:eastAsia="Times New Roman" w:hAnsi="Times New Roman"/>
          <w:b/>
          <w:bCs/>
          <w:color w:val="1F2937"/>
          <w:sz w:val="22"/>
          <w:szCs w:val="22"/>
        </w:rPr>
        <w:t xml:space="preserve">🧠 </w:t>
      </w:r>
      <w:r>
        <w:rPr>
          <w:rFonts w:ascii="Times New Roman" w:cs="Times New Roman" w:eastAsia="Times New Roman" w:hAnsi="Times New Roman"/>
          <w:color w:val="1F2937"/>
          <w:sz w:val="22"/>
          <w:szCs w:val="22"/>
        </w:rPr>
        <w:t xml:space="preserve">Démence à corps de Lewy : fluctuations cognitives marquées, hallucinations visuelles précoces et détaillées, syndrome parkinsonien, trouble du comportement en sommeil REM.</w:t>
      </w:r>
    </w:p>
    <w:p>
      <w:pPr>
        <w:pStyle w:val="ListParagraph"/>
        <w:numPr>
          <w:ilvl w:val="0"/>
          <w:numId w:val="1"/>
        </w:numPr>
        <w:spacing w:after="40" w:before="40"/>
      </w:pPr>
      <w:r>
        <w:rPr>
          <w:rFonts w:ascii="Times New Roman" w:cs="Times New Roman" w:eastAsia="Times New Roman" w:hAnsi="Times New Roman"/>
          <w:b/>
          <w:bCs/>
          <w:color w:val="1F2937"/>
          <w:sz w:val="22"/>
          <w:szCs w:val="22"/>
        </w:rPr>
        <w:t xml:space="preserve">🧠 </w:t>
      </w:r>
      <w:r>
        <w:rPr>
          <w:rFonts w:ascii="Times New Roman" w:cs="Times New Roman" w:eastAsia="Times New Roman" w:hAnsi="Times New Roman"/>
          <w:color w:val="1F2937"/>
          <w:sz w:val="22"/>
          <w:szCs w:val="22"/>
        </w:rPr>
        <w:t xml:space="preserve">Dégénérescence frontotemporale (DFT) : désinhibition comportementale et/ou troubles du langage précoces, atteinte de la mémoire tardive — souvent confondue avec des troubles psychiatriques ou relationnels.</w:t>
      </w:r>
    </w:p>
    <w:p>
      <w:pPr>
        <w:pStyle w:val="ListParagraph"/>
        <w:numPr>
          <w:ilvl w:val="0"/>
          <w:numId w:val="1"/>
        </w:numPr>
        <w:spacing w:after="40" w:before="40"/>
      </w:pPr>
      <w:r>
        <w:rPr>
          <w:rFonts w:ascii="Times New Roman" w:cs="Times New Roman" w:eastAsia="Times New Roman" w:hAnsi="Times New Roman"/>
          <w:b/>
          <w:bCs/>
          <w:color w:val="1F2937"/>
          <w:sz w:val="22"/>
          <w:szCs w:val="22"/>
        </w:rPr>
        <w:t xml:space="preserve">🧠 </w:t>
      </w:r>
      <w:r>
        <w:rPr>
          <w:rFonts w:ascii="Times New Roman" w:cs="Times New Roman" w:eastAsia="Times New Roman" w:hAnsi="Times New Roman"/>
          <w:color w:val="1F2937"/>
          <w:sz w:val="22"/>
          <w:szCs w:val="22"/>
        </w:rPr>
        <w:t xml:space="preserve">Formes mixtes Alzheimer + vasculaire : fréquentes en pratique clinique, les deux composantes coexistent et s'intriquent.</w:t>
      </w:r>
    </w:p>
    <w:p>
      <w:pPr>
        <w:spacing w:after="60" w:before="60"/>
        <w:ind/>
      </w:pPr>
      <w:r>
        <w:rPr>
          <w:rFonts w:ascii="Times New Roman" w:cs="Times New Roman" w:eastAsia="Times New Roman" w:hAnsi="Times New Roman"/>
          <w:b w:val="false"/>
          <w:bCs w:val="false"/>
          <w:i w:val="false"/>
          <w:iCs w:val="false"/>
          <w:color w:val="1F2937"/>
          <w:sz w:val="22"/>
          <w:szCs w:val="22"/>
        </w:rPr>
        <w:t xml:space="preserve"/>
      </w:r>
    </w:p>
    <w:p>
      <w:pPr>
        <w:shd w:fill="EEF2F7" w:color="EEF2F7" w:val="solid"/>
        <w:spacing w:after="100" w:before="100"/>
        <w:ind w:left="360" w:right="360"/>
      </w:pPr>
      <w:r>
        <w:rPr>
          <w:rFonts w:ascii="Times New Roman" w:cs="Times New Roman" w:eastAsia="Times New Roman" w:hAnsi="Times New Roman"/>
          <w:i/>
          <w:iCs/>
          <w:color w:val="1F2937"/>
          <w:sz w:val="22"/>
          <w:szCs w:val="22"/>
        </w:rPr>
        <w:t xml:space="preserve">Distinction critique : DÉLIRIUM ≠ DÉMENCE. Le délirium est aigu (heures à jours), fluctuant, avec altération de la conscience et désorientation marquée, généralement réversible si la cause est traitée. La démence est chronique, progressive, la conscience est intacte en début d'évolution. ATTENTION : 49 % des patients hospitalisés atteints de TNC majeur présentent un épisode de délirium surajouté — cette superposition est une erreur diagnostique fréquente (source : Merck Manual).</w:t>
      </w:r>
    </w:p>
    <w:p>
      <w:pPr>
        <w:pStyle w:val="Heading3"/>
        <w:spacing w:after="80" w:before="200"/>
      </w:pPr>
      <w:r>
        <w:rPr>
          <w:rFonts w:ascii="Times New Roman" w:cs="Times New Roman" w:eastAsia="Times New Roman" w:hAnsi="Times New Roman"/>
          <w:b/>
          <w:bCs/>
          <w:color w:val="1F2937"/>
          <w:sz w:val="26"/>
          <w:szCs w:val="26"/>
        </w:rPr>
        <w:t xml:space="preserve">4. CIM-11 vs DSM-5 : points de convergence et nuances</w:t>
      </w:r>
    </w:p>
    <w:p>
      <w:pPr>
        <w:spacing w:after="60" w:before="60"/>
        <w:ind/>
      </w:pPr>
      <w:r>
        <w:rPr>
          <w:rFonts w:ascii="Times New Roman" w:cs="Times New Roman" w:eastAsia="Times New Roman" w:hAnsi="Times New Roman"/>
          <w:b w:val="false"/>
          <w:bCs w:val="false"/>
          <w:i w:val="false"/>
          <w:iCs w:val="false"/>
          <w:color w:val="1F2937"/>
          <w:sz w:val="22"/>
          <w:szCs w:val="22"/>
        </w:rPr>
        <w:t xml:space="preserve">La CIM-11 (OMS, en vigueur) rapproche sa classification du DSM-5 en intégrant la distinction TNC léger / TNC majeur et les 6 domaines cognitifs. La CIM-10 (antérieure) utilisait la catégorie F06.7 « trouble cognitif léger » avec un accent fort sur l'étiologie organique identifiable. La convergence progressive des deux systèmes facilite la communication internationale et la recherche.</w:t>
      </w:r>
    </w:p>
    <w:p>
      <w:pPr>
        <w:spacing w:after="120" w:before="120"/>
      </w:pPr>
      <w:r>
        <w:rPr>
          <w:rFonts w:ascii="Times New Roman" w:cs="Times New Roman" w:eastAsia="Times New Roman" w:hAnsi="Times New Roman"/>
          <w:color w:val="CCCCCC"/>
          <w:sz w:val="20"/>
          <w:szCs w:val="20"/>
        </w:rPr>
        <w:t xml:space="preserve">────────────────────────────────────────────────────────────</w:t>
      </w:r>
    </w:p>
    <w:p>
      <w:pPr>
        <w:pStyle w:val="Heading2"/>
        <w:spacing w:after="120" w:before="320"/>
      </w:pPr>
      <w:r>
        <w:rPr>
          <w:rFonts w:ascii="Times New Roman" w:cs="Times New Roman" w:eastAsia="Times New Roman" w:hAnsi="Times New Roman"/>
          <w:b/>
          <w:bCs/>
          <w:color w:val="1B3A6B"/>
          <w:sz w:val="30"/>
          <w:szCs w:val="30"/>
        </w:rPr>
        <w:t xml:space="preserve">🛠️ Pratique (80 %) — Exercices d'apprentissage actif</w:t>
      </w:r>
    </w:p>
    <w:p>
      <w:pPr>
        <w:pStyle w:val="Heading3"/>
        <w:spacing w:after="80" w:before="200"/>
      </w:pPr>
      <w:r>
        <w:rPr>
          <w:rFonts w:ascii="Times New Roman" w:cs="Times New Roman" w:eastAsia="Times New Roman" w:hAnsi="Times New Roman"/>
          <w:b/>
          <w:bCs/>
          <w:color w:val="1F2937"/>
          <w:sz w:val="26"/>
          <w:szCs w:val="26"/>
        </w:rPr>
        <w:t xml:space="preserve">Exercice 1 — Identifier les domaines cognitifs atteints</w:t>
      </w:r>
    </w:p>
    <w:p>
      <w:pPr>
        <w:spacing w:after="60" w:before="60"/>
        <w:ind/>
      </w:pPr>
      <w:r>
        <w:rPr>
          <w:rFonts w:ascii="Times New Roman" w:cs="Times New Roman" w:eastAsia="Times New Roman" w:hAnsi="Times New Roman"/>
          <w:b w:val="false"/>
          <w:bCs w:val="false"/>
          <w:i w:val="false"/>
          <w:iCs w:val="false"/>
          <w:color w:val="1F2937"/>
          <w:sz w:val="22"/>
          <w:szCs w:val="22"/>
        </w:rPr>
        <w:t xml:space="preserve">Lis les 6 vignettes ci-dessous. Pour chacune, identifie le(s) domaine(s) cognitif(s) atteints selon la grille DSM-5 des 6 domaines, et indique si le tableau évoque plutôt un TNC léger, un TNC majeur ou un délirium. Justifie en une phrase.</w:t>
      </w:r>
    </w:p>
    <w:p>
      <w:pPr>
        <w:spacing w:after="60" w:before="60"/>
        <w:ind/>
      </w:pPr>
      <w:r>
        <w:rPr>
          <w:rFonts w:ascii="Times New Roman" w:cs="Times New Roman" w:eastAsia="Times New Roman" w:hAnsi="Times New Roman"/>
          <w:b w:val="false"/>
          <w:bCs w:val="false"/>
          <w:i w:val="false"/>
          <w:iCs w:val="false"/>
          <w:color w:val="1F2937"/>
          <w:sz w:val="22"/>
          <w:szCs w:val="22"/>
        </w:rPr>
        <w:t xml:space="preserve"/>
      </w:r>
    </w:p>
    <w:p>
      <w:pPr>
        <w:spacing w:after="60" w:before="60"/>
        <w:ind/>
      </w:pPr>
      <w:r>
        <w:rPr>
          <w:rFonts w:ascii="Times New Roman" w:cs="Times New Roman" w:eastAsia="Times New Roman" w:hAnsi="Times New Roman"/>
          <w:b/>
          <w:bCs/>
          <w:i w:val="false"/>
          <w:iCs w:val="false"/>
          <w:color w:val="1F2937"/>
          <w:sz w:val="22"/>
          <w:szCs w:val="22"/>
        </w:rPr>
        <w:t xml:space="preserve">Vignette A :</w:t>
      </w:r>
    </w:p>
    <w:p>
      <w:pPr>
        <w:spacing w:after="60" w:before="60"/>
        <w:ind w:left="360"/>
      </w:pPr>
      <w:r>
        <w:rPr>
          <w:rFonts w:ascii="Times New Roman" w:cs="Times New Roman" w:eastAsia="Times New Roman" w:hAnsi="Times New Roman"/>
          <w:b w:val="false"/>
          <w:bCs w:val="false"/>
          <w:i w:val="false"/>
          <w:iCs w:val="false"/>
          <w:color w:val="1F2937"/>
          <w:sz w:val="22"/>
          <w:szCs w:val="22"/>
        </w:rPr>
        <w:t xml:space="preserve">Mme V., 74 ans, répète 3 fois la même question en 10 minutes. Elle sait encore qu'elle est chez elle, gère son carnet d'adresses, mais oublie systématiquement les rendez-vous récents si elle ne les note pas immédiatement.</w:t>
      </w:r>
    </w:p>
    <w:p>
      <w:pPr>
        <w:spacing w:after="60" w:before="60"/>
        <w:ind w:left="360"/>
      </w:pPr>
      <w:r>
        <w:rPr>
          <w:rFonts w:ascii="Times New Roman" w:cs="Times New Roman" w:eastAsia="Times New Roman" w:hAnsi="Times New Roman"/>
          <w:b w:val="false"/>
          <w:bCs w:val="false"/>
          <w:i w:val="false"/>
          <w:iCs w:val="false"/>
          <w:color w:val="888888"/>
          <w:sz w:val="22"/>
          <w:szCs w:val="22"/>
        </w:rPr>
        <w:t xml:space="preserve">Ta réponse : ___________________________________________</w:t>
      </w:r>
    </w:p>
    <w:p>
      <w:pPr>
        <w:spacing w:after="60" w:before="60"/>
        <w:ind/>
      </w:pPr>
      <w:r>
        <w:rPr>
          <w:rFonts w:ascii="Times New Roman" w:cs="Times New Roman" w:eastAsia="Times New Roman" w:hAnsi="Times New Roman"/>
          <w:b w:val="false"/>
          <w:bCs w:val="false"/>
          <w:i w:val="false"/>
          <w:iCs w:val="false"/>
          <w:color w:val="1F2937"/>
          <w:sz w:val="22"/>
          <w:szCs w:val="22"/>
        </w:rPr>
        <w:t xml:space="preserve"/>
      </w:r>
    </w:p>
    <w:p>
      <w:pPr>
        <w:spacing w:after="60" w:before="60"/>
        <w:ind/>
      </w:pPr>
      <w:r>
        <w:rPr>
          <w:rFonts w:ascii="Times New Roman" w:cs="Times New Roman" w:eastAsia="Times New Roman" w:hAnsi="Times New Roman"/>
          <w:b/>
          <w:bCs/>
          <w:i w:val="false"/>
          <w:iCs w:val="false"/>
          <w:color w:val="1F2937"/>
          <w:sz w:val="22"/>
          <w:szCs w:val="22"/>
        </w:rPr>
        <w:t xml:space="preserve">Vignette B :</w:t>
      </w:r>
    </w:p>
    <w:p>
      <w:pPr>
        <w:spacing w:after="60" w:before="60"/>
        <w:ind w:left="360"/>
      </w:pPr>
      <w:r>
        <w:rPr>
          <w:rFonts w:ascii="Times New Roman" w:cs="Times New Roman" w:eastAsia="Times New Roman" w:hAnsi="Times New Roman"/>
          <w:b w:val="false"/>
          <w:bCs w:val="false"/>
          <w:i w:val="false"/>
          <w:iCs w:val="false"/>
          <w:color w:val="1F2937"/>
          <w:sz w:val="22"/>
          <w:szCs w:val="22"/>
        </w:rPr>
        <w:t xml:space="preserve">M. R., 81 ans, est hospitalisé pour une infection urinaire. Depuis hier soir, il est agité, reconnaît difficilement sa fille, dit voir des « hommes dans la chambre » et son état fluctue d'une heure à l'autre.</w:t>
      </w:r>
    </w:p>
    <w:p>
      <w:pPr>
        <w:spacing w:after="60" w:before="60"/>
        <w:ind w:left="360"/>
      </w:pPr>
      <w:r>
        <w:rPr>
          <w:rFonts w:ascii="Times New Roman" w:cs="Times New Roman" w:eastAsia="Times New Roman" w:hAnsi="Times New Roman"/>
          <w:b w:val="false"/>
          <w:bCs w:val="false"/>
          <w:i w:val="false"/>
          <w:iCs w:val="false"/>
          <w:color w:val="888888"/>
          <w:sz w:val="22"/>
          <w:szCs w:val="22"/>
        </w:rPr>
        <w:t xml:space="preserve">Ta réponse : ___________________________________________</w:t>
      </w:r>
    </w:p>
    <w:p>
      <w:pPr>
        <w:spacing w:after="60" w:before="60"/>
        <w:ind/>
      </w:pPr>
      <w:r>
        <w:rPr>
          <w:rFonts w:ascii="Times New Roman" w:cs="Times New Roman" w:eastAsia="Times New Roman" w:hAnsi="Times New Roman"/>
          <w:b w:val="false"/>
          <w:bCs w:val="false"/>
          <w:i w:val="false"/>
          <w:iCs w:val="false"/>
          <w:color w:val="1F2937"/>
          <w:sz w:val="22"/>
          <w:szCs w:val="22"/>
        </w:rPr>
        <w:t xml:space="preserve"/>
      </w:r>
    </w:p>
    <w:p>
      <w:pPr>
        <w:spacing w:after="60" w:before="60"/>
        <w:ind/>
      </w:pPr>
      <w:r>
        <w:rPr>
          <w:rFonts w:ascii="Times New Roman" w:cs="Times New Roman" w:eastAsia="Times New Roman" w:hAnsi="Times New Roman"/>
          <w:b/>
          <w:bCs/>
          <w:i w:val="false"/>
          <w:iCs w:val="false"/>
          <w:color w:val="1F2937"/>
          <w:sz w:val="22"/>
          <w:szCs w:val="22"/>
        </w:rPr>
        <w:t xml:space="preserve">Vignette C :</w:t>
      </w:r>
    </w:p>
    <w:p>
      <w:pPr>
        <w:spacing w:after="60" w:before="60"/>
        <w:ind w:left="360"/>
      </w:pPr>
      <w:r>
        <w:rPr>
          <w:rFonts w:ascii="Times New Roman" w:cs="Times New Roman" w:eastAsia="Times New Roman" w:hAnsi="Times New Roman"/>
          <w:b w:val="false"/>
          <w:bCs w:val="false"/>
          <w:i w:val="false"/>
          <w:iCs w:val="false"/>
          <w:color w:val="1F2937"/>
          <w:sz w:val="22"/>
          <w:szCs w:val="22"/>
        </w:rPr>
        <w:t xml:space="preserve">Mme S., 68 ans, n'a plus de problème de mémoire notable, mais son mari signale qu'elle a fait 3 accidents de voiture ce trimestre, ne reconnaît plus son chemin habituel vers le marché et a du mal à s'orienter dans les espaces.</w:t>
      </w:r>
    </w:p>
    <w:p>
      <w:pPr>
        <w:spacing w:after="60" w:before="60"/>
        <w:ind w:left="360"/>
      </w:pPr>
      <w:r>
        <w:rPr>
          <w:rFonts w:ascii="Times New Roman" w:cs="Times New Roman" w:eastAsia="Times New Roman" w:hAnsi="Times New Roman"/>
          <w:b w:val="false"/>
          <w:bCs w:val="false"/>
          <w:i w:val="false"/>
          <w:iCs w:val="false"/>
          <w:color w:val="888888"/>
          <w:sz w:val="22"/>
          <w:szCs w:val="22"/>
        </w:rPr>
        <w:t xml:space="preserve">Ta réponse : ___________________________________________</w:t>
      </w:r>
    </w:p>
    <w:p>
      <w:pPr>
        <w:spacing w:after="60" w:before="60"/>
        <w:ind/>
      </w:pPr>
      <w:r>
        <w:rPr>
          <w:rFonts w:ascii="Times New Roman" w:cs="Times New Roman" w:eastAsia="Times New Roman" w:hAnsi="Times New Roman"/>
          <w:b w:val="false"/>
          <w:bCs w:val="false"/>
          <w:i w:val="false"/>
          <w:iCs w:val="false"/>
          <w:color w:val="1F2937"/>
          <w:sz w:val="22"/>
          <w:szCs w:val="22"/>
        </w:rPr>
        <w:t xml:space="preserve"/>
      </w:r>
    </w:p>
    <w:p>
      <w:pPr>
        <w:spacing w:after="60" w:before="60"/>
        <w:ind/>
      </w:pPr>
      <w:r>
        <w:rPr>
          <w:rFonts w:ascii="Times New Roman" w:cs="Times New Roman" w:eastAsia="Times New Roman" w:hAnsi="Times New Roman"/>
          <w:b/>
          <w:bCs/>
          <w:i w:val="false"/>
          <w:iCs w:val="false"/>
          <w:color w:val="1F2937"/>
          <w:sz w:val="22"/>
          <w:szCs w:val="22"/>
        </w:rPr>
        <w:t xml:space="preserve">Vignette D :</w:t>
      </w:r>
    </w:p>
    <w:p>
      <w:pPr>
        <w:spacing w:after="60" w:before="60"/>
        <w:ind w:left="360"/>
      </w:pPr>
      <w:r>
        <w:rPr>
          <w:rFonts w:ascii="Times New Roman" w:cs="Times New Roman" w:eastAsia="Times New Roman" w:hAnsi="Times New Roman"/>
          <w:b w:val="false"/>
          <w:bCs w:val="false"/>
          <w:i w:val="false"/>
          <w:iCs w:val="false"/>
          <w:color w:val="1F2937"/>
          <w:sz w:val="22"/>
          <w:szCs w:val="22"/>
        </w:rPr>
        <w:t xml:space="preserve">M. L., 77 ans, gère encore son agenda mais a besoin d'aide pour préparer son repas — il commence, oublie la séquence, laisse le gaz allumé. Sa femme note aussi qu'il a du mal à gérer ses médicaments pourtant simples.</w:t>
      </w:r>
    </w:p>
    <w:p>
      <w:pPr>
        <w:spacing w:after="60" w:before="60"/>
        <w:ind w:left="360"/>
      </w:pPr>
      <w:r>
        <w:rPr>
          <w:rFonts w:ascii="Times New Roman" w:cs="Times New Roman" w:eastAsia="Times New Roman" w:hAnsi="Times New Roman"/>
          <w:b w:val="false"/>
          <w:bCs w:val="false"/>
          <w:i w:val="false"/>
          <w:iCs w:val="false"/>
          <w:color w:val="888888"/>
          <w:sz w:val="22"/>
          <w:szCs w:val="22"/>
        </w:rPr>
        <w:t xml:space="preserve">Ta réponse : ___________________________________________</w:t>
      </w:r>
    </w:p>
    <w:p>
      <w:pPr>
        <w:spacing w:after="60" w:before="60"/>
        <w:ind/>
      </w:pPr>
      <w:r>
        <w:rPr>
          <w:rFonts w:ascii="Times New Roman" w:cs="Times New Roman" w:eastAsia="Times New Roman" w:hAnsi="Times New Roman"/>
          <w:b w:val="false"/>
          <w:bCs w:val="false"/>
          <w:i w:val="false"/>
          <w:iCs w:val="false"/>
          <w:color w:val="1F2937"/>
          <w:sz w:val="22"/>
          <w:szCs w:val="22"/>
        </w:rPr>
        <w:t xml:space="preserve"/>
      </w:r>
    </w:p>
    <w:p>
      <w:pPr>
        <w:spacing w:after="60" w:before="60"/>
        <w:ind/>
      </w:pPr>
      <w:r>
        <w:rPr>
          <w:rFonts w:ascii="Times New Roman" w:cs="Times New Roman" w:eastAsia="Times New Roman" w:hAnsi="Times New Roman"/>
          <w:b/>
          <w:bCs/>
          <w:i w:val="false"/>
          <w:iCs w:val="false"/>
          <w:color w:val="1F2937"/>
          <w:sz w:val="22"/>
          <w:szCs w:val="22"/>
        </w:rPr>
        <w:t xml:space="preserve">Vignette E :</w:t>
      </w:r>
    </w:p>
    <w:p>
      <w:pPr>
        <w:spacing w:after="60" w:before="60"/>
        <w:ind w:left="360"/>
      </w:pPr>
      <w:r>
        <w:rPr>
          <w:rFonts w:ascii="Times New Roman" w:cs="Times New Roman" w:eastAsia="Times New Roman" w:hAnsi="Times New Roman"/>
          <w:b w:val="false"/>
          <w:bCs w:val="false"/>
          <w:i w:val="false"/>
          <w:iCs w:val="false"/>
          <w:color w:val="1F2937"/>
          <w:sz w:val="22"/>
          <w:szCs w:val="22"/>
        </w:rPr>
        <w:t xml:space="preserve">Mme A., 72 ans, était directrice commerciale. Depuis 2 ans, elle fait des blagues inappropriées en public, a perdu ses filtres sociaux, dépense sans compter. Sa mémoire des faits récents est relativement préservée.</w:t>
      </w:r>
    </w:p>
    <w:p>
      <w:pPr>
        <w:spacing w:after="60" w:before="60"/>
        <w:ind w:left="360"/>
      </w:pPr>
      <w:r>
        <w:rPr>
          <w:rFonts w:ascii="Times New Roman" w:cs="Times New Roman" w:eastAsia="Times New Roman" w:hAnsi="Times New Roman"/>
          <w:b w:val="false"/>
          <w:bCs w:val="false"/>
          <w:i w:val="false"/>
          <w:iCs w:val="false"/>
          <w:color w:val="888888"/>
          <w:sz w:val="22"/>
          <w:szCs w:val="22"/>
        </w:rPr>
        <w:t xml:space="preserve">Ta réponse : ___________________________________________</w:t>
      </w:r>
    </w:p>
    <w:p>
      <w:pPr>
        <w:spacing w:after="60" w:before="60"/>
        <w:ind/>
      </w:pPr>
      <w:r>
        <w:rPr>
          <w:rFonts w:ascii="Times New Roman" w:cs="Times New Roman" w:eastAsia="Times New Roman" w:hAnsi="Times New Roman"/>
          <w:b w:val="false"/>
          <w:bCs w:val="false"/>
          <w:i w:val="false"/>
          <w:iCs w:val="false"/>
          <w:color w:val="1F2937"/>
          <w:sz w:val="22"/>
          <w:szCs w:val="22"/>
        </w:rPr>
        <w:t xml:space="preserve"/>
      </w:r>
    </w:p>
    <w:p>
      <w:pPr>
        <w:spacing w:after="60" w:before="60"/>
        <w:ind/>
      </w:pPr>
      <w:r>
        <w:rPr>
          <w:rFonts w:ascii="Times New Roman" w:cs="Times New Roman" w:eastAsia="Times New Roman" w:hAnsi="Times New Roman"/>
          <w:b/>
          <w:bCs/>
          <w:i w:val="false"/>
          <w:iCs w:val="false"/>
          <w:color w:val="1F2937"/>
          <w:sz w:val="22"/>
          <w:szCs w:val="22"/>
        </w:rPr>
        <w:t xml:space="preserve">Vignette F :</w:t>
      </w:r>
    </w:p>
    <w:p>
      <w:pPr>
        <w:spacing w:after="60" w:before="60"/>
        <w:ind w:left="360"/>
      </w:pPr>
      <w:r>
        <w:rPr>
          <w:rFonts w:ascii="Times New Roman" w:cs="Times New Roman" w:eastAsia="Times New Roman" w:hAnsi="Times New Roman"/>
          <w:b w:val="false"/>
          <w:bCs w:val="false"/>
          <w:i w:val="false"/>
          <w:iCs w:val="false"/>
          <w:color w:val="1F2937"/>
          <w:sz w:val="22"/>
          <w:szCs w:val="22"/>
        </w:rPr>
        <w:t xml:space="preserve">M. C., 83 ans, hallucine des personnages détaillés chaque soir, a des chutes fréquentes, et ses capacités cognitives varient énormément d'un jour à l'autre — certains matins il est parfaitement lucide, certains après-midis totalement confus.</w:t>
      </w:r>
    </w:p>
    <w:p>
      <w:pPr>
        <w:spacing w:after="60" w:before="60"/>
        <w:ind w:left="360"/>
      </w:pPr>
      <w:r>
        <w:rPr>
          <w:rFonts w:ascii="Times New Roman" w:cs="Times New Roman" w:eastAsia="Times New Roman" w:hAnsi="Times New Roman"/>
          <w:b w:val="false"/>
          <w:bCs w:val="false"/>
          <w:i w:val="false"/>
          <w:iCs w:val="false"/>
          <w:color w:val="888888"/>
          <w:sz w:val="22"/>
          <w:szCs w:val="22"/>
        </w:rPr>
        <w:t xml:space="preserve">Ta réponse : ___________________________________________</w:t>
      </w:r>
    </w:p>
    <w:p>
      <w:pPr>
        <w:spacing w:after="60" w:before="60"/>
        <w:ind/>
      </w:pPr>
      <w:r>
        <w:rPr>
          <w:rFonts w:ascii="Times New Roman" w:cs="Times New Roman" w:eastAsia="Times New Roman" w:hAnsi="Times New Roman"/>
          <w:b w:val="false"/>
          <w:bCs w:val="false"/>
          <w:i w:val="false"/>
          <w:iCs w:val="false"/>
          <w:color w:val="1F2937"/>
          <w:sz w:val="22"/>
          <w:szCs w:val="22"/>
        </w:rPr>
        <w:t xml:space="preserve"/>
      </w:r>
    </w:p>
    <w:p>
      <w:pPr>
        <w:pStyle w:val="Heading3"/>
        <w:spacing w:after="80" w:before="200"/>
      </w:pPr>
      <w:r>
        <w:rPr>
          <w:rFonts w:ascii="Times New Roman" w:cs="Times New Roman" w:eastAsia="Times New Roman" w:hAnsi="Times New Roman"/>
          <w:b/>
          <w:bCs/>
          <w:color w:val="1F2937"/>
          <w:sz w:val="26"/>
          <w:szCs w:val="26"/>
        </w:rPr>
        <w:t xml:space="preserve">✅ Corrigé — Exercice 1</w:t>
      </w:r>
    </w:p>
    <w:p>
      <w:pPr>
        <w:spacing w:after="60" w:before="60"/>
        <w:ind w:left="360"/>
      </w:pPr>
      <w:r>
        <w:rPr>
          <w:rFonts w:ascii="Times New Roman" w:cs="Times New Roman" w:eastAsia="Times New Roman" w:hAnsi="Times New Roman"/>
          <w:b w:val="false"/>
          <w:bCs w:val="false"/>
          <w:i w:val="false"/>
          <w:iCs w:val="false"/>
          <w:color w:val="1F2937"/>
          <w:sz w:val="22"/>
          <w:szCs w:val="22"/>
        </w:rPr>
        <w:t xml:space="preserve">Vignette A : domaine Mémoire/apprentissage atteint. Autonomie préservée avec compensation (carnet). → TNC léger probable.</w:t>
      </w:r>
    </w:p>
    <w:p>
      <w:pPr>
        <w:spacing w:after="60" w:before="60"/>
        <w:ind w:left="360"/>
      </w:pPr>
      <w:r>
        <w:rPr>
          <w:rFonts w:ascii="Times New Roman" w:cs="Times New Roman" w:eastAsia="Times New Roman" w:hAnsi="Times New Roman"/>
          <w:b w:val="false"/>
          <w:bCs w:val="false"/>
          <w:i w:val="false"/>
          <w:iCs w:val="false"/>
          <w:color w:val="1F2937"/>
          <w:sz w:val="22"/>
          <w:szCs w:val="22"/>
        </w:rPr>
        <w:t xml:space="preserve">Vignette B : fluctuation brutale de la conscience, hallucinations visuelles, désorientation temporelle, dans un contexte infectieux aigu. → Délirium (confusion aiguë). À distinguer d'un TNC préexistant aggravé — les deux peuvent coexister.</w:t>
      </w:r>
    </w:p>
    <w:p>
      <w:pPr>
        <w:spacing w:after="60" w:before="60"/>
        <w:ind w:left="360"/>
      </w:pPr>
      <w:r>
        <w:rPr>
          <w:rFonts w:ascii="Times New Roman" w:cs="Times New Roman" w:eastAsia="Times New Roman" w:hAnsi="Times New Roman"/>
          <w:b w:val="false"/>
          <w:bCs w:val="false"/>
          <w:i w:val="false"/>
          <w:iCs w:val="false"/>
          <w:color w:val="1F2937"/>
          <w:sz w:val="22"/>
          <w:szCs w:val="22"/>
        </w:rPr>
        <w:t xml:space="preserve">Vignette C : accidents de voiture répétés, perte d'orientation spatiale dans des lieux familiers, difficulté à s'orienter dans l'espace. → Domaine Cognition perceptivo-motrice (visuo-spatiale, praxies) atteint. Mémoire intacte → TNC à dominante visuospatiale. Deux pistes cohérentes : l'ATROPHIE CORTICALE POSTÉRIEURE — la variante visuelle de la maladie d'Alzheimer, qui débute par les fonctions visuo-spatiales et épargne longtemps la mémoire — et la démence à corps de Lewy. ⚠️ Ne PAS évoquer une DFT ici : la section 3 la définit par la désinhibition comportementale et les troubles du langage, avec une atteinte TARDIVE de la mémoire ; les capacités visuo-spatiales y sont au contraire relativement préservées, ce qui en fait un argument DIFFÉRENTIEL et non un argument en faveur.</w:t>
      </w:r>
    </w:p>
    <w:p>
      <w:pPr>
        <w:spacing w:after="60" w:before="60"/>
        <w:ind w:left="360"/>
      </w:pPr>
      <w:r>
        <w:rPr>
          <w:rFonts w:ascii="Times New Roman" w:cs="Times New Roman" w:eastAsia="Times New Roman" w:hAnsi="Times New Roman"/>
          <w:b w:val="false"/>
          <w:bCs w:val="false"/>
          <w:i w:val="false"/>
          <w:iCs w:val="false"/>
          <w:color w:val="1F2937"/>
          <w:sz w:val="22"/>
          <w:szCs w:val="22"/>
        </w:rPr>
        <w:t xml:space="preserve">Vignette D : la mémoire est atteinte (oubli de séquences) ET les fonctions exécutives (planification, initiation, séquençage d'une tâche multi-étapes). Retentissement sur les activités quotidiennes avec nécessité d'aide. → TNC majeur (léger à modéré selon sévérité).</w:t>
      </w:r>
    </w:p>
    <w:p>
      <w:pPr>
        <w:spacing w:after="60" w:before="60"/>
        <w:ind w:left="360"/>
      </w:pPr>
      <w:r>
        <w:rPr>
          <w:rFonts w:ascii="Times New Roman" w:cs="Times New Roman" w:eastAsia="Times New Roman" w:hAnsi="Times New Roman"/>
          <w:b w:val="false"/>
          <w:bCs w:val="false"/>
          <w:i w:val="false"/>
          <w:iCs w:val="false"/>
          <w:color w:val="1F2937"/>
          <w:sz w:val="22"/>
          <w:szCs w:val="22"/>
        </w:rPr>
        <w:t xml:space="preserve">Vignette E : désinhibition sociale, dépenses impulsives, perte des filtres comportementaux, mémoire préservée. → Domaine Cognition sociale et Fonctions exécutives (inhibition altérée). Profil évocateur d'une Dégénérescence Frontotemporale (variant comportemental).</w:t>
      </w:r>
    </w:p>
    <w:p>
      <w:pPr>
        <w:spacing w:after="60" w:before="60"/>
        <w:ind w:left="360"/>
      </w:pPr>
      <w:r>
        <w:rPr>
          <w:rFonts w:ascii="Times New Roman" w:cs="Times New Roman" w:eastAsia="Times New Roman" w:hAnsi="Times New Roman"/>
          <w:b w:val="false"/>
          <w:bCs w:val="false"/>
          <w:i w:val="false"/>
          <w:iCs w:val="false"/>
          <w:color w:val="1F2937"/>
          <w:sz w:val="22"/>
          <w:szCs w:val="22"/>
        </w:rPr>
        <w:t xml:space="preserve">Vignette F : hallucinations visuelles détaillées le soir, chutes (syndrome parkinsonien), fluctuations cognitives importantes jour/jour. → Profil très évocateur de Démence à corps de Lewy. Les domaines atteints, en s'en tenant à la grille des six domaines : ATTENTION COMPLEXE (fluctuations marquées d'un jour à l'autre) et COGNITION PERCEPTIVO-MOTRICE — c'est à ce domaine perceptif que se rattachent les hallucinations visuelles, PAS à la cognition sociale, qui désigne la reconnaissance des émotions, la théorie de l'esprit et le comportement social. Les chutes, elles, relèvent du syndrome parkinsonien associé : c'est un signe moteur, pas un domaine cognitif. → TNC majeur.</w:t>
      </w:r>
    </w:p>
    <w:p>
      <w:pPr>
        <w:spacing w:after="60" w:before="60"/>
        <w:ind/>
      </w:pPr>
      <w:r>
        <w:rPr>
          <w:rFonts w:ascii="Times New Roman" w:cs="Times New Roman" w:eastAsia="Times New Roman" w:hAnsi="Times New Roman"/>
          <w:b w:val="false"/>
          <w:bCs w:val="false"/>
          <w:i w:val="false"/>
          <w:iCs w:val="false"/>
          <w:color w:val="1F2937"/>
          <w:sz w:val="22"/>
          <w:szCs w:val="22"/>
        </w:rPr>
        <w:t xml:space="preserve"/>
      </w:r>
    </w:p>
    <w:p>
      <w:pPr>
        <w:shd w:fill="EEF2F7" w:color="EEF2F7" w:val="solid"/>
        <w:spacing w:after="100" w:before="100"/>
        <w:ind w:left="360" w:right="360"/>
      </w:pPr>
      <w:r>
        <w:rPr>
          <w:rFonts w:ascii="Times New Roman" w:cs="Times New Roman" w:eastAsia="Times New Roman" w:hAnsi="Times New Roman"/>
          <w:i/>
          <w:iCs/>
          <w:color w:val="1F2937"/>
          <w:sz w:val="22"/>
          <w:szCs w:val="22"/>
        </w:rPr>
        <w:t xml:space="preserve">🔍 Note clinique : ces vignettes illustrent la diversité des sous-types et l'importance de ne pas réduire les TNC à la seule mémoire. En pratique en ESSMS, observer et décrire précisément le domaine atteint permet d'orienter vers le bon professionnel (neurologue, gériatre, psychiatre).</w:t>
      </w:r>
    </w:p>
    <w:p>
      <w:pPr>
        <w:spacing w:after="60" w:before="60"/>
        <w:ind/>
      </w:pPr>
      <w:r>
        <w:rPr>
          <w:rFonts w:ascii="Times New Roman" w:cs="Times New Roman" w:eastAsia="Times New Roman" w:hAnsi="Times New Roman"/>
          <w:b w:val="false"/>
          <w:bCs w:val="false"/>
          <w:i w:val="false"/>
          <w:iCs w:val="false"/>
          <w:color w:val="1F2937"/>
          <w:sz w:val="22"/>
          <w:szCs w:val="22"/>
        </w:rPr>
        <w:t xml:space="preserve"/>
      </w:r>
    </w:p>
    <w:p>
      <w:pPr>
        <w:pStyle w:val="Heading3"/>
        <w:spacing w:after="80" w:before="200"/>
      </w:pPr>
      <w:r>
        <w:rPr>
          <w:rFonts w:ascii="Times New Roman" w:cs="Times New Roman" w:eastAsia="Times New Roman" w:hAnsi="Times New Roman"/>
          <w:b/>
          <w:bCs/>
          <w:color w:val="1F2937"/>
          <w:sz w:val="26"/>
          <w:szCs w:val="26"/>
        </w:rPr>
        <w:t xml:space="preserve">Exercice 2 — Délirium ou démence ? Tableau de distinction</w:t>
      </w:r>
    </w:p>
    <w:p>
      <w:pPr>
        <w:spacing w:after="60" w:before="60"/>
        <w:ind/>
      </w:pPr>
      <w:r>
        <w:rPr>
          <w:rFonts w:ascii="Times New Roman" w:cs="Times New Roman" w:eastAsia="Times New Roman" w:hAnsi="Times New Roman"/>
          <w:b w:val="false"/>
          <w:bCs w:val="false"/>
          <w:i w:val="false"/>
          <w:iCs w:val="false"/>
          <w:color w:val="1F2937"/>
          <w:sz w:val="22"/>
          <w:szCs w:val="22"/>
        </w:rPr>
        <w:t xml:space="preserve">À partir de tes connaissances et de la leçon, complète ce tableau comparatif. Pour chaque dimension, indique la caractéristique du délirium, puis celle du TNC majeur. La correction suit immédiatement.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shd w:fill="1B3A6B" w:color="1B3A6B" w:val="solid"/>
            <w:vAlign w:val="center"/>
          </w:tcPr>
          <w:p>
            <w:pPr>
              <w:jc w:val="center"/>
            </w:pPr>
            <w:r>
              <w:rPr>
                <w:rFonts w:ascii="Times New Roman" w:cs="Times New Roman" w:eastAsia="Times New Roman" w:hAnsi="Times New Roman"/>
                <w:b/>
                <w:bCs/>
                <w:color w:val="FFFFFF"/>
                <w:sz w:val="20"/>
                <w:szCs w:val="20"/>
              </w:rPr>
              <w:t xml:space="preserve">Dimension</w:t>
            </w:r>
          </w:p>
        </w:tc>
        <w:tc>
          <w:tcPr>
            <w:shd w:fill="1B3A6B" w:color="1B3A6B" w:val="solid"/>
            <w:vAlign w:val="center"/>
          </w:tcPr>
          <w:p>
            <w:pPr>
              <w:jc w:val="center"/>
            </w:pPr>
            <w:r>
              <w:rPr>
                <w:rFonts w:ascii="Times New Roman" w:cs="Times New Roman" w:eastAsia="Times New Roman" w:hAnsi="Times New Roman"/>
                <w:b/>
                <w:bCs/>
                <w:color w:val="FFFFFF"/>
                <w:sz w:val="20"/>
                <w:szCs w:val="20"/>
              </w:rPr>
              <w:t xml:space="preserve">Délirium</w:t>
            </w:r>
          </w:p>
        </w:tc>
        <w:tc>
          <w:tcPr>
            <w:shd w:fill="1B3A6B" w:color="1B3A6B" w:val="solid"/>
            <w:vAlign w:val="center"/>
          </w:tcPr>
          <w:p>
            <w:pPr>
              <w:jc w:val="center"/>
            </w:pPr>
            <w:r>
              <w:rPr>
                <w:rFonts w:ascii="Times New Roman" w:cs="Times New Roman" w:eastAsia="Times New Roman" w:hAnsi="Times New Roman"/>
                <w:b/>
                <w:bCs/>
                <w:color w:val="FFFFFF"/>
                <w:sz w:val="20"/>
                <w:szCs w:val="20"/>
              </w:rPr>
              <w:t xml:space="preserve">TNC majeur</w:t>
            </w:r>
          </w:p>
        </w:tc>
      </w:tr>
      <w:tr>
        <w:tc>
          <w:tcPr>
            <w:shd w:fill="FFFFFF" w:color="FFFFFF" w:val="solid"/>
          </w:tcPr>
          <w:p>
            <w:r>
              <w:rPr>
                <w:rFonts w:ascii="Times New Roman" w:cs="Times New Roman" w:eastAsia="Times New Roman" w:hAnsi="Times New Roman"/>
                <w:color w:val="1F2937"/>
                <w:sz w:val="20"/>
                <w:szCs w:val="20"/>
              </w:rPr>
              <w:t xml:space="preserve">Début</w:t>
            </w:r>
          </w:p>
        </w:tc>
        <w:tc>
          <w:tcPr>
            <w:shd w:fill="FFFFFF" w:color="FFFFFF" w:val="solid"/>
          </w:tcPr>
          <w:p>
            <w:r>
              <w:rPr>
                <w:rFonts w:ascii="Times New Roman" w:cs="Times New Roman" w:eastAsia="Times New Roman" w:hAnsi="Times New Roman"/>
                <w:color w:val="1F2937"/>
                <w:sz w:val="20"/>
                <w:szCs w:val="20"/>
              </w:rPr>
              <w:t xml:space="preserve">Soudain (heures / jours) — point de départ identifiable</w:t>
            </w:r>
          </w:p>
        </w:tc>
        <w:tc>
          <w:tcPr>
            <w:shd w:fill="FFFFFF" w:color="FFFFFF" w:val="solid"/>
          </w:tcPr>
          <w:p>
            <w:r>
              <w:rPr>
                <w:rFonts w:ascii="Times New Roman" w:cs="Times New Roman" w:eastAsia="Times New Roman" w:hAnsi="Times New Roman"/>
                <w:color w:val="1F2937"/>
                <w:sz w:val="20"/>
                <w:szCs w:val="20"/>
              </w:rPr>
              <w:t xml:space="preserve">Progressif, insidieux — début incertain</w:t>
            </w:r>
          </w:p>
        </w:tc>
      </w:tr>
      <w:tr>
        <w:tc>
          <w:tcPr>
            <w:shd w:fill="EEF2F7" w:color="EEF2F7" w:val="solid"/>
          </w:tcPr>
          <w:p>
            <w:r>
              <w:rPr>
                <w:rFonts w:ascii="Times New Roman" w:cs="Times New Roman" w:eastAsia="Times New Roman" w:hAnsi="Times New Roman"/>
                <w:color w:val="1F2937"/>
                <w:sz w:val="20"/>
                <w:szCs w:val="20"/>
              </w:rPr>
              <w:t xml:space="preserve">Durée</w:t>
            </w:r>
          </w:p>
        </w:tc>
        <w:tc>
          <w:tcPr>
            <w:shd w:fill="EEF2F7" w:color="EEF2F7" w:val="solid"/>
          </w:tcPr>
          <w:p>
            <w:r>
              <w:rPr>
                <w:rFonts w:ascii="Times New Roman" w:cs="Times New Roman" w:eastAsia="Times New Roman" w:hAnsi="Times New Roman"/>
                <w:color w:val="1F2937"/>
                <w:sz w:val="20"/>
                <w:szCs w:val="20"/>
              </w:rPr>
              <w:t xml:space="preserve">Jours à semaines (réversible si cause traitée)</w:t>
            </w:r>
          </w:p>
        </w:tc>
        <w:tc>
          <w:tcPr>
            <w:shd w:fill="EEF2F7" w:color="EEF2F7" w:val="solid"/>
          </w:tcPr>
          <w:p>
            <w:r>
              <w:rPr>
                <w:rFonts w:ascii="Times New Roman" w:cs="Times New Roman" w:eastAsia="Times New Roman" w:hAnsi="Times New Roman"/>
                <w:color w:val="1F2937"/>
                <w:sz w:val="20"/>
                <w:szCs w:val="20"/>
              </w:rPr>
              <w:t xml:space="preserve">Permanent, évolution sur des mois/années</w:t>
            </w:r>
          </w:p>
        </w:tc>
      </w:tr>
      <w:tr>
        <w:tc>
          <w:tcPr>
            <w:shd w:fill="FFFFFF" w:color="FFFFFF" w:val="solid"/>
          </w:tcPr>
          <w:p>
            <w:r>
              <w:rPr>
                <w:rFonts w:ascii="Times New Roman" w:cs="Times New Roman" w:eastAsia="Times New Roman" w:hAnsi="Times New Roman"/>
                <w:color w:val="1F2937"/>
                <w:sz w:val="20"/>
                <w:szCs w:val="20"/>
              </w:rPr>
              <w:t xml:space="preserve">Conscience</w:t>
            </w:r>
          </w:p>
        </w:tc>
        <w:tc>
          <w:tcPr>
            <w:shd w:fill="FFFFFF" w:color="FFFFFF" w:val="solid"/>
          </w:tcPr>
          <w:p>
            <w:r>
              <w:rPr>
                <w:rFonts w:ascii="Times New Roman" w:cs="Times New Roman" w:eastAsia="Times New Roman" w:hAnsi="Times New Roman"/>
                <w:color w:val="1F2937"/>
                <w:sz w:val="20"/>
                <w:szCs w:val="20"/>
              </w:rPr>
              <w:t xml:space="preserve">Altérée (fluctuante) : le patient n'est plus pleinement conscient de son environnement</w:t>
            </w:r>
          </w:p>
        </w:tc>
        <w:tc>
          <w:tcPr>
            <w:shd w:fill="FFFFFF" w:color="FFFFFF" w:val="solid"/>
          </w:tcPr>
          <w:p>
            <w:r>
              <w:rPr>
                <w:rFonts w:ascii="Times New Roman" w:cs="Times New Roman" w:eastAsia="Times New Roman" w:hAnsi="Times New Roman"/>
                <w:color w:val="1F2937"/>
                <w:sz w:val="20"/>
                <w:szCs w:val="20"/>
              </w:rPr>
              <w:t xml:space="preserve">Intacte aux stades précoces</w:t>
            </w:r>
          </w:p>
        </w:tc>
      </w:tr>
      <w:tr>
        <w:tc>
          <w:tcPr>
            <w:shd w:fill="EEF2F7" w:color="EEF2F7" w:val="solid"/>
          </w:tcPr>
          <w:p>
            <w:r>
              <w:rPr>
                <w:rFonts w:ascii="Times New Roman" w:cs="Times New Roman" w:eastAsia="Times New Roman" w:hAnsi="Times New Roman"/>
                <w:color w:val="1F2937"/>
                <w:sz w:val="20"/>
                <w:szCs w:val="20"/>
              </w:rPr>
              <w:t xml:space="preserve">Attention</w:t>
            </w:r>
          </w:p>
        </w:tc>
        <w:tc>
          <w:tcPr>
            <w:shd w:fill="EEF2F7" w:color="EEF2F7" w:val="solid"/>
          </w:tcPr>
          <w:p>
            <w:r>
              <w:rPr>
                <w:rFonts w:ascii="Times New Roman" w:cs="Times New Roman" w:eastAsia="Times New Roman" w:hAnsi="Times New Roman"/>
                <w:color w:val="1F2937"/>
                <w:sz w:val="20"/>
                <w:szCs w:val="20"/>
              </w:rPr>
              <w:t xml:space="preserve">Gravement altérée, fluctuante</w:t>
            </w:r>
          </w:p>
        </w:tc>
        <w:tc>
          <w:tcPr>
            <w:shd w:fill="EEF2F7" w:color="EEF2F7" w:val="solid"/>
          </w:tcPr>
          <w:p>
            <w:r>
              <w:rPr>
                <w:rFonts w:ascii="Times New Roman" w:cs="Times New Roman" w:eastAsia="Times New Roman" w:hAnsi="Times New Roman"/>
                <w:color w:val="1F2937"/>
                <w:sz w:val="20"/>
                <w:szCs w:val="20"/>
              </w:rPr>
              <w:t xml:space="preserve">Relativement préservée en début d'évolution</w:t>
            </w:r>
          </w:p>
        </w:tc>
      </w:tr>
      <w:tr>
        <w:tc>
          <w:tcPr>
            <w:shd w:fill="FFFFFF" w:color="FFFFFF" w:val="solid"/>
          </w:tcPr>
          <w:p>
            <w:r>
              <w:rPr>
                <w:rFonts w:ascii="Times New Roman" w:cs="Times New Roman" w:eastAsia="Times New Roman" w:hAnsi="Times New Roman"/>
                <w:color w:val="1F2937"/>
                <w:sz w:val="20"/>
                <w:szCs w:val="20"/>
              </w:rPr>
              <w:t xml:space="preserve">Cause</w:t>
            </w:r>
          </w:p>
        </w:tc>
        <w:tc>
          <w:tcPr>
            <w:shd w:fill="FFFFFF" w:color="FFFFFF" w:val="solid"/>
          </w:tcPr>
          <w:p>
            <w:r>
              <w:rPr>
                <w:rFonts w:ascii="Times New Roman" w:cs="Times New Roman" w:eastAsia="Times New Roman" w:hAnsi="Times New Roman"/>
                <w:color w:val="1F2937"/>
                <w:sz w:val="20"/>
                <w:szCs w:val="20"/>
              </w:rPr>
              <w:t xml:space="preserve">Aiguë et identifiable : infection, déshydratation, médicaments, sevrage, chirurgie</w:t>
            </w:r>
          </w:p>
        </w:tc>
        <w:tc>
          <w:tcPr>
            <w:shd w:fill="FFFFFF" w:color="FFFFFF" w:val="solid"/>
          </w:tcPr>
          <w:p>
            <w:r>
              <w:rPr>
                <w:rFonts w:ascii="Times New Roman" w:cs="Times New Roman" w:eastAsia="Times New Roman" w:hAnsi="Times New Roman"/>
                <w:color w:val="1F2937"/>
                <w:sz w:val="20"/>
                <w:szCs w:val="20"/>
              </w:rPr>
              <w:t xml:space="preserve">Dégénérative ou vasculaire chronique</w:t>
            </w:r>
          </w:p>
        </w:tc>
      </w:tr>
      <w:tr>
        <w:tc>
          <w:tcPr>
            <w:shd w:fill="EEF2F7" w:color="EEF2F7" w:val="solid"/>
          </w:tcPr>
          <w:p>
            <w:r>
              <w:rPr>
                <w:rFonts w:ascii="Times New Roman" w:cs="Times New Roman" w:eastAsia="Times New Roman" w:hAnsi="Times New Roman"/>
                <w:color w:val="1F2937"/>
                <w:sz w:val="20"/>
                <w:szCs w:val="20"/>
              </w:rPr>
              <w:t xml:space="preserve">Réversibilité</w:t>
            </w:r>
          </w:p>
        </w:tc>
        <w:tc>
          <w:tcPr>
            <w:shd w:fill="EEF2F7" w:color="EEF2F7" w:val="solid"/>
          </w:tcPr>
          <w:p>
            <w:r>
              <w:rPr>
                <w:rFonts w:ascii="Times New Roman" w:cs="Times New Roman" w:eastAsia="Times New Roman" w:hAnsi="Times New Roman"/>
                <w:color w:val="1F2937"/>
                <w:sz w:val="20"/>
                <w:szCs w:val="20"/>
              </w:rPr>
              <w:t xml:space="preserve">Habituellement réversible si cause traitée rapidement</w:t>
            </w:r>
          </w:p>
        </w:tc>
        <w:tc>
          <w:tcPr>
            <w:shd w:fill="EEF2F7" w:color="EEF2F7" w:val="solid"/>
          </w:tcPr>
          <w:p>
            <w:r>
              <w:rPr>
                <w:rFonts w:ascii="Times New Roman" w:cs="Times New Roman" w:eastAsia="Times New Roman" w:hAnsi="Times New Roman"/>
                <w:color w:val="1F2937"/>
                <w:sz w:val="20"/>
                <w:szCs w:val="20"/>
              </w:rPr>
              <w:t xml:space="preserve">Généralement irréversible</w:t>
            </w:r>
          </w:p>
        </w:tc>
      </w:tr>
      <w:tr>
        <w:tc>
          <w:tcPr>
            <w:shd w:fill="FFFFFF" w:color="FFFFFF" w:val="solid"/>
          </w:tcPr>
          <w:p>
            <w:r>
              <w:rPr>
                <w:rFonts w:ascii="Times New Roman" w:cs="Times New Roman" w:eastAsia="Times New Roman" w:hAnsi="Times New Roman"/>
                <w:color w:val="1F2937"/>
                <w:sz w:val="20"/>
                <w:szCs w:val="20"/>
              </w:rPr>
              <w:t xml:space="preserve">Hallucinations</w:t>
            </w:r>
          </w:p>
        </w:tc>
        <w:tc>
          <w:tcPr>
            <w:shd w:fill="FFFFFF" w:color="FFFFFF" w:val="solid"/>
          </w:tcPr>
          <w:p>
            <w:r>
              <w:rPr>
                <w:rFonts w:ascii="Times New Roman" w:cs="Times New Roman" w:eastAsia="Times New Roman" w:hAnsi="Times New Roman"/>
                <w:color w:val="1F2937"/>
                <w:sz w:val="20"/>
                <w:szCs w:val="20"/>
              </w:rPr>
              <w:t xml:space="preserve">Fréquentes (visuelles ++), liées aux fluctuations de conscience</w:t>
            </w:r>
          </w:p>
        </w:tc>
        <w:tc>
          <w:tcPr>
            <w:shd w:fill="FFFFFF" w:color="FFFFFF" w:val="solid"/>
          </w:tcPr>
          <w:p>
            <w:r>
              <w:rPr>
                <w:rFonts w:ascii="Times New Roman" w:cs="Times New Roman" w:eastAsia="Times New Roman" w:hAnsi="Times New Roman"/>
                <w:color w:val="1F2937"/>
                <w:sz w:val="20"/>
                <w:szCs w:val="20"/>
              </w:rPr>
              <w:t xml:space="preserve">Présentes selon le sous-type (corps de Lewy ++)</w:t>
            </w:r>
          </w:p>
        </w:tc>
      </w:tr>
      <w:tr>
        <w:tc>
          <w:tcPr>
            <w:shd w:fill="EEF2F7" w:color="EEF2F7" w:val="solid"/>
          </w:tcPr>
          <w:p>
            <w:r>
              <w:rPr>
                <w:rFonts w:ascii="Times New Roman" w:cs="Times New Roman" w:eastAsia="Times New Roman" w:hAnsi="Times New Roman"/>
                <w:color w:val="1F2937"/>
                <w:sz w:val="20"/>
                <w:szCs w:val="20"/>
              </w:rPr>
              <w:t xml:space="preserve">Risque de superposition</w:t>
            </w:r>
          </w:p>
        </w:tc>
        <w:tc>
          <w:tcPr>
            <w:shd w:fill="EEF2F7" w:color="EEF2F7" w:val="solid"/>
          </w:tcPr>
          <w:p>
            <w:r>
              <w:rPr>
                <w:rFonts w:ascii="Times New Roman" w:cs="Times New Roman" w:eastAsia="Times New Roman" w:hAnsi="Times New Roman"/>
                <w:color w:val="1F2937"/>
                <w:sz w:val="20"/>
                <w:szCs w:val="20"/>
              </w:rPr>
              <w:t xml:space="preserve">49 % des TNC majeurs hospitalisés développent un délirium surajouté</w:t>
            </w:r>
          </w:p>
        </w:tc>
        <w:tc>
          <w:tcPr>
            <w:shd w:fill="EEF2F7" w:color="EEF2F7" w:val="solid"/>
          </w:tcPr>
          <w:p>
            <w:r>
              <w:rPr>
                <w:rFonts w:ascii="Times New Roman" w:cs="Times New Roman" w:eastAsia="Times New Roman" w:hAnsi="Times New Roman"/>
                <w:color w:val="1F2937"/>
                <w:sz w:val="20"/>
                <w:szCs w:val="20"/>
              </w:rPr>
              <w:t xml:space="preserve">Le délirium masque / aggrave le tableau</w:t>
            </w:r>
          </w:p>
        </w:tc>
      </w:tr>
    </w:tbl>
    <w:p>
      <w:pPr>
        <w:spacing w:after="60" w:before="60"/>
        <w:ind/>
      </w:pPr>
      <w:r>
        <w:rPr>
          <w:rFonts w:ascii="Times New Roman" w:cs="Times New Roman" w:eastAsia="Times New Roman" w:hAnsi="Times New Roman"/>
          <w:b w:val="false"/>
          <w:bCs w:val="false"/>
          <w:i w:val="false"/>
          <w:iCs w:val="false"/>
          <w:color w:val="1F2937"/>
          <w:sz w:val="22"/>
          <w:szCs w:val="22"/>
        </w:rPr>
        <w:t xml:space="preserve"/>
      </w:r>
    </w:p>
    <w:p>
      <w:pPr>
        <w:shd w:fill="EEF2F7" w:color="EEF2F7" w:val="solid"/>
        <w:spacing w:after="100" w:before="100"/>
        <w:ind w:left="360" w:right="360"/>
      </w:pPr>
      <w:r>
        <w:rPr>
          <w:rFonts w:ascii="Times New Roman" w:cs="Times New Roman" w:eastAsia="Times New Roman" w:hAnsi="Times New Roman"/>
          <w:i/>
          <w:iCs/>
          <w:color w:val="1F2937"/>
          <w:sz w:val="22"/>
          <w:szCs w:val="22"/>
        </w:rPr>
        <w:t xml:space="preserve">💡 Pourquoi cette distinction est-elle cruciale ? Un délirium mal reconnu (confondu avec une démence) retarde le traitement de la cause médicale sous-jacente et aggrave le pronostic. À l'inverse, diagnostiquer un délirium à la place d'une démence sous-jacente passe à côté d'un accompagnement long terme nécessaire.</w:t>
      </w:r>
    </w:p>
    <w:p>
      <w:pPr>
        <w:spacing w:after="60" w:before="60"/>
        <w:ind/>
      </w:pPr>
      <w:r>
        <w:rPr>
          <w:rFonts w:ascii="Times New Roman" w:cs="Times New Roman" w:eastAsia="Times New Roman" w:hAnsi="Times New Roman"/>
          <w:b w:val="false"/>
          <w:bCs w:val="false"/>
          <w:i w:val="false"/>
          <w:iCs w:val="false"/>
          <w:color w:val="1F2937"/>
          <w:sz w:val="22"/>
          <w:szCs w:val="22"/>
        </w:rPr>
        <w:t xml:space="preserve"/>
      </w:r>
    </w:p>
    <w:p>
      <w:pPr>
        <w:pStyle w:val="Heading3"/>
        <w:spacing w:after="80" w:before="200"/>
      </w:pPr>
      <w:r>
        <w:rPr>
          <w:rFonts w:ascii="Times New Roman" w:cs="Times New Roman" w:eastAsia="Times New Roman" w:hAnsi="Times New Roman"/>
          <w:b/>
          <w:bCs/>
          <w:color w:val="1F2937"/>
          <w:sz w:val="26"/>
          <w:szCs w:val="26"/>
        </w:rPr>
        <w:t xml:space="preserve">Exercice 3 — Analyse de parcours : progression de la maladie d'Alzheimer</w:t>
      </w:r>
    </w:p>
    <w:p>
      <w:pPr>
        <w:spacing w:after="60" w:before="60"/>
        <w:ind/>
      </w:pPr>
      <w:r>
        <w:rPr>
          <w:rFonts w:ascii="Times New Roman" w:cs="Times New Roman" w:eastAsia="Times New Roman" w:hAnsi="Times New Roman"/>
          <w:b w:val="false"/>
          <w:bCs w:val="false"/>
          <w:i w:val="false"/>
          <w:iCs w:val="false"/>
          <w:color w:val="1F2937"/>
          <w:sz w:val="22"/>
          <w:szCs w:val="22"/>
        </w:rPr>
        <w:t xml:space="preserve">Ci-dessous, une vignette longitudinale en 3 temps. Pour chaque stade, identifie : (a) le niveau de sévérité du TNC selon le DSM-5, (b) les domaines cognitifs principalement atteints, (c) le retentissement probable sur l'autonomie.</w:t>
      </w:r>
    </w:p>
    <w:p>
      <w:pPr>
        <w:spacing w:after="60" w:before="60"/>
        <w:ind/>
      </w:pPr>
      <w:r>
        <w:rPr>
          <w:rFonts w:ascii="Times New Roman" w:cs="Times New Roman" w:eastAsia="Times New Roman" w:hAnsi="Times New Roman"/>
          <w:b w:val="false"/>
          <w:bCs w:val="false"/>
          <w:i w:val="false"/>
          <w:iCs w:val="false"/>
          <w:color w:val="1F2937"/>
          <w:sz w:val="22"/>
          <w:szCs w:val="22"/>
        </w:rPr>
        <w:t xml:space="preserve"/>
      </w:r>
    </w:p>
    <w:p>
      <w:pPr>
        <w:spacing w:after="60" w:before="60"/>
        <w:ind/>
      </w:pPr>
      <w:r>
        <w:rPr>
          <w:rFonts w:ascii="Times New Roman" w:cs="Times New Roman" w:eastAsia="Times New Roman" w:hAnsi="Times New Roman"/>
          <w:b/>
          <w:bCs/>
          <w:i w:val="false"/>
          <w:iCs w:val="false"/>
          <w:color w:val="1F2937"/>
          <w:sz w:val="22"/>
          <w:szCs w:val="22"/>
        </w:rPr>
        <w:t xml:space="preserve">STADE 1 — M. D., 71 ans (il y a 4 ans)</w:t>
      </w:r>
    </w:p>
    <w:p>
      <w:pPr>
        <w:spacing w:after="60" w:before="60"/>
        <w:ind w:left="360"/>
      </w:pPr>
      <w:r>
        <w:rPr>
          <w:rFonts w:ascii="Times New Roman" w:cs="Times New Roman" w:eastAsia="Times New Roman" w:hAnsi="Times New Roman"/>
          <w:b w:val="false"/>
          <w:bCs w:val="false"/>
          <w:i w:val="false"/>
          <w:iCs w:val="false"/>
          <w:color w:val="1F2937"/>
          <w:sz w:val="22"/>
          <w:szCs w:val="22"/>
        </w:rPr>
        <w:t xml:space="preserve">Sa femme remarque qu'il oublie les prénoms de collègues récents. Il gère encore seul toutes ses activités, conduit, fait ses courses, mais compense en prenant beaucoup de notes.</w:t>
      </w:r>
    </w:p>
    <w:p>
      <w:pPr>
        <w:spacing w:after="60" w:before="60"/>
        <w:ind w:left="360"/>
      </w:pPr>
      <w:r>
        <w:rPr>
          <w:rFonts w:ascii="Times New Roman" w:cs="Times New Roman" w:eastAsia="Times New Roman" w:hAnsi="Times New Roman"/>
          <w:b w:val="false"/>
          <w:bCs w:val="false"/>
          <w:i w:val="false"/>
          <w:iCs w:val="false"/>
          <w:color w:val="888888"/>
          <w:sz w:val="22"/>
          <w:szCs w:val="22"/>
        </w:rPr>
        <w:t xml:space="preserve">Ta réponse : ___________________________________________</w:t>
      </w:r>
    </w:p>
    <w:p>
      <w:pPr>
        <w:spacing w:after="60" w:before="60"/>
        <w:ind/>
      </w:pPr>
      <w:r>
        <w:rPr>
          <w:rFonts w:ascii="Times New Roman" w:cs="Times New Roman" w:eastAsia="Times New Roman" w:hAnsi="Times New Roman"/>
          <w:b w:val="false"/>
          <w:bCs w:val="false"/>
          <w:i w:val="false"/>
          <w:iCs w:val="false"/>
          <w:color w:val="1F2937"/>
          <w:sz w:val="22"/>
          <w:szCs w:val="22"/>
        </w:rPr>
        <w:t xml:space="preserve"/>
      </w:r>
    </w:p>
    <w:p>
      <w:pPr>
        <w:spacing w:after="60" w:before="60"/>
        <w:ind/>
      </w:pPr>
      <w:r>
        <w:rPr>
          <w:rFonts w:ascii="Times New Roman" w:cs="Times New Roman" w:eastAsia="Times New Roman" w:hAnsi="Times New Roman"/>
          <w:b/>
          <w:bCs/>
          <w:i w:val="false"/>
          <w:iCs w:val="false"/>
          <w:color w:val="1F2937"/>
          <w:sz w:val="22"/>
          <w:szCs w:val="22"/>
        </w:rPr>
        <w:t xml:space="preserve">STADE 2 — M. D., 74 ans (il y a 1 an)</w:t>
      </w:r>
    </w:p>
    <w:p>
      <w:pPr>
        <w:spacing w:after="60" w:before="60"/>
        <w:ind w:left="360"/>
      </w:pPr>
      <w:r>
        <w:rPr>
          <w:rFonts w:ascii="Times New Roman" w:cs="Times New Roman" w:eastAsia="Times New Roman" w:hAnsi="Times New Roman"/>
          <w:b w:val="false"/>
          <w:bCs w:val="false"/>
          <w:i w:val="false"/>
          <w:iCs w:val="false"/>
          <w:color w:val="1F2937"/>
          <w:sz w:val="22"/>
          <w:szCs w:val="22"/>
        </w:rPr>
        <w:t xml:space="preserve">Il a dû arrêter de conduire après deux incidents. Il ne prépare plus les repas (oublie les étapes). Il reconnaît encore tous ses proches, mais a besoin d'aide pour gérer ses médicaments et son budget.</w:t>
      </w:r>
    </w:p>
    <w:p>
      <w:pPr>
        <w:spacing w:after="60" w:before="60"/>
        <w:ind w:left="360"/>
      </w:pPr>
      <w:r>
        <w:rPr>
          <w:rFonts w:ascii="Times New Roman" w:cs="Times New Roman" w:eastAsia="Times New Roman" w:hAnsi="Times New Roman"/>
          <w:b w:val="false"/>
          <w:bCs w:val="false"/>
          <w:i w:val="false"/>
          <w:iCs w:val="false"/>
          <w:color w:val="888888"/>
          <w:sz w:val="22"/>
          <w:szCs w:val="22"/>
        </w:rPr>
        <w:t xml:space="preserve">Ta réponse : ___________________________________________</w:t>
      </w:r>
    </w:p>
    <w:p>
      <w:pPr>
        <w:spacing w:after="60" w:before="60"/>
        <w:ind/>
      </w:pPr>
      <w:r>
        <w:rPr>
          <w:rFonts w:ascii="Times New Roman" w:cs="Times New Roman" w:eastAsia="Times New Roman" w:hAnsi="Times New Roman"/>
          <w:b w:val="false"/>
          <w:bCs w:val="false"/>
          <w:i w:val="false"/>
          <w:iCs w:val="false"/>
          <w:color w:val="1F2937"/>
          <w:sz w:val="22"/>
          <w:szCs w:val="22"/>
        </w:rPr>
        <w:t xml:space="preserve"/>
      </w:r>
    </w:p>
    <w:p>
      <w:pPr>
        <w:spacing w:after="60" w:before="60"/>
        <w:ind/>
      </w:pPr>
      <w:r>
        <w:rPr>
          <w:rFonts w:ascii="Times New Roman" w:cs="Times New Roman" w:eastAsia="Times New Roman" w:hAnsi="Times New Roman"/>
          <w:b/>
          <w:bCs/>
          <w:i w:val="false"/>
          <w:iCs w:val="false"/>
          <w:color w:val="1F2937"/>
          <w:sz w:val="22"/>
          <w:szCs w:val="22"/>
        </w:rPr>
        <w:t xml:space="preserve">STADE 3 — M. D., 75 ans (aujourd'hui)</w:t>
      </w:r>
    </w:p>
    <w:p>
      <w:pPr>
        <w:spacing w:after="60" w:before="60"/>
        <w:ind w:left="360"/>
      </w:pPr>
      <w:r>
        <w:rPr>
          <w:rFonts w:ascii="Times New Roman" w:cs="Times New Roman" w:eastAsia="Times New Roman" w:hAnsi="Times New Roman"/>
          <w:b w:val="false"/>
          <w:bCs w:val="false"/>
          <w:i w:val="false"/>
          <w:iCs w:val="false"/>
          <w:color w:val="1F2937"/>
          <w:sz w:val="22"/>
          <w:szCs w:val="22"/>
        </w:rPr>
        <w:t xml:space="preserve">Il ne reconnaît plus sa fille. Il ne peut plus manger seul, confond parfois le jour et la nuit. Des épisodes d'agitation nocturne apparaissent. Il ne parle plus qu'en mots isolés.</w:t>
      </w:r>
    </w:p>
    <w:p>
      <w:pPr>
        <w:spacing w:after="60" w:before="60"/>
        <w:ind w:left="360"/>
      </w:pPr>
      <w:r>
        <w:rPr>
          <w:rFonts w:ascii="Times New Roman" w:cs="Times New Roman" w:eastAsia="Times New Roman" w:hAnsi="Times New Roman"/>
          <w:b w:val="false"/>
          <w:bCs w:val="false"/>
          <w:i w:val="false"/>
          <w:iCs w:val="false"/>
          <w:color w:val="888888"/>
          <w:sz w:val="22"/>
          <w:szCs w:val="22"/>
        </w:rPr>
        <w:t xml:space="preserve">Ta réponse : ___________________________________________</w:t>
      </w:r>
    </w:p>
    <w:p>
      <w:pPr>
        <w:pStyle w:val="Heading3"/>
        <w:spacing w:after="80" w:before="200"/>
      </w:pPr>
      <w:r>
        <w:rPr>
          <w:rFonts w:ascii="Times New Roman" w:cs="Times New Roman" w:eastAsia="Times New Roman" w:hAnsi="Times New Roman"/>
          <w:b/>
          <w:bCs/>
          <w:color w:val="1F2937"/>
          <w:sz w:val="26"/>
          <w:szCs w:val="26"/>
        </w:rPr>
        <w:t xml:space="preserve">✅ Corrigé — Exercice 3</w:t>
      </w:r>
    </w:p>
    <w:p>
      <w:pPr>
        <w:spacing w:after="60" w:before="60"/>
        <w:ind w:left="360"/>
      </w:pPr>
      <w:r>
        <w:rPr>
          <w:rFonts w:ascii="Times New Roman" w:cs="Times New Roman" w:eastAsia="Times New Roman" w:hAnsi="Times New Roman"/>
          <w:b w:val="false"/>
          <w:bCs w:val="false"/>
          <w:i w:val="false"/>
          <w:iCs w:val="false"/>
          <w:color w:val="1F2937"/>
          <w:sz w:val="22"/>
          <w:szCs w:val="22"/>
        </w:rPr>
        <w:t xml:space="preserve">Stade 1 : TNC léger. Domaine atteint : mémoire épisodique (noms, événements). Autonomie préservée grâce à la compensation. La gestion de toutes les activités reste possible sans aide extérieure.</w:t>
      </w:r>
    </w:p>
    <w:p>
      <w:pPr>
        <w:spacing w:after="60" w:before="60"/>
        <w:ind w:left="360"/>
      </w:pPr>
      <w:r>
        <w:rPr>
          <w:rFonts w:ascii="Times New Roman" w:cs="Times New Roman" w:eastAsia="Times New Roman" w:hAnsi="Times New Roman"/>
          <w:b w:val="false"/>
          <w:bCs w:val="false"/>
          <w:i w:val="false"/>
          <w:iCs w:val="false"/>
          <w:color w:val="1F2937"/>
          <w:sz w:val="22"/>
          <w:szCs w:val="22"/>
        </w:rPr>
        <w:t xml:space="preserve">Stade 2 : TNC majeur de sévérité légère à modérée. Domaines atteints : mémoire (séquences), fonctions exécutives (planification du repas, gestion budget), cognition perceptivo-motrice (conduite). Retentissement : aide nécessaire pour les activités instrumentales (médicaments, budget, cuisine) — les activités de base (toilette, alimentation) restent possibles.</w:t>
      </w:r>
    </w:p>
    <w:p>
      <w:pPr>
        <w:spacing w:after="60" w:before="60"/>
        <w:ind w:left="360"/>
      </w:pPr>
      <w:r>
        <w:rPr>
          <w:rFonts w:ascii="Times New Roman" w:cs="Times New Roman" w:eastAsia="Times New Roman" w:hAnsi="Times New Roman"/>
          <w:b w:val="false"/>
          <w:bCs w:val="false"/>
          <w:i w:val="false"/>
          <w:iCs w:val="false"/>
          <w:color w:val="1F2937"/>
          <w:sz w:val="22"/>
          <w:szCs w:val="22"/>
        </w:rPr>
        <w:t xml:space="preserve">Stade 3 : TNC majeur de sévérité sévère. Domaines atteints : mémoire (ne reconnaît plus les proches — agnosie des personnes), langage (mots isolés), fonctions exécutives, attention, cognition sociale. Retentissement : dépendance totale pour les actes de base (alimentation). Les troubles du comportement (agitation nocturne) caractérisent ce stade avancé.</w:t>
      </w:r>
    </w:p>
    <w:p>
      <w:pPr>
        <w:spacing w:after="60" w:before="60"/>
        <w:ind/>
      </w:pPr>
      <w:r>
        <w:rPr>
          <w:rFonts w:ascii="Times New Roman" w:cs="Times New Roman" w:eastAsia="Times New Roman" w:hAnsi="Times New Roman"/>
          <w:b w:val="false"/>
          <w:bCs w:val="false"/>
          <w:i w:val="false"/>
          <w:iCs w:val="false"/>
          <w:color w:val="1F2937"/>
          <w:sz w:val="22"/>
          <w:szCs w:val="22"/>
        </w:rPr>
        <w:t xml:space="preserve"/>
      </w:r>
    </w:p>
    <w:p>
      <w:pPr>
        <w:spacing w:after="120" w:before="120"/>
      </w:pPr>
      <w:r>
        <w:rPr>
          <w:rFonts w:ascii="Times New Roman" w:cs="Times New Roman" w:eastAsia="Times New Roman" w:hAnsi="Times New Roman"/>
          <w:color w:val="CCCCCC"/>
          <w:sz w:val="20"/>
          <w:szCs w:val="20"/>
        </w:rPr>
        <w:t xml:space="preserve">────────────────────────────────────────────────────────────</w:t>
      </w:r>
    </w:p>
    <w:p>
      <w:pPr>
        <w:pStyle w:val="Heading2"/>
        <w:spacing w:after="120" w:before="320"/>
      </w:pPr>
      <w:r>
        <w:rPr>
          <w:rFonts w:ascii="Times New Roman" w:cs="Times New Roman" w:eastAsia="Times New Roman" w:hAnsi="Times New Roman"/>
          <w:b/>
          <w:bCs/>
          <w:color w:val="1B3A6B"/>
          <w:sz w:val="30"/>
          <w:szCs w:val="30"/>
        </w:rPr>
        <w:t xml:space="preserve">🎯 Challenge — Dépistage et observation en milieu éducatif</w:t>
      </w:r>
    </w:p>
    <w:p>
      <w:pPr>
        <w:spacing w:after="60" w:before="60"/>
        <w:ind/>
      </w:pPr>
      <w:r>
        <w:rPr>
          <w:rFonts w:ascii="Times New Roman" w:cs="Times New Roman" w:eastAsia="Times New Roman" w:hAnsi="Times New Roman"/>
          <w:b w:val="false"/>
          <w:bCs w:val="false"/>
          <w:i w:val="false"/>
          <w:iCs w:val="false"/>
          <w:color w:val="1F2937"/>
          <w:sz w:val="22"/>
          <w:szCs w:val="22"/>
        </w:rPr>
        <w:t xml:space="preserve">Ce challenge mobilise l'ensemble de la leçon. Il comporte deux parties.</w:t>
      </w:r>
    </w:p>
    <w:p>
      <w:pPr>
        <w:spacing w:after="60" w:before="60"/>
        <w:ind/>
      </w:pPr>
      <w:r>
        <w:rPr>
          <w:rFonts w:ascii="Times New Roman" w:cs="Times New Roman" w:eastAsia="Times New Roman" w:hAnsi="Times New Roman"/>
          <w:b w:val="false"/>
          <w:bCs w:val="false"/>
          <w:i w:val="false"/>
          <w:iCs w:val="false"/>
          <w:color w:val="1F2937"/>
          <w:sz w:val="22"/>
          <w:szCs w:val="22"/>
        </w:rPr>
        <w:t xml:space="preserve"/>
      </w:r>
    </w:p>
    <w:p>
      <w:pPr>
        <w:spacing w:after="60" w:before="60"/>
        <w:ind/>
      </w:pPr>
      <w:r>
        <w:rPr>
          <w:rFonts w:ascii="Times New Roman" w:cs="Times New Roman" w:eastAsia="Times New Roman" w:hAnsi="Times New Roman"/>
          <w:b/>
          <w:bCs/>
          <w:i w:val="false"/>
          <w:iCs w:val="false"/>
          <w:color w:val="1F2937"/>
          <w:sz w:val="22"/>
          <w:szCs w:val="22"/>
        </w:rPr>
        <w:t xml:space="preserve">PARTIE A — Construire une grille d'observation</w:t>
      </w:r>
    </w:p>
    <w:p>
      <w:pPr>
        <w:spacing w:after="60" w:before="60"/>
        <w:ind/>
      </w:pPr>
      <w:r>
        <w:rPr>
          <w:rFonts w:ascii="Times New Roman" w:cs="Times New Roman" w:eastAsia="Times New Roman" w:hAnsi="Times New Roman"/>
          <w:b w:val="false"/>
          <w:bCs w:val="false"/>
          <w:i w:val="false"/>
          <w:iCs w:val="false"/>
          <w:color w:val="1F2937"/>
          <w:sz w:val="22"/>
          <w:szCs w:val="22"/>
        </w:rPr>
        <w:t xml:space="preserve">Sur la base des 6 domaines cognitifs du DSM-5, crée une grille d'observation à destination d'une équipe éducative (AES, moniteurs-éducateurs) pour une personne accompagnée en foyer d'hébergement présentant des signes de déclin cognitif.</w:t>
      </w:r>
    </w:p>
    <w:p>
      <w:pPr>
        <w:spacing w:after="60" w:before="60"/>
        <w:ind w:left="360"/>
      </w:pPr>
      <w:r>
        <w:rPr>
          <w:rFonts w:ascii="Times New Roman" w:cs="Times New Roman" w:eastAsia="Times New Roman" w:hAnsi="Times New Roman"/>
          <w:b w:val="false"/>
          <w:bCs w:val="false"/>
          <w:i w:val="false"/>
          <w:iCs w:val="false"/>
          <w:color w:val="1F2937"/>
          <w:sz w:val="22"/>
          <w:szCs w:val="22"/>
        </w:rPr>
        <w:t xml:space="preserve">Pour chaque domaine, propose :</w:t>
      </w:r>
    </w:p>
    <w:p>
      <w:pPr>
        <w:pStyle w:val="ListParagraph"/>
        <w:numPr>
          <w:ilvl w:val="1"/>
          <w:numId w:val="1"/>
        </w:numPr>
        <w:spacing w:after="30" w:before="30"/>
      </w:pPr>
      <w:r>
        <w:rPr>
          <w:rFonts w:ascii="Times New Roman" w:cs="Times New Roman" w:eastAsia="Times New Roman" w:hAnsi="Times New Roman"/>
          <w:color w:val="1F2937"/>
          <w:sz w:val="22"/>
          <w:szCs w:val="22"/>
        </w:rPr>
        <w:t xml:space="preserve">2 indicateurs observables dans la vie quotidienne (sans outil de test)</w:t>
      </w:r>
    </w:p>
    <w:p>
      <w:pPr>
        <w:pStyle w:val="ListParagraph"/>
        <w:numPr>
          <w:ilvl w:val="1"/>
          <w:numId w:val="1"/>
        </w:numPr>
        <w:spacing w:after="30" w:before="30"/>
      </w:pPr>
      <w:r>
        <w:rPr>
          <w:rFonts w:ascii="Times New Roman" w:cs="Times New Roman" w:eastAsia="Times New Roman" w:hAnsi="Times New Roman"/>
          <w:color w:val="1F2937"/>
          <w:sz w:val="22"/>
          <w:szCs w:val="22"/>
        </w:rPr>
        <w:t xml:space="preserve">1 question à poser à la personne ou à un proche</w:t>
      </w:r>
    </w:p>
    <w:p>
      <w:pPr>
        <w:spacing w:after="60" w:before="60"/>
        <w:ind w:left="360"/>
      </w:pPr>
      <w:r>
        <w:rPr>
          <w:rFonts w:ascii="Times New Roman" w:cs="Times New Roman" w:eastAsia="Times New Roman" w:hAnsi="Times New Roman"/>
          <w:b w:val="false"/>
          <w:bCs w:val="false"/>
          <w:i/>
          <w:iCs/>
          <w:color w:val="1F2937"/>
          <w:sz w:val="22"/>
          <w:szCs w:val="22"/>
        </w:rPr>
        <w:t xml:space="preserve">Rappel : il ne s'agit pas de diagnostiquer, mais de décrire ce qui est observé pour transmettre à l'équipe médicale.</w:t>
      </w:r>
    </w:p>
    <w:p>
      <w:pPr>
        <w:spacing w:after="60" w:before="60"/>
        <w:ind/>
      </w:pPr>
      <w:r>
        <w:rPr>
          <w:rFonts w:ascii="Times New Roman" w:cs="Times New Roman" w:eastAsia="Times New Roman" w:hAnsi="Times New Roman"/>
          <w:b w:val="false"/>
          <w:bCs w:val="false"/>
          <w:i w:val="false"/>
          <w:iCs w:val="false"/>
          <w:color w:val="1F2937"/>
          <w:sz w:val="22"/>
          <w:szCs w:val="22"/>
        </w:rPr>
        <w:t xml:space="preserve"/>
      </w:r>
    </w:p>
    <w:p>
      <w:pPr>
        <w:spacing w:after="60" w:before="60"/>
        <w:ind/>
      </w:pPr>
      <w:r>
        <w:rPr>
          <w:rFonts w:ascii="Times New Roman" w:cs="Times New Roman" w:eastAsia="Times New Roman" w:hAnsi="Times New Roman"/>
          <w:b/>
          <w:bCs/>
          <w:i w:val="false"/>
          <w:iCs w:val="false"/>
          <w:color w:val="1F2937"/>
          <w:sz w:val="22"/>
          <w:szCs w:val="22"/>
        </w:rPr>
        <w:t xml:space="preserve">PARTIE B — Distinguer et orienter</w:t>
      </w:r>
    </w:p>
    <w:p>
      <w:pPr>
        <w:spacing w:after="60" w:before="60"/>
        <w:ind/>
      </w:pPr>
      <w:r>
        <w:rPr>
          <w:rFonts w:ascii="Times New Roman" w:cs="Times New Roman" w:eastAsia="Times New Roman" w:hAnsi="Times New Roman"/>
          <w:b w:val="false"/>
          <w:bCs w:val="false"/>
          <w:i w:val="false"/>
          <w:iCs w:val="false"/>
          <w:color w:val="1F2937"/>
          <w:sz w:val="22"/>
          <w:szCs w:val="22"/>
        </w:rPr>
        <w:t xml:space="preserve">Un résident de ton foyer (45 ans, handicap mental léger) présente depuis 3 semaines des oublis fréquents, une confusion nocturne et une agitation inhabituelle. Une première hypothèse est posée : TNC majeur précoce. Quelle contre-hypothèse diagnostique principale dois-tu soulever ? Quels signes permettraient de la distinguer ? Vers quel professionnel orienter en priorité ?</w:t>
      </w:r>
    </w:p>
    <w:p>
      <w:pPr>
        <w:pStyle w:val="Heading3"/>
        <w:spacing w:after="80" w:before="200"/>
      </w:pPr>
      <w:r>
        <w:rPr>
          <w:rFonts w:ascii="Times New Roman" w:cs="Times New Roman" w:eastAsia="Times New Roman" w:hAnsi="Times New Roman"/>
          <w:b/>
          <w:bCs/>
          <w:color w:val="1F2937"/>
          <w:sz w:val="26"/>
          <w:szCs w:val="26"/>
        </w:rPr>
        <w:t xml:space="preserve">✅ Corrigé — Challenge</w:t>
      </w:r>
    </w:p>
    <w:p>
      <w:pPr>
        <w:spacing w:after="60" w:before="60"/>
        <w:ind/>
      </w:pPr>
      <w:r>
        <w:rPr>
          <w:rFonts w:ascii="Times New Roman" w:cs="Times New Roman" w:eastAsia="Times New Roman" w:hAnsi="Times New Roman"/>
          <w:b/>
          <w:bCs/>
          <w:i w:val="false"/>
          <w:iCs w:val="false"/>
          <w:color w:val="1F2937"/>
          <w:sz w:val="22"/>
          <w:szCs w:val="22"/>
        </w:rPr>
        <w:t xml:space="preserve">PARTIE A — Éléments de réponse indicatifs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shd w:fill="1B3A6B" w:color="1B3A6B" w:val="solid"/>
            <w:vAlign w:val="center"/>
          </w:tcPr>
          <w:p>
            <w:pPr>
              <w:jc w:val="center"/>
            </w:pPr>
            <w:r>
              <w:rPr>
                <w:rFonts w:ascii="Times New Roman" w:cs="Times New Roman" w:eastAsia="Times New Roman" w:hAnsi="Times New Roman"/>
                <w:b/>
                <w:bCs/>
                <w:color w:val="FFFFFF"/>
                <w:sz w:val="20"/>
                <w:szCs w:val="20"/>
              </w:rPr>
              <w:t xml:space="preserve">Domaine</w:t>
            </w:r>
          </w:p>
        </w:tc>
        <w:tc>
          <w:tcPr>
            <w:shd w:fill="1B3A6B" w:color="1B3A6B" w:val="solid"/>
            <w:vAlign w:val="center"/>
          </w:tcPr>
          <w:p>
            <w:pPr>
              <w:jc w:val="center"/>
            </w:pPr>
            <w:r>
              <w:rPr>
                <w:rFonts w:ascii="Times New Roman" w:cs="Times New Roman" w:eastAsia="Times New Roman" w:hAnsi="Times New Roman"/>
                <w:b/>
                <w:bCs/>
                <w:color w:val="FFFFFF"/>
                <w:sz w:val="20"/>
                <w:szCs w:val="20"/>
              </w:rPr>
              <w:t xml:space="preserve">Indicateurs observables</w:t>
            </w:r>
          </w:p>
        </w:tc>
        <w:tc>
          <w:tcPr>
            <w:shd w:fill="1B3A6B" w:color="1B3A6B" w:val="solid"/>
            <w:vAlign w:val="center"/>
          </w:tcPr>
          <w:p>
            <w:pPr>
              <w:jc w:val="center"/>
            </w:pPr>
            <w:r>
              <w:rPr>
                <w:rFonts w:ascii="Times New Roman" w:cs="Times New Roman" w:eastAsia="Times New Roman" w:hAnsi="Times New Roman"/>
                <w:b/>
                <w:bCs/>
                <w:color w:val="FFFFFF"/>
                <w:sz w:val="20"/>
                <w:szCs w:val="20"/>
              </w:rPr>
              <w:t xml:space="preserve">Question à poser</w:t>
            </w:r>
          </w:p>
        </w:tc>
      </w:tr>
      <w:tr>
        <w:tc>
          <w:tcPr>
            <w:shd w:fill="FFFFFF" w:color="FFFFFF" w:val="solid"/>
          </w:tcPr>
          <w:p>
            <w:r>
              <w:rPr>
                <w:rFonts w:ascii="Times New Roman" w:cs="Times New Roman" w:eastAsia="Times New Roman" w:hAnsi="Times New Roman"/>
                <w:color w:val="1F2937"/>
                <w:sz w:val="20"/>
                <w:szCs w:val="20"/>
              </w:rPr>
              <w:t xml:space="preserve">Mémoire/apprentissage</w:t>
            </w:r>
          </w:p>
        </w:tc>
        <w:tc>
          <w:tcPr>
            <w:shd w:fill="FFFFFF" w:color="FFFFFF" w:val="solid"/>
          </w:tcPr>
          <w:p>
            <w:r>
              <w:rPr>
                <w:rFonts w:ascii="Times New Roman" w:cs="Times New Roman" w:eastAsia="Times New Roman" w:hAnsi="Times New Roman"/>
                <w:color w:val="1F2937"/>
                <w:sz w:val="20"/>
                <w:szCs w:val="20"/>
              </w:rPr>
              <w:t xml:space="preserve">Répète les mêmes questions / Ne retrouve plus ses affaires habituelles</w:t>
            </w:r>
          </w:p>
        </w:tc>
        <w:tc>
          <w:tcPr>
            <w:shd w:fill="FFFFFF" w:color="FFFFFF" w:val="solid"/>
          </w:tcPr>
          <w:p>
            <w:r>
              <w:rPr>
                <w:rFonts w:ascii="Times New Roman" w:cs="Times New Roman" w:eastAsia="Times New Roman" w:hAnsi="Times New Roman"/>
                <w:color w:val="1F2937"/>
                <w:sz w:val="20"/>
                <w:szCs w:val="20"/>
              </w:rPr>
              <w:t xml:space="preserve">« Tu te souviens de ce que tu as fait hier matin ? »</w:t>
            </w:r>
          </w:p>
        </w:tc>
      </w:tr>
      <w:tr>
        <w:tc>
          <w:tcPr>
            <w:shd w:fill="EEF2F7" w:color="EEF2F7" w:val="solid"/>
          </w:tcPr>
          <w:p>
            <w:r>
              <w:rPr>
                <w:rFonts w:ascii="Times New Roman" w:cs="Times New Roman" w:eastAsia="Times New Roman" w:hAnsi="Times New Roman"/>
                <w:color w:val="1F2937"/>
                <w:sz w:val="20"/>
                <w:szCs w:val="20"/>
              </w:rPr>
              <w:t xml:space="preserve">Fonctions exécutives</w:t>
            </w:r>
          </w:p>
        </w:tc>
        <w:tc>
          <w:tcPr>
            <w:shd w:fill="EEF2F7" w:color="EEF2F7" w:val="solid"/>
          </w:tcPr>
          <w:p>
            <w:r>
              <w:rPr>
                <w:rFonts w:ascii="Times New Roman" w:cs="Times New Roman" w:eastAsia="Times New Roman" w:hAnsi="Times New Roman"/>
                <w:color w:val="1F2937"/>
                <w:sz w:val="20"/>
                <w:szCs w:val="20"/>
              </w:rPr>
              <w:t xml:space="preserve">Abandonne une tâche en cours / Ne suit plus les étapes d'une recette connue</w:t>
            </w:r>
          </w:p>
        </w:tc>
        <w:tc>
          <w:tcPr>
            <w:shd w:fill="EEF2F7" w:color="EEF2F7" w:val="solid"/>
          </w:tcPr>
          <w:p>
            <w:r>
              <w:rPr>
                <w:rFonts w:ascii="Times New Roman" w:cs="Times New Roman" w:eastAsia="Times New Roman" w:hAnsi="Times New Roman"/>
                <w:color w:val="1F2937"/>
                <w:sz w:val="20"/>
                <w:szCs w:val="20"/>
              </w:rPr>
              <w:t xml:space="preserve">« Est-ce que tu peux me raconter comment tu prépares ton café ? »</w:t>
            </w:r>
          </w:p>
        </w:tc>
      </w:tr>
      <w:tr>
        <w:tc>
          <w:tcPr>
            <w:shd w:fill="FFFFFF" w:color="FFFFFF" w:val="solid"/>
          </w:tcPr>
          <w:p>
            <w:r>
              <w:rPr>
                <w:rFonts w:ascii="Times New Roman" w:cs="Times New Roman" w:eastAsia="Times New Roman" w:hAnsi="Times New Roman"/>
                <w:color w:val="1F2937"/>
                <w:sz w:val="20"/>
                <w:szCs w:val="20"/>
              </w:rPr>
              <w:t xml:space="preserve">Attention</w:t>
            </w:r>
          </w:p>
        </w:tc>
        <w:tc>
          <w:tcPr>
            <w:shd w:fill="FFFFFF" w:color="FFFFFF" w:val="solid"/>
          </w:tcPr>
          <w:p>
            <w:r>
              <w:rPr>
                <w:rFonts w:ascii="Times New Roman" w:cs="Times New Roman" w:eastAsia="Times New Roman" w:hAnsi="Times New Roman"/>
                <w:color w:val="1F2937"/>
                <w:sz w:val="20"/>
                <w:szCs w:val="20"/>
              </w:rPr>
              <w:t xml:space="preserve">Ne finit plus un repas sans se lever / Ne tient plus une conversation de 5 min</w:t>
            </w:r>
          </w:p>
        </w:tc>
        <w:tc>
          <w:tcPr>
            <w:shd w:fill="FFFFFF" w:color="FFFFFF" w:val="solid"/>
          </w:tcPr>
          <w:p>
            <w:r>
              <w:rPr>
                <w:rFonts w:ascii="Times New Roman" w:cs="Times New Roman" w:eastAsia="Times New Roman" w:hAnsi="Times New Roman"/>
                <w:color w:val="1F2937"/>
                <w:sz w:val="20"/>
                <w:szCs w:val="20"/>
              </w:rPr>
              <w:t xml:space="preserve">« Tu as du mal à te concentrer ces derniers temps ? »</w:t>
            </w:r>
          </w:p>
        </w:tc>
      </w:tr>
      <w:tr>
        <w:tc>
          <w:tcPr>
            <w:shd w:fill="EEF2F7" w:color="EEF2F7" w:val="solid"/>
          </w:tcPr>
          <w:p>
            <w:r>
              <w:rPr>
                <w:rFonts w:ascii="Times New Roman" w:cs="Times New Roman" w:eastAsia="Times New Roman" w:hAnsi="Times New Roman"/>
                <w:color w:val="1F2937"/>
                <w:sz w:val="20"/>
                <w:szCs w:val="20"/>
              </w:rPr>
              <w:t xml:space="preserve">Langage</w:t>
            </w:r>
          </w:p>
        </w:tc>
        <w:tc>
          <w:tcPr>
            <w:shd w:fill="EEF2F7" w:color="EEF2F7" w:val="solid"/>
          </w:tcPr>
          <w:p>
            <w:r>
              <w:rPr>
                <w:rFonts w:ascii="Times New Roman" w:cs="Times New Roman" w:eastAsia="Times New Roman" w:hAnsi="Times New Roman"/>
                <w:color w:val="1F2937"/>
                <w:sz w:val="20"/>
                <w:szCs w:val="20"/>
              </w:rPr>
              <w:t xml:space="preserve">Cherche ses mots, s'arrête au milieu d'une phrase, utilise « truc » / « machin »</w:t>
            </w:r>
          </w:p>
        </w:tc>
        <w:tc>
          <w:tcPr>
            <w:shd w:fill="EEF2F7" w:color="EEF2F7" w:val="solid"/>
          </w:tcPr>
          <w:p>
            <w:r>
              <w:rPr>
                <w:rFonts w:ascii="Times New Roman" w:cs="Times New Roman" w:eastAsia="Times New Roman" w:hAnsi="Times New Roman"/>
                <w:color w:val="1F2937"/>
                <w:sz w:val="20"/>
                <w:szCs w:val="20"/>
              </w:rPr>
              <w:t xml:space="preserve">« Comment tu appelles ça ? » (en montrant un objet)</w:t>
            </w:r>
          </w:p>
        </w:tc>
      </w:tr>
      <w:tr>
        <w:tc>
          <w:tcPr>
            <w:shd w:fill="FFFFFF" w:color="FFFFFF" w:val="solid"/>
          </w:tcPr>
          <w:p>
            <w:r>
              <w:rPr>
                <w:rFonts w:ascii="Times New Roman" w:cs="Times New Roman" w:eastAsia="Times New Roman" w:hAnsi="Times New Roman"/>
                <w:color w:val="1F2937"/>
                <w:sz w:val="20"/>
                <w:szCs w:val="20"/>
              </w:rPr>
              <w:t xml:space="preserve">Visuospatial</w:t>
            </w:r>
          </w:p>
        </w:tc>
        <w:tc>
          <w:tcPr>
            <w:shd w:fill="FFFFFF" w:color="FFFFFF" w:val="solid"/>
          </w:tcPr>
          <w:p>
            <w:r>
              <w:rPr>
                <w:rFonts w:ascii="Times New Roman" w:cs="Times New Roman" w:eastAsia="Times New Roman" w:hAnsi="Times New Roman"/>
                <w:color w:val="1F2937"/>
                <w:sz w:val="20"/>
                <w:szCs w:val="20"/>
              </w:rPr>
              <w:t xml:space="preserve">Se perd dans l'établissement / Heurte les meubles, chutes</w:t>
            </w:r>
          </w:p>
        </w:tc>
        <w:tc>
          <w:tcPr>
            <w:shd w:fill="FFFFFF" w:color="FFFFFF" w:val="solid"/>
          </w:tcPr>
          <w:p>
            <w:r>
              <w:rPr>
                <w:rFonts w:ascii="Times New Roman" w:cs="Times New Roman" w:eastAsia="Times New Roman" w:hAnsi="Times New Roman"/>
                <w:color w:val="1F2937"/>
                <w:sz w:val="20"/>
                <w:szCs w:val="20"/>
              </w:rPr>
              <w:t xml:space="preserve">« Tu as eu du mal à retrouver ta chambre dernièrement ? »</w:t>
            </w:r>
          </w:p>
        </w:tc>
      </w:tr>
      <w:tr>
        <w:tc>
          <w:tcPr>
            <w:shd w:fill="EEF2F7" w:color="EEF2F7" w:val="solid"/>
          </w:tcPr>
          <w:p>
            <w:r>
              <w:rPr>
                <w:rFonts w:ascii="Times New Roman" w:cs="Times New Roman" w:eastAsia="Times New Roman" w:hAnsi="Times New Roman"/>
                <w:color w:val="1F2937"/>
                <w:sz w:val="20"/>
                <w:szCs w:val="20"/>
              </w:rPr>
              <w:t xml:space="preserve">Cognition sociale</w:t>
            </w:r>
          </w:p>
        </w:tc>
        <w:tc>
          <w:tcPr>
            <w:shd w:fill="EEF2F7" w:color="EEF2F7" w:val="solid"/>
          </w:tcPr>
          <w:p>
            <w:r>
              <w:rPr>
                <w:rFonts w:ascii="Times New Roman" w:cs="Times New Roman" w:eastAsia="Times New Roman" w:hAnsi="Times New Roman"/>
                <w:color w:val="1F2937"/>
                <w:sz w:val="20"/>
                <w:szCs w:val="20"/>
              </w:rPr>
              <w:t xml:space="preserve">Réagit de façon inhabituelle à des plaisanteries / Comportements déshinibés récents</w:t>
            </w:r>
          </w:p>
        </w:tc>
        <w:tc>
          <w:tcPr>
            <w:shd w:fill="EEF2F7" w:color="EEF2F7" w:val="solid"/>
          </w:tcPr>
          <w:p>
            <w:r>
              <w:rPr>
                <w:rFonts w:ascii="Times New Roman" w:cs="Times New Roman" w:eastAsia="Times New Roman" w:hAnsi="Times New Roman"/>
                <w:color w:val="1F2937"/>
                <w:sz w:val="20"/>
                <w:szCs w:val="20"/>
              </w:rPr>
              <w:t xml:space="preserve">Son entourage : « Son comportement avec les autres a changé ? »</w:t>
            </w:r>
          </w:p>
        </w:tc>
      </w:tr>
    </w:tbl>
    <w:p>
      <w:pPr>
        <w:spacing w:after="60" w:before="60"/>
        <w:ind/>
      </w:pPr>
      <w:r>
        <w:rPr>
          <w:rFonts w:ascii="Times New Roman" w:cs="Times New Roman" w:eastAsia="Times New Roman" w:hAnsi="Times New Roman"/>
          <w:b w:val="false"/>
          <w:bCs w:val="false"/>
          <w:i w:val="false"/>
          <w:iCs w:val="false"/>
          <w:color w:val="1F2937"/>
          <w:sz w:val="22"/>
          <w:szCs w:val="22"/>
        </w:rPr>
        <w:t xml:space="preserve"/>
      </w:r>
    </w:p>
    <w:p>
      <w:pPr>
        <w:spacing w:after="60" w:before="60"/>
        <w:ind/>
      </w:pPr>
      <w:r>
        <w:rPr>
          <w:rFonts w:ascii="Times New Roman" w:cs="Times New Roman" w:eastAsia="Times New Roman" w:hAnsi="Times New Roman"/>
          <w:b/>
          <w:bCs/>
          <w:i w:val="false"/>
          <w:iCs w:val="false"/>
          <w:color w:val="1F2937"/>
          <w:sz w:val="22"/>
          <w:szCs w:val="22"/>
        </w:rPr>
        <w:t xml:space="preserve">PARTIE B — Corrigé :</w:t>
      </w:r>
    </w:p>
    <w:p>
      <w:pPr>
        <w:spacing w:after="60" w:before="60"/>
        <w:ind w:left="360"/>
      </w:pPr>
      <w:r>
        <w:rPr>
          <w:rFonts w:ascii="Times New Roman" w:cs="Times New Roman" w:eastAsia="Times New Roman" w:hAnsi="Times New Roman"/>
          <w:b w:val="false"/>
          <w:bCs w:val="false"/>
          <w:i w:val="false"/>
          <w:iCs w:val="false"/>
          <w:color w:val="1F2937"/>
          <w:sz w:val="22"/>
          <w:szCs w:val="22"/>
        </w:rPr>
        <w:t xml:space="preserve">La contre-hypothèse principale est le délirium sur cause médicale aiguë (infection, constipation, déshydratation, intoxication médicamenteuse, sevrage). Le début est survenu il y a 3 semaines — délai court, point de départ identifiable — ce qui est davantage compatible avec un délirium qu'avec un TNC majeur dont le déclin est progressif sur des mois/années.</w:t>
      </w:r>
    </w:p>
    <w:p>
      <w:pPr>
        <w:spacing w:after="60" w:before="60"/>
        <w:ind w:left="360"/>
      </w:pPr>
      <w:r>
        <w:rPr>
          <w:rFonts w:ascii="Times New Roman" w:cs="Times New Roman" w:eastAsia="Times New Roman" w:hAnsi="Times New Roman"/>
          <w:b w:val="false"/>
          <w:bCs w:val="false"/>
          <w:i w:val="false"/>
          <w:iCs w:val="false"/>
          <w:color w:val="1F2937"/>
          <w:sz w:val="22"/>
          <w:szCs w:val="22"/>
        </w:rPr>
        <w:t xml:space="preserve">Signes permettant de distinguer : fluctuation heure par heure, trouble de la conscience (le résident semble « absent »), bilan médical retrouvant une cause aiguë.</w:t>
      </w:r>
    </w:p>
    <w:p>
      <w:pPr>
        <w:spacing w:after="60" w:before="60"/>
        <w:ind w:left="360"/>
      </w:pPr>
      <w:r>
        <w:rPr>
          <w:rFonts w:ascii="Times New Roman" w:cs="Times New Roman" w:eastAsia="Times New Roman" w:hAnsi="Times New Roman"/>
          <w:b w:val="false"/>
          <w:bCs w:val="false"/>
          <w:i w:val="false"/>
          <w:iCs w:val="false"/>
          <w:color w:val="1F2937"/>
          <w:sz w:val="22"/>
          <w:szCs w:val="22"/>
        </w:rPr>
        <w:t xml:space="preserve">Orientation prioritaire : médecin généraliste ou urgences si état aigu, pour éliminer une cause somatique traitable. En parallèle, transmission écrite détaillée à l'équipe soignante et au médecin traitant, incluant : dates d'apparition, description précise des comportements observés, contexte (médicaments récents modifiés ?).</w:t>
      </w:r>
    </w:p>
    <w:p>
      <w:pPr>
        <w:spacing w:after="60" w:before="60"/>
        <w:ind/>
      </w:pPr>
      <w:r>
        <w:rPr>
          <w:rFonts w:ascii="Times New Roman" w:cs="Times New Roman" w:eastAsia="Times New Roman" w:hAnsi="Times New Roman"/>
          <w:b w:val="false"/>
          <w:bCs w:val="false"/>
          <w:i w:val="false"/>
          <w:iCs w:val="false"/>
          <w:color w:val="1F2937"/>
          <w:sz w:val="22"/>
          <w:szCs w:val="22"/>
        </w:rPr>
        <w:t xml:space="preserve"/>
      </w:r>
    </w:p>
    <w:p>
      <w:pPr>
        <w:shd w:fill="EEF2F7" w:color="EEF2F7" w:val="solid"/>
        <w:spacing w:after="100" w:before="100"/>
        <w:ind w:left="360" w:right="360"/>
      </w:pPr>
      <w:r>
        <w:rPr>
          <w:rFonts w:ascii="Times New Roman" w:cs="Times New Roman" w:eastAsia="Times New Roman" w:hAnsi="Times New Roman"/>
          <w:i/>
          <w:iCs/>
          <w:color w:val="1F2937"/>
          <w:sz w:val="22"/>
          <w:szCs w:val="22"/>
        </w:rPr>
        <w:t xml:space="preserve">⚠️ Point déontologique : dans les structures pour personnes en situation de handicap mental (comme un foyer d'hébergement), la pathologie psychiatrique et le handicap cognitif préexistants rendent le dépistage des TNC particulièrement délicat. Le déclin doit toujours être évalué par rapport au niveau de fonctionnement ANTÉRIEUR de la personne, et non par rapport à une norme populationnelle. C'est une posture fondamentale pour éviter la sur- ou la sous-détection.</w:t>
      </w:r>
    </w:p>
    <w:p>
      <w:pPr>
        <w:spacing w:after="120" w:before="120"/>
      </w:pPr>
      <w:r>
        <w:rPr>
          <w:rFonts w:ascii="Times New Roman" w:cs="Times New Roman" w:eastAsia="Times New Roman" w:hAnsi="Times New Roman"/>
          <w:color w:val="CCCCCC"/>
          <w:sz w:val="20"/>
          <w:szCs w:val="20"/>
        </w:rPr>
        <w:t xml:space="preserve">────────────────────────────────────────────────────────────</w:t>
      </w:r>
    </w:p>
    <w:p>
      <w:pPr>
        <w:pStyle w:val="Heading2"/>
        <w:spacing w:after="120" w:before="320"/>
      </w:pPr>
      <w:r>
        <w:rPr>
          <w:rFonts w:ascii="Times New Roman" w:cs="Times New Roman" w:eastAsia="Times New Roman" w:hAnsi="Times New Roman"/>
          <w:b/>
          <w:bCs/>
          <w:color w:val="1B3A6B"/>
          <w:sz w:val="30"/>
          <w:szCs w:val="30"/>
        </w:rPr>
        <w:t xml:space="preserve">🌉 Pont professionnel</w:t>
      </w:r>
    </w:p>
    <w:p>
      <w:pPr>
        <w:spacing w:after="60" w:before="60"/>
        <w:ind/>
      </w:pPr>
      <w:r>
        <w:rPr>
          <w:rFonts w:ascii="Times New Roman" w:cs="Times New Roman" w:eastAsia="Times New Roman" w:hAnsi="Times New Roman"/>
          <w:b w:val="false"/>
          <w:bCs w:val="false"/>
          <w:i w:val="false"/>
          <w:iCs w:val="false"/>
          <w:color w:val="1F2937"/>
          <w:sz w:val="22"/>
          <w:szCs w:val="22"/>
        </w:rPr>
        <w:t xml:space="preserve">En foyer d'hébergement pour adultes en situation de handicap mental et psychique, les résidents vieillissent. Le vieillissement précoce est documenté dans certaines populations (trisomie 21 : risque élevé de maladie d'Alzheimer dès 40-50 ans). Plusieurs repères sont utiles pour l'équipe éducative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Observer et décrire, pas diagnostiquer : formaliser l'observation en termes de domaines cognitifs atteints (grille ci-dessus) et la transmettre au médecin ou à l'équipe pluridisciplinaire.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Distinguer le déclin du comportement habituel : la référence est le fonctionnement antérieur de la personne, pas une norme populationnelle.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La RBPP « L'accompagnement des personnes atteintes d'une maladie d'Alzheimer ou apparentée en établissement médico-social » — publiée par l'ANESM le 2 février 2009 dans le cadre du plan Alzheimer 2008-2012, et reprise par la HAS le 16 mars 2018. ⚠️ Citer les deux dates : « mars 2018 » seul laisse croire à un texte récent alors que le contenu a dix-sept ans — il reste applicable et maintenu par la HAS, mais un évaluateur fera la différence est directement applicable aux ESSMS hébergeant des personnes âgées. Elle insiste sur la préservation de l'autonomie dans les choix de vie quotidienne, le projet personnalisé, et la formation des équipes à la prévention des troubles du comportement.</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Les approches non médicamenteuses validées (stimulation cognitive, Snoezelen, activité physique adaptée, musicothérapie) relèvent directement des compétences éducatives.</w:t>
      </w:r>
    </w:p>
    <w:p>
      <w:pPr>
        <w:spacing w:after="120" w:before="120"/>
      </w:pPr>
      <w:r>
        <w:rPr>
          <w:rFonts w:ascii="Times New Roman" w:cs="Times New Roman" w:eastAsia="Times New Roman" w:hAnsi="Times New Roman"/>
          <w:color w:val="CCCCCC"/>
          <w:sz w:val="20"/>
          <w:szCs w:val="20"/>
        </w:rPr>
        <w:t xml:space="preserve">────────────────────────────────────────────────────────────</w:t>
      </w:r>
    </w:p>
    <w:p>
      <w:pPr>
        <w:pStyle w:val="Heading2"/>
        <w:spacing w:after="120" w:before="320"/>
      </w:pPr>
      <w:r>
        <w:rPr>
          <w:rFonts w:ascii="Times New Roman" w:cs="Times New Roman" w:eastAsia="Times New Roman" w:hAnsi="Times New Roman"/>
          <w:b/>
          <w:bCs/>
          <w:color w:val="1B3A6B"/>
          <w:sz w:val="30"/>
          <w:szCs w:val="30"/>
        </w:rPr>
        <w:t xml:space="preserve">📚 Ressources pour approfondir</w:t>
      </w:r>
    </w:p>
    <w:p>
      <w:pPr>
        <w:pStyle w:val="ListParagraph"/>
        <w:numPr>
          <w:ilvl w:val="0"/>
          <w:numId w:val="1"/>
        </w:numPr>
        <w:spacing w:after="40" w:before="40"/>
      </w:pPr>
      <w:hyperlink w:history="1" r:id="rIdlmqvlrrmifa-ijeex3qo_">
        <w:r>
          <w:rPr>
            <w:rFonts w:ascii="Times New Roman" w:cs="Times New Roman" w:eastAsia="Times New Roman" w:hAnsi="Times New Roman"/>
            <w:color w:val="1155CC"/>
            <w:sz w:val="22"/>
            <w:szCs w:val="22"/>
            <w:u w:val="single"/>
          </w:rPr>
          <w:t xml:space="preserve">Wikipedia — Neurocognitive disorder (DSM-5, classifications, traitements)</w:t>
        </w:r>
      </w:hyperlink>
    </w:p>
    <w:p>
      <w:pPr>
        <w:pStyle w:val="ListParagraph"/>
        <w:numPr>
          <w:ilvl w:val="0"/>
          <w:numId w:val="1"/>
        </w:numPr>
        <w:spacing w:after="40" w:before="40"/>
      </w:pPr>
      <w:hyperlink w:history="1" r:id="rId3tmp3cqufp4z2wals_zrh">
        <w:r>
          <w:rPr>
            <w:rFonts w:ascii="Times New Roman" w:cs="Times New Roman" w:eastAsia="Times New Roman" w:hAnsi="Times New Roman"/>
            <w:color w:val="1155CC"/>
            <w:sz w:val="22"/>
            <w:szCs w:val="22"/>
            <w:u w:val="single"/>
          </w:rPr>
          <w:t xml:space="preserve">Merck Manual — Overview of Delirium and Dementia (tableau comparatif clinique)</w:t>
        </w:r>
      </w:hyperlink>
    </w:p>
    <w:p>
      <w:pPr>
        <w:pStyle w:val="ListParagraph"/>
        <w:numPr>
          <w:ilvl w:val="0"/>
          <w:numId w:val="1"/>
        </w:numPr>
        <w:spacing w:after="40" w:before="40"/>
      </w:pPr>
      <w:hyperlink w:history="1" r:id="rIdjnnlyb7p8kdnjwkrwwgap">
        <w:r>
          <w:rPr>
            <w:rFonts w:ascii="Times New Roman" w:cs="Times New Roman" w:eastAsia="Times New Roman" w:hAnsi="Times New Roman"/>
            <w:color w:val="1155CC"/>
            <w:sz w:val="22"/>
            <w:szCs w:val="22"/>
            <w:u w:val="single"/>
          </w:rPr>
          <w:t xml:space="preserve">Psychomédia — Critères diagnostiques DSM-5 TNC majeur</w:t>
        </w:r>
      </w:hyperlink>
    </w:p>
    <w:p>
      <w:pPr>
        <w:pStyle w:val="ListParagraph"/>
        <w:numPr>
          <w:ilvl w:val="0"/>
          <w:numId w:val="1"/>
        </w:numPr>
        <w:spacing w:after="40" w:before="40"/>
      </w:pPr>
      <w:hyperlink w:history="1" r:id="rIdsq2f-mvyatqzq2ayp5k1r">
        <w:r>
          <w:rPr>
            <w:rFonts w:ascii="Times New Roman" w:cs="Times New Roman" w:eastAsia="Times New Roman" w:hAnsi="Times New Roman"/>
            <w:color w:val="1155CC"/>
            <w:sz w:val="22"/>
            <w:szCs w:val="22"/>
            <w:u w:val="single"/>
          </w:rPr>
          <w:t xml:space="preserve">MedG — Démence vasculaire : clinique, critères NINDS-AIREN, prise en charge</w:t>
        </w:r>
      </w:hyperlink>
    </w:p>
    <w:p>
      <w:pPr>
        <w:pStyle w:val="ListParagraph"/>
        <w:numPr>
          <w:ilvl w:val="0"/>
          <w:numId w:val="1"/>
        </w:numPr>
        <w:spacing w:after="40" w:before="40"/>
      </w:pPr>
      <w:hyperlink w:history="1" r:id="rIdgvd-k1chzz53sfdftn3yk">
        <w:r>
          <w:rPr>
            <w:rFonts w:ascii="Times New Roman" w:cs="Times New Roman" w:eastAsia="Times New Roman" w:hAnsi="Times New Roman"/>
            <w:color w:val="1155CC"/>
            <w:sz w:val="22"/>
            <w:szCs w:val="22"/>
            <w:u w:val="single"/>
          </w:rPr>
          <w:t xml:space="preserve">Psycom — La santé mentale en vieillissant (facteurs de risque et protecteurs)</w:t>
        </w:r>
      </w:hyperlink>
    </w:p>
    <w:p>
      <w:pPr>
        <w:pStyle w:val="ListParagraph"/>
        <w:numPr>
          <w:ilvl w:val="0"/>
          <w:numId w:val="1"/>
        </w:numPr>
        <w:spacing w:after="40" w:before="40"/>
      </w:pPr>
      <w:hyperlink w:history="1" r:id="rIdzml-4mrct-auye0r75nxd">
        <w:r>
          <w:rPr>
            <w:rFonts w:ascii="Times New Roman" w:cs="Times New Roman" w:eastAsia="Times New Roman" w:hAnsi="Times New Roman"/>
            <w:color w:val="1155CC"/>
            <w:sz w:val="22"/>
            <w:szCs w:val="22"/>
            <w:u w:val="single"/>
          </w:rPr>
          <w:t xml:space="preserve">HAS — Maladie d'Alzheimer : panorama des recommandations</w:t>
        </w:r>
      </w:hyperlink>
    </w:p>
    <w:p>
      <w:pPr>
        <w:pStyle w:val="ListParagraph"/>
        <w:numPr>
          <w:ilvl w:val="0"/>
          <w:numId w:val="1"/>
        </w:numPr>
        <w:spacing w:after="40" w:before="40"/>
      </w:pPr>
      <w:hyperlink w:history="1" r:id="rIdodowsruelqz4b3kvkhs29">
        <w:r>
          <w:rPr>
            <w:rFonts w:ascii="Times New Roman" w:cs="Times New Roman" w:eastAsia="Times New Roman" w:hAnsi="Times New Roman"/>
            <w:color w:val="1155CC"/>
            <w:sz w:val="22"/>
            <w:szCs w:val="22"/>
            <w:u w:val="single"/>
          </w:rPr>
          <w:t xml:space="preserve">HAS — RBPP Accompagnement en ESSMS : personnes atteintes d'une maladie d'Alzheimer ou apparentée (mars 2018)</w:t>
        </w:r>
      </w:hyperlink>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
      </w:r>
      <w:hyperlink w:history="1" r:id="rIdPdfAlz2009">
        <w:r>
          <w:rPr>
            <w:rFonts w:ascii="Times New Roman" w:cs="Times New Roman" w:eastAsia="Times New Roman" w:hAnsi="Times New Roman"/>
            <w:color w:val="1155CC"/>
            <w:sz w:val="22"/>
            <w:szCs w:val="22"/>
            <w:u w:val="single"/>
          </w:rPr>
          <w:t xml:space="preserve">Le document : RBPP « L'accompagnement des personnes atteintes d'une maladie d'Alzheimer ou apparentée en établissement médico-social » — PDF, 47 pages, Anesm, Février 2009</w:t>
        </w:r>
      </w:hyperlink>
      <w:r>
        <w:rPr>
          <w:rFonts w:ascii="Times New Roman" w:cs="Times New Roman" w:eastAsia="Times New Roman" w:hAnsi="Times New Roman"/>
          <w:i/>
          <w:iCs/>
          <w:color w:val="6B7280"/>
          <w:sz w:val="20"/>
          <w:szCs w:val="20"/>
        </w:rPr>
        <w:t xml:space="preserve"> [Corrigé le 21/09/2026 : la ligne précédente est la notice HAS ; le document, lu ce jour, confirme le plan Alzheimer 2008-2012 et écrit que l'accompagnement a pour but « de préserver, maintenir et/ou restaurer l'autonomie de la personne, dans les choix et actes de la vie quotidienne comme dans les décisions importantes à prendre ».]</w:t>
      </w:r>
    </w:p>
    <w:p>
      <w:pPr>
        <w:pStyle w:val="ListParagraph"/>
        <w:numPr>
          <w:ilvl w:val="0"/>
          <w:numId w:val="1"/>
        </w:numPr>
        <w:spacing w:after="40" w:before="40"/>
      </w:pPr>
      <w:hyperlink w:history="1" r:id="rIdbkgon66c2l7nzaqs36yvl">
        <w:r>
          <w:rPr>
            <w:rFonts w:ascii="Times New Roman" w:cs="Times New Roman" w:eastAsia="Times New Roman" w:hAnsi="Times New Roman"/>
            <w:color w:val="1155CC"/>
            <w:sz w:val="22"/>
            <w:szCs w:val="22"/>
            <w:u w:val="single"/>
          </w:rPr>
          <w:t xml:space="preserve">HAS — Alzheimer : tous les travaux de la HAS</w:t>
        </w:r>
      </w:hyperlink>
    </w:p>
    <w:p>
      <w:pPr>
        <w:pStyle w:val="ListParagraph"/>
        <w:numPr>
          <w:ilvl w:val="0"/>
          <w:numId w:val="1"/>
        </w:numPr>
        <w:spacing w:after="40" w:before="40"/>
      </w:pPr>
      <w:hyperlink w:history="1" r:id="rIdcim11oms20260911">
        <w:r>
          <w:rPr>
            <w:rFonts w:ascii="Times New Roman" w:cs="Times New Roman" w:eastAsia="Times New Roman" w:hAnsi="Times New Roman"/>
            <w:color w:val="1155CC"/>
            <w:sz w:val="22"/>
            <w:szCs w:val="22"/>
            <w:u w:val="single"/>
          </w:rPr>
          <w:t xml:space="preserve">CIM-11 (OMS) — Classification internationale des maladies, 11ᵉ révision</w:t>
        </w:r>
      </w:hyperlink>
      <w:r>
        <w:rPr>
          <w:rFonts w:ascii="Times New Roman" w:cs="Times New Roman" w:eastAsia="Times New Roman" w:hAnsi="Times New Roman"/>
          <w:color w:val="1F2937"/>
          <w:sz w:val="22"/>
          <w:szCs w:val="22"/>
        </w:rPr>
        <w:t xml:space="preserve"> — la classification elle-même, en français, sur le site de l'OMS. Vérifiée le 11/09/2026 : HTTP 200. ⚠️ La page est une APPLICATION rendue côté navigateur : elle ne sert que 808 caractères de texte au téléchargement direct. Elle donne accès à la classification, elle ne se cite pas comme une page de contenu. AJOUTÉE LE 11/09/2026 : cette classification était nommée dans le corps de la leçon sans aucune adresse.</w:t>
      </w:r>
    </w:p>
    <w:p>
      <w:pPr>
        <w:pStyle w:val="ListParagraph"/>
        <w:numPr>
          <w:ilvl w:val="0"/>
          <w:numId w:val="1"/>
        </w:numPr>
        <w:spacing w:after="40" w:before="40"/>
      </w:pPr>
      <w:hyperlink w:history="1" r:id="rIdcim10oms20260911">
        <w:r>
          <w:rPr>
            <w:rFonts w:ascii="Times New Roman" w:cs="Times New Roman" w:eastAsia="Times New Roman" w:hAnsi="Times New Roman"/>
            <w:color w:val="1155CC"/>
            <w:sz w:val="22"/>
            <w:szCs w:val="22"/>
            <w:u w:val="single"/>
          </w:rPr>
          <w:t xml:space="preserve">CIM-10, version 2019 (OMS) — navigateur de la 10ᵉ révision</w:t>
        </w:r>
      </w:hyperlink>
      <w:r>
        <w:rPr>
          <w:rFonts w:ascii="Times New Roman" w:cs="Times New Roman" w:eastAsia="Times New Roman" w:hAnsi="Times New Roman"/>
          <w:color w:val="1F2937"/>
          <w:sz w:val="22"/>
          <w:szCs w:val="22"/>
        </w:rPr>
        <w:t xml:space="preserve"> — la révision précédente, encore utilisée par de nombreux systèmes d'information. Vérifiée le 11/09/2026 : HTTP 200, 3 612 caractères utiles, interface en anglais. AJOUTÉE LE 11/09/2026 : cette classification était nommée dans le corps de la leçon sans aucune adresse.</w:t>
      </w:r>
    </w:p>
    <w:p>
      <w:pPr>
        <w:spacing w:after="120" w:before="120"/>
      </w:pPr>
      <w:r>
        <w:rPr>
          <w:rFonts w:ascii="Times New Roman" w:cs="Times New Roman" w:eastAsia="Times New Roman" w:hAnsi="Times New Roman"/>
          <w:color w:val="CCCCCC"/>
          <w:sz w:val="20"/>
          <w:szCs w:val="20"/>
        </w:rPr>
        <w:t xml:space="preserve">────────────────────────────────────────────────────────────</w:t>
      </w:r>
    </w:p>
    <w:p>
      <w:pPr>
        <w:pStyle w:val="Heading2"/>
        <w:spacing w:after="120" w:before="320"/>
      </w:pPr>
      <w:r>
        <w:rPr>
          <w:rFonts w:ascii="Times New Roman" w:cs="Times New Roman" w:eastAsia="Times New Roman" w:hAnsi="Times New Roman"/>
          <w:b/>
          <w:bCs/>
          <w:color w:val="1B3A6B"/>
          <w:sz w:val="30"/>
          <w:szCs w:val="30"/>
        </w:rPr>
        <w:t xml:space="preserve">🔜 Prochaine leçon — Leçon 14 / 20</w:t>
      </w:r>
    </w:p>
    <w:p>
      <w:pPr>
        <w:spacing w:after="60" w:before="60"/>
        <w:ind/>
      </w:pPr>
      <w:r>
        <w:rPr>
          <w:rFonts w:ascii="Times New Roman" w:cs="Times New Roman" w:eastAsia="Times New Roman" w:hAnsi="Times New Roman"/>
          <w:b/>
          <w:bCs/>
          <w:i w:val="false"/>
          <w:iCs w:val="false"/>
          <w:color w:val="1F2937"/>
          <w:sz w:val="22"/>
          <w:szCs w:val="22"/>
        </w:rPr>
        <w:t xml:space="preserve">Leçon 14 : Les troubles du sommeil et leurs interactions psychiatriques</w:t>
      </w:r>
    </w:p>
    <w:p>
      <w:pPr>
        <w:spacing w:after="60" w:before="60"/>
        <w:ind/>
      </w:pPr>
      <w:r>
        <w:rPr>
          <w:rFonts w:ascii="Times New Roman" w:cs="Times New Roman" w:eastAsia="Times New Roman" w:hAnsi="Times New Roman"/>
          <w:b w:val="false"/>
          <w:bCs w:val="false"/>
          <w:i w:val="false"/>
          <w:iCs w:val="false"/>
          <w:color w:val="1F2937"/>
          <w:sz w:val="22"/>
          <w:szCs w:val="22"/>
        </w:rPr>
        <w:t xml:space="preserve">Nous explorerons les principales catégories de troubles du sommeil (insomnies, hypersomnies, parasomnies, troubles du rythme circadien), leurs liens bidirectionnels avec les troubles psychiatriques (dépression, anxiété, psychose, TSPT) et les approches non médicamenteuses validées (thérapie cognitive-comportementale pour l'insomnie, TCC-I). Les vignettes intégreront des situations fréquentes en ESSMS (troubles du sommeil chez les personnes avec handicap psychique, effets des psychotropes).</w:t>
      </w:r>
    </w:p>
    <w:p>
      <w:pPr>
        <w:spacing w:after="120" w:before="120"/>
      </w:pPr>
      <w:r>
        <w:rPr>
          <w:rFonts w:ascii="Times New Roman" w:cs="Times New Roman" w:eastAsia="Times New Roman" w:hAnsi="Times New Roman"/>
          <w:color w:val="CCCCCC"/>
          <w:sz w:val="20"/>
          <w:szCs w:val="20"/>
        </w:rPr>
        <w:t xml:space="preserve">────────────────────────────────────────────────────────────</w:t>
      </w:r>
    </w:p>
    <w:p>
      <w:pPr>
        <w:spacing w:after="60" w:before="60"/>
        <w:ind/>
      </w:pPr>
      <w:r>
        <w:rPr>
          <w:rFonts w:ascii="Times New Roman" w:cs="Times New Roman" w:eastAsia="Times New Roman" w:hAnsi="Times New Roman"/>
          <w:b w:val="false"/>
          <w:bCs w:val="false"/>
          <w:i/>
          <w:iCs/>
          <w:color w:val="999999"/>
          <w:sz w:val="22"/>
          <w:szCs w:val="22"/>
        </w:rPr>
        <w:t xml:space="preserve">Document généré le 31/08/2026 — Leçon 13 / 20 — Parcours Psychopathologie clinique</w:t>
      </w:r>
    </w:p>
    <w:p>
      <w:pPr>
        <w:spacing w:after="120" w:before="300"/>
      </w:pPr>
      <w:r>
        <w:rPr>
          <w:rFonts w:ascii="Calibri" w:cs="Calibri" w:eastAsia="Calibri" w:hAnsi="Calibri"/>
          <w:b/>
          <w:bCs/>
          <w:color w:val="1B3A6B"/>
          <w:sz w:val="28"/>
          <w:szCs w:val="28"/>
        </w:rPr>
        <w:t xml:space="preserve">📝 Journal des corrections</w:t>
      </w:r>
    </w:p>
    <w:p>
      <w:pPr>
        <w:spacing w:after="80" w:before="80"/>
      </w:pPr>
      <w:r>
        <w:rPr>
          <w:rFonts w:ascii="Calibri" w:cs="Calibri" w:eastAsia="Calibri" w:hAnsi="Calibri"/>
          <w:color w:val="1F2937"/>
          <w:sz w:val="22"/>
          <w:szCs w:val="22"/>
        </w:rPr>
        <w:t xml:space="preserve">Leçon produite et relue le 31/08/2026. Les corrections sont fondues dans le texte ci-dessus ; les formulations d'origine sont conservées ici.</w:t>
      </w:r>
    </w:p>
    <w:p>
      <w:pPr>
        <w:spacing w:after="80" w:before="80"/>
      </w:pPr>
      <w:r>
        <w:rPr>
          <w:rFonts w:ascii="Calibri" w:cs="Calibri" w:eastAsia="Calibri" w:hAnsi="Calibri"/>
          <w:color w:val="1F2937"/>
          <w:sz w:val="22"/>
          <w:szCs w:val="22"/>
        </w:rPr>
        <w:t xml:space="preserve">1. Vignette C — la DFT était citée à contresens.</w:t>
      </w:r>
    </w:p>
    <w:p>
      <w:pPr>
        <w:spacing w:after="80" w:before="80"/>
      </w:pPr>
      <w:r>
        <w:rPr>
          <w:rFonts w:ascii="Calibri" w:cs="Calibri" w:eastAsia="Calibri" w:hAnsi="Calibri"/>
          <w:color w:val="1F2937"/>
          <w:sz w:val="22"/>
          <w:szCs w:val="22"/>
        </w:rPr>
        <w:t xml:space="preserve">Version initiale : « Mémoire intacte → TNC à dominante visuospatiale, évocateur de corps de Lewy ou de DFT ou d'atteinte pariétale. » Or la section 3 de cette même leçon définit la dégénérescence frontotemporale par la désinhibition comportementale et les troubles du langage précoces, avec une atteinte TARDIVE de la mémoire — et la vignette E lui attribue correctement un profil de désinhibition. Dans la DFT, les capacités visuo-spatiales sont au contraire relativement préservées : c'est un argument différentiel, pas un argument en faveur. La réponse attendue devant un tableau visuospatial pur à mémoire épargnée est l'ATROPHIE CORTICALE POSTÉRIEURE, variante visuelle de la maladie d'Alzheimer, qui n'apparaissait nulle part dans la leçon. Elle a été ajoutée, et la mention de la DFT remplacée par la raison de l'écarter.</w:t>
      </w:r>
    </w:p>
    <w:p>
      <w:pPr>
        <w:spacing w:after="80" w:before="80"/>
      </w:pPr>
      <w:r>
        <w:rPr>
          <w:rFonts w:ascii="Calibri" w:cs="Calibri" w:eastAsia="Calibri" w:hAnsi="Calibri"/>
          <w:color w:val="1F2937"/>
          <w:sz w:val="22"/>
          <w:szCs w:val="22"/>
        </w:rPr>
        <w:t xml:space="preserve">2. Vignette F — les hallucinations classées dans le mauvais domaine.</w:t>
      </w:r>
    </w:p>
    <w:p>
      <w:pPr>
        <w:spacing w:after="80" w:before="80"/>
      </w:pPr>
      <w:r>
        <w:rPr>
          <w:rFonts w:ascii="Calibri" w:cs="Calibri" w:eastAsia="Calibri" w:hAnsi="Calibri"/>
          <w:color w:val="1F2937"/>
          <w:sz w:val="22"/>
          <w:szCs w:val="22"/>
        </w:rPr>
        <w:t xml:space="preserve">Version initiale : « Les domaines atteints : Attention (fluctuations), Cognition perceptivo-motrice (chutes), Cognition sociale (hallucinations). » Le tableau des six domaines, qui est l'outil central de la leçon, définit la cognition sociale comme la reconnaissance des émotions, la théorie de l'esprit et le comportement social. Une hallucination visuelle est un trouble de la PERCEPTION : elle relève de la cognition perceptivo-motrice. Et les chutes ne sont pas un domaine cognitif : elles relèvent du syndrome parkinsonien associé à la démence à corps de Lewy. Le corrigé a été repris pour s'en tenir à la grille.</w:t>
      </w:r>
    </w:p>
    <w:p>
      <w:pPr>
        <w:spacing w:after="80" w:before="80"/>
      </w:pPr>
      <w:r>
        <w:rPr>
          <w:rFonts w:ascii="Calibri" w:cs="Calibri" w:eastAsia="Calibri" w:hAnsi="Calibri"/>
          <w:color w:val="1F2937"/>
          <w:sz w:val="22"/>
          <w:szCs w:val="22"/>
        </w:rPr>
        <w:t xml:space="preserve">3. Datation de la recommandation citée dans le pont professionnel.</w:t>
      </w:r>
    </w:p>
    <w:p>
      <w:pPr>
        <w:spacing w:after="80" w:before="80"/>
      </w:pPr>
      <w:r>
        <w:rPr>
          <w:rFonts w:ascii="Calibri" w:cs="Calibri" w:eastAsia="Calibri" w:hAnsi="Calibri"/>
          <w:color w:val="1F2937"/>
          <w:sz w:val="22"/>
          <w:szCs w:val="22"/>
        </w:rPr>
        <w:t xml:space="preserve">Version initiale : « La RBPP HAS “Accompagnement des personnes atteintes d'une maladie d'Alzheimer ou apparentée en établissement médico-social” (mars 2018) ». Vérifié le 31/08/2026 sur la page HAS citée en ressources : le texte a été publié par l'ANESM le 2 février 2009, dans le cadre du plan Alzheimer 2008-2012 ; mars 2018 est la date de reprise par la HAS lors du transfert des travaux de l'ANESM. La recommandation reste applicable et maintenue, mais les deux dates doivent figurer : « mars 2018 » seul laisse croire à un texte récent alors que le contenu a dix-sept ans. Nommer une recommandation ne suffit pas — il faut la dater juste.</w:t>
      </w:r>
    </w:p>
    <w:p>
      <w:pPr>
        <w:spacing w:after="120" w:before="300"/>
      </w:pPr>
      <w:r>
        <w:rPr>
          <w:rFonts w:ascii="Calibri" w:cs="Calibri" w:eastAsia="Calibri" w:hAnsi="Calibri"/>
          <w:b/>
          <w:bCs/>
          <w:color w:val="1B3A6B"/>
          <w:sz w:val="28"/>
          <w:szCs w:val="28"/>
        </w:rPr>
        <w:t xml:space="preserve">📝 Journal des corrections — 11 septembre 2026</w:t>
      </w:r>
    </w:p>
    <w:p>
      <w:pPr>
        <w:pStyle w:val="ListParagraph"/>
        <w:numPr>
          <w:ilvl w:val="0"/>
          <w:numId w:val="1"/>
        </w:numPr>
        <w:spacing w:after="40" w:before="40"/>
      </w:pPr>
      <w:r>
        <w:rPr>
          <w:rFonts w:ascii="Times New Roman" w:cs="Times New Roman" w:eastAsia="Times New Roman" w:hAnsi="Times New Roman"/>
          <w:b/>
          <w:bCs/>
          <w:color w:val="1F2937"/>
          <w:sz w:val="22"/>
          <w:szCs w:val="22"/>
        </w:rPr>
        <w:t xml:space="preserve">Relue le 11/09/2026 par le test d'attribution des pages, passé sur les 135 leçons du dépôt. UNE correction.</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① Une nosographie était nommée sans adresse. Cette leçon invoque CIM-11, CIM-10 dans son corps sans qu'aucune adresse ne figure dans ses ressources. Ce sont pourtant les instruments qui fondent ses catégories : un lecteur voulant savoir laquelle des deux classifications dit quoi — et elles divergent, notamment sur les troubles de la personnalité — devait la chercher lui-même. Le défaut est répandu dans le parcours : HUIT leçons sur quinze nommaient au moins une nosographie sans adresse — DSM-5-TR dans cinq, CIM-11 dans trois, CIM-10 dans deux, DSM-5 dans deux.</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À ne pas confondre avec les quatre leçons — 02, 05, 09 et 11 — qui nommaient déjà leur classification dans le LIBELLÉ d'une ressource, à côté du lien : celles-là n'avaient aucun défaut et n'ont pas été touchées. Une première version de ce contrôle les avait signalées à tort, parce qu'elle ne cherchait le nom de la nosographie que dans l'URL — or ni icd.who.int/fr ni l'adresse de l'APA ne contiennent la chaîne cherchée. Le contrôle regarde désormais tout le texte de la section Ressources.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Ce qui a été fait. Les adresses officielles sont ajoutées, testées le 11/09/2026 : icd.who.int/fr pour la CIM-11, icd.who.int/browse10/2019/en pour la CIM-10 (3 612 caractères utiles), psychiatry.org/psychiatrists/practice/dsm pour le DSM (21 859 caractères, où « DSM-5-TR » figure dix-neuf fois). Une réserve écrite plutôt que tue : le navigateur de la CIM-11 est une application rendue côté client, qui ne sert que 808 caractères au téléchargement direct — elle donne accès à la classification, elle ne se cite pas comme une page de contenu.</w:t>
      </w:r>
    </w:p>
    <w:p>
      <w:pPr>
        <w:spacing w:after="80" w:before="80"/>
      </w:pPr>
      <w:r>
        <w:rPr>
          <w:rFonts w:ascii="Calibri" w:cs="Calibri" w:eastAsia="Calibri" w:hAnsi="Calibri"/>
          <w:color w:val="1F2937"/>
          <w:sz w:val="22"/>
          <w:szCs w:val="22"/>
        </w:rPr>
        <w:t xml:space="preserve">Vérifié lors de la relecture et inchangé : les trois catégories du DSM-5 et le remplacement de « démence » par « trouble neurocognitif » ; les six domaines cognitifs et leurs observables ; les cinq sous-types étiologiques et leurs marqueurs distinctifs ; le tableau de distinction délirium / TNC majeur ; la catégorie F06.7 de la CIM-10 et la convergence de la CIM-11 vers le DSM-5 ; le vieillissement précoce documenté dans la trisomie 21 ; les trois stades de l'exercice 3 ; et les trois URL HAS des ressources, testées ce jour (statut 200). Le point déontologique de la partie B du challenge — évaluer le déclin par rapport au fonctionnement ANTÉRIEUR de la personne et non à une norme populationnelle — est le passage le plus important de la leçon et n'a pas été touché.</w:t>
      </w:r>
    </w:p>
    <w:p>
      <w:pPr>
        <w:pStyle w:val="Heading2"/>
        <w:spacing w:after="100" w:before="280"/>
      </w:pPr>
      <w:r>
        <w:rPr>
          <w:rFonts w:ascii="Times New Roman" w:cs="Times New Roman" w:eastAsia="Times New Roman" w:hAnsi="Times New Roman"/>
          <w:b/>
          <w:bCs/>
          <w:color w:val="1B3A6B"/>
          <w:sz w:val="28"/>
          <w:szCs w:val="28"/>
        </w:rPr>
        <w:t xml:space="preserve">📝 Journal des corrections — 21 septembre 2026</w:t>
      </w:r>
    </w:p>
    <w:p>
      <w:pPr>
        <w:spacing w:after="60" w:before="60"/>
      </w:pPr>
      <w:r>
        <w:rPr>
          <w:rFonts w:ascii="Times New Roman" w:cs="Times New Roman" w:eastAsia="Times New Roman" w:hAnsi="Times New Roman"/>
          <w:i/>
          <w:iCs/>
          <w:color w:val="6B7280"/>
          <w:sz w:val="20"/>
          <w:szCs w:val="20"/>
        </w:rPr>
        <w:t xml:space="preserve">Relecture du 21/09/2026 : le PDF de la recommandation (47 pages, Février 2009) est lu et lié à côté de la notice HAS. Ce que la leçon en disait — plan Alzheimer 2008-2012, autonomie dans les choix de vie quotidienne, projet personnalisé, formation des équipes — est dans le document. Aucune formulation ne change.</w:t>
      </w:r>
    </w:p>
    <w:p>
      <w:pPr>
        <w:pStyle w:val="ListParagraph"/>
        <w:numPr>
          <w:ilvl w:val="0"/>
          <w:numId w:val="1"/>
        </w:numPr>
        <w:spacing w:after="40" w:before="40"/>
      </w:pPr>
      <w:r>
        <w:rPr>
          <w:rFonts w:ascii="Times New Roman" w:cs="Times New Roman" w:eastAsia="Times New Roman" w:hAnsi="Times New Roman"/>
          <w:i/>
          <w:iCs/>
          <w:color w:val="6B7280"/>
          <w:sz w:val="20"/>
          <w:szCs w:val="20"/>
        </w:rPr>
        <w:t xml:space="preserve">Ressources : seule la notice HAS de la recommandation était liée ; le document lui-même (PDF) ne l'était pas et n'avait pas été lu.</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mqvlrrmifa-ijeex3qo_" Type="http://schemas.openxmlformats.org/officeDocument/2006/relationships/hyperlink" Target="https://en.wikipedia.org/wiki/Neurocognitive_disorder" TargetMode="External"/><Relationship Id="rId3tmp3cqufp4z2wals_zrh" Type="http://schemas.openxmlformats.org/officeDocument/2006/relationships/hyperlink" Target="https://www.merckmanuals.com/professional/neurologic-disorders/delirium-and-dementia/overview-of-delirium-and-dementia" TargetMode="External"/><Relationship Id="rIdjnnlyb7p8kdnjwkrwwgap" Type="http://schemas.openxmlformats.org/officeDocument/2006/relationships/hyperlink" Target="https://www.psychomedia.qc.ca/dsm-5/2015-08-17/criteres-diagnostiques-demence-trouble-neurocognitif-majeur" TargetMode="External"/><Relationship Id="rIdsq2f-mvyatqzq2ayp5k1r" Type="http://schemas.openxmlformats.org/officeDocument/2006/relationships/hyperlink" Target="https://www.medg.fr/demence-vasculaire/" TargetMode="External"/><Relationship Id="rIdgvd-k1chzz53sfdftn3yk" Type="http://schemas.openxmlformats.org/officeDocument/2006/relationships/hyperlink" Target="https://www.psycom.org/sinformer/la-sante-mentale/la-sante-mentale-en-vieillissant/" TargetMode="External"/><Relationship Id="rIdzml-4mrct-auye0r75nxd" Type="http://schemas.openxmlformats.org/officeDocument/2006/relationships/hyperlink" Target="https://www.has-sante.fr/jcms/p_3058411/fr/maladie-d-alzheimer" TargetMode="External"/><Relationship Id="rIdodowsruelqz4b3kvkhs29" Type="http://schemas.openxmlformats.org/officeDocument/2006/relationships/hyperlink" Target="https://www.has-sante.fr/jcms/c_2835247/fr/l-accompagnement-des-personnes-atteintes-d-une-maladie-d-alzheimer-ou-apparentee-en-etablissement-medico-social" TargetMode="External"/><Relationship Id="rIdbkgon66c2l7nzaqs36yvl" Type="http://schemas.openxmlformats.org/officeDocument/2006/relationships/hyperlink" Target="https://www.has-sante.fr/jcms/c_2851666/fr/alzheimer-les-travaux-de-la-has" TargetMode="External"/><Relationship Id="rId15" Type="http://schemas.openxmlformats.org/officeDocument/2006/relationships/fontTable" Target="fontTable.xml"/><Relationship Id="rIdcim11oms20260911" Type="http://schemas.openxmlformats.org/officeDocument/2006/relationships/hyperlink" Target="https://icd.who.int/fr" TargetMode="External"/><Relationship Id="rIdcim10oms20260911" Type="http://schemas.openxmlformats.org/officeDocument/2006/relationships/hyperlink" Target="https://icd.who.int/browse10/2019/en" TargetMode="External"/><Relationship Id="rIdPdfAlz2009" Type="http://schemas.openxmlformats.org/officeDocument/2006/relationships/hyperlink" Target="https://www.has-sante.fr/upload/docs/application/pdf/2018-03/reco_accompagnement_maladie_alzheimer_etablissement_medico_social.pdf"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2026-08-31T06:09:16.857Z</dcterms:created>
  <dcterms:modified xsi:type="dcterms:W3CDTF">2026-08-31T06:09:16.873Z</dcterms:modified>
</cp:coreProperties>
</file>

<file path=docProps/custom.xml><?xml version="1.0" encoding="utf-8"?>
<Properties xmlns="http://schemas.openxmlformats.org/officeDocument/2006/custom-properties" xmlns:vt="http://schemas.openxmlformats.org/officeDocument/2006/docPropsVTypes"/>
</file>