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1B3A6B"/>
          <w:sz w:val="52"/>
          <w:szCs w:val="52"/>
        </w:rPr>
        <w:t xml:space="preserve">Leçon Psychopathologie clinique n°16</w:t>
      </w:r>
    </w:p>
    <w:p>
      <w:pPr>
        <w:spacing w:after="240"/>
        <w:jc w:val="center"/>
      </w:pPr>
      <w:r>
        <w:rPr>
          <w:rFonts w:ascii="Times New Roman" w:cs="Times New Roman" w:eastAsia="Times New Roman" w:hAnsi="Times New Roman"/>
          <w:b/>
          <w:bCs/>
          <w:color w:val="1B3A6B"/>
          <w:sz w:val="52"/>
          <w:szCs w:val="52"/>
        </w:rPr>
        <w:t xml:space="preserve">Handicap psychique et déficience intellectuelle :</w:t>
      </w:r>
    </w:p>
    <w:p>
      <w:pPr>
        <w:spacing w:after="240"/>
        <w:jc w:val="center"/>
      </w:pPr>
      <w:r>
        <w:rPr>
          <w:rFonts w:ascii="Times New Roman" w:cs="Times New Roman" w:eastAsia="Times New Roman" w:hAnsi="Times New Roman"/>
          <w:b/>
          <w:bCs/>
          <w:color w:val="1B3A6B"/>
          <w:sz w:val="52"/>
          <w:szCs w:val="52"/>
        </w:rPr>
        <w:t xml:space="preserve">comorbidités, diagnostic différentiel, surhandicap</w:t>
      </w:r>
    </w:p>
    <w:p>
      <w:pPr>
        <w:spacing w:after="320"/>
        <w:jc w:val="center"/>
      </w:pPr>
      <w:r>
        <w:rPr>
          <w:rFonts w:ascii="Times New Roman" w:cs="Times New Roman" w:eastAsia="Times New Roman" w:hAnsi="Times New Roman"/>
          <w:i/>
          <w:iCs/>
          <w:color w:val="6B7280"/>
          <w:sz w:val="22"/>
          <w:szCs w:val="22"/>
        </w:rPr>
        <w:t xml:space="preserve">Leçon 16 / 20  |  14 septembre 2026</w:t>
      </w:r>
    </w:p>
    <w:p>
      <w:pPr>
        <w:spacing w:after="160" w:before="320"/>
      </w:pPr>
      <w:r>
        <w:rPr>
          <w:rFonts w:ascii="Times New Roman" w:cs="Times New Roman" w:eastAsia="Times New Roman" w:hAnsi="Times New Roman"/>
          <w:b/>
          <w:bCs/>
          <w:color w:val="1B3A6B"/>
          <w:sz w:val="30"/>
          <w:szCs w:val="30"/>
        </w:rPr>
        <w:t xml:space="preserve">🎯 Objectif et continuité</w:t>
      </w:r>
    </w:p>
    <w:p>
      <w:pPr>
        <w:spacing w:after="100"/>
      </w:pPr>
      <w:r>
        <w:rPr>
          <w:rFonts w:ascii="Times New Roman" w:cs="Times New Roman" w:eastAsia="Times New Roman" w:hAnsi="Times New Roman"/>
          <w:color w:val="1F2937"/>
          <w:sz w:val="22"/>
          <w:szCs w:val="22"/>
        </w:rPr>
        <w:t xml:space="preserve">À l'issue de cette leçon, tu sauras distinguer deux réalités souvent confondues en ESSMS — le trouble du développement intellectuel (TDI) et le handicap psychique —, identifier les situations où ces deux réalités se combinent (double diagnostic), reconnaître les processus qui peuvent mener au surhandicap, et comprendre pourquoi l'évaluation des troubles psychiatriques est plus complexe chez les personnes présentant un TDI.</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Continuité : la leçon 15 a mis en évidence comment un trouble psychiatrique — ici la crise suicidaire — peut être masqué par d'autres signes. Cette leçon 16 approfondit ce mécanisme de masquage dans le contexte spécifique du TDI, où l'obscurcissement diagnostique est particulièrement fréquent.</w:t>
      </w:r>
    </w:p>
    <w:p>
      <w:pPr>
        <w:spacing w:after="120"/>
      </w:pPr>
    </w:p>
    <w:p>
      <w:pPr>
        <w:spacing w:after="160" w:before="320"/>
      </w:pPr>
      <w:r>
        <w:rPr>
          <w:rFonts w:ascii="Times New Roman" w:cs="Times New Roman" w:eastAsia="Times New Roman" w:hAnsi="Times New Roman"/>
          <w:b/>
          <w:bCs/>
          <w:color w:val="1B3A6B"/>
          <w:sz w:val="30"/>
          <w:szCs w:val="30"/>
        </w:rPr>
        <w:t xml:space="preserve">🔬 Théorie (20 %)</w:t>
      </w:r>
    </w:p>
    <w:p>
      <w:pPr>
        <w:spacing w:after="100" w:before="200"/>
      </w:pPr>
      <w:r>
        <w:rPr>
          <w:rFonts w:ascii="Times New Roman" w:cs="Times New Roman" w:eastAsia="Times New Roman" w:hAnsi="Times New Roman"/>
          <w:b/>
          <w:bCs/>
          <w:color w:val="1F2937"/>
          <w:sz w:val="26"/>
          <w:szCs w:val="26"/>
        </w:rPr>
        <w:t xml:space="preserve">1. Le trouble du développement intellectuel (TDI)</w:t>
      </w:r>
    </w:p>
    <w:p>
      <w:pPr>
        <w:spacing w:after="100"/>
      </w:pPr>
      <w:r>
        <w:rPr>
          <w:rFonts w:ascii="Times New Roman" w:cs="Times New Roman" w:eastAsia="Times New Roman" w:hAnsi="Times New Roman"/>
          <w:color w:val="1F2937"/>
          <w:sz w:val="22"/>
          <w:szCs w:val="22"/>
        </w:rPr>
        <w:t xml:space="preserve">Selon le Guide HAS (juillet 2022) sur l'accompagnement des personnes présentant un TDI — qui s'appuie sur les définitions de l'OMS, de l'AAIDD et de l'APA — le TDI repose sur trois critères communs :</w:t>
      </w:r>
    </w:p>
    <w:p>
      <w:pPr>
        <w:pStyle w:val="ListParagraph"/>
        <w:numPr>
          <w:ilvl w:val="0"/>
          <w:numId w:val="1"/>
        </w:numPr>
        <w:spacing w:after="80"/>
      </w:pPr>
      <w:r>
        <w:rPr>
          <w:rFonts w:ascii="Times New Roman" w:cs="Times New Roman" w:eastAsia="Times New Roman" w:hAnsi="Times New Roman"/>
          <w:color w:val="1F2937"/>
          <w:sz w:val="22"/>
          <w:szCs w:val="22"/>
        </w:rPr>
        <w:t xml:space="preserve">Limitations significatives du fonctionnement intellectuel (raisonnement, résolution de problème, abstraction, jugement) ayant des effets directs sur les apprentissages ;</w:t>
      </w:r>
    </w:p>
    <w:p>
      <w:pPr>
        <w:pStyle w:val="ListParagraph"/>
        <w:numPr>
          <w:ilvl w:val="0"/>
          <w:numId w:val="1"/>
        </w:numPr>
        <w:spacing w:after="80"/>
      </w:pPr>
      <w:r>
        <w:rPr>
          <w:rFonts w:ascii="Times New Roman" w:cs="Times New Roman" w:eastAsia="Times New Roman" w:hAnsi="Times New Roman"/>
          <w:color w:val="1F2937"/>
          <w:sz w:val="22"/>
          <w:szCs w:val="22"/>
        </w:rPr>
        <w:t xml:space="preserve">Limitations significatives des fonctions adaptatives, de sévérité suffisante pour nécessiter un besoin de soutien, affectant les habiletés conceptuelles, sociales et pratiques (communication, participation sociale, indépendance) ;</w:t>
      </w:r>
    </w:p>
    <w:p>
      <w:pPr>
        <w:pStyle w:val="ListParagraph"/>
        <w:numPr>
          <w:ilvl w:val="0"/>
          <w:numId w:val="1"/>
        </w:numPr>
        <w:spacing w:after="80"/>
      </w:pPr>
      <w:r>
        <w:rPr>
          <w:rFonts w:ascii="Times New Roman" w:cs="Times New Roman" w:eastAsia="Times New Roman" w:hAnsi="Times New Roman"/>
          <w:color w:val="1F2937"/>
          <w:sz w:val="22"/>
          <w:szCs w:val="22"/>
        </w:rPr>
        <w:t xml:space="preserve">Début pendant la période de développement (enfance) — et non à l'âge adulte.</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L'appellation « trouble du développement intellectuel » est celle retenue par le DSM-5 (APA, 2015) et reprise dans la CIM-11 (OMS, effective depuis janvier 2022), selon la note de bas de page n°3 du Guide HAS TDI 2022. L'accès direct à icd.who.int n'est pas possible en mode headless (rendu JavaScript) : aucun critère chiffré de la CIM-11 n'est cité ici sans appui d'une source lisible.</w:t>
      </w:r>
    </w:p>
    <w:p>
      <w:pPr>
        <w:spacing w:after="100"/>
      </w:pPr>
      <w:r>
        <w:rPr>
          <w:rFonts w:ascii="Times New Roman" w:cs="Times New Roman" w:eastAsia="Times New Roman" w:hAnsi="Times New Roman"/>
          <w:color w:val="1F2937"/>
          <w:sz w:val="22"/>
          <w:szCs w:val="22"/>
        </w:rPr>
        <w:t xml:space="preserve">Ce n'est pas une maladie dont on guérit, mais un trouble du développement cognitif. La trajectoire d'apprentissage est dynamique : elle peut être hétérogène selon les périodes de vie, les caractéristiques de la personne et le contexte environnemental (Guide HAS TDI, 2022).</w:t>
      </w:r>
    </w:p>
    <w:p>
      <w:pPr>
        <w:spacing w:after="100"/>
      </w:pPr>
      <w:r>
        <w:rPr>
          <w:rFonts w:ascii="Times New Roman" w:cs="Times New Roman" w:eastAsia="Times New Roman" w:hAnsi="Times New Roman"/>
          <w:color w:val="1F2937"/>
          <w:sz w:val="22"/>
          <w:szCs w:val="22"/>
        </w:rPr>
        <w:t xml:space="preserve">La prévalence du TDI est estimée entre 1 et 3 % de la population générale selon les définitions et méthodes retenues (Wikipedia, source tertiaire — à croiser avec des études primaires). La répartition par degrés de sévérité est approximativement : 85 % de formes légères, 10 % modérées, 3-4 % sévères, 1-2 % profondes (Wikipedia).</w:t>
      </w:r>
    </w:p>
    <w:p>
      <w:pPr>
        <w:spacing w:after="80"/>
      </w:pPr>
      <w:r>
        <w:rPr>
          <w:rFonts w:ascii="Times New Roman" w:cs="Times New Roman" w:eastAsia="Times New Roman" w:hAnsi="Times New Roman"/>
          <w:i/>
          <w:iCs/>
          <w:color w:val="6B7280"/>
          <w:sz w:val="18"/>
          <w:szCs w:val="18"/>
        </w:rPr>
        <w:t xml:space="preserve">Note : Wikipedia est une source tertiaire — ces pourcentages sont donnés comme repère d'ordre de grandeur, non comme donnée à reprendre dans un écrit professionnel.</w:t>
      </w:r>
    </w:p>
    <w:p>
      <w:pPr>
        <w:spacing w:after="120"/>
      </w:pPr>
    </w:p>
    <w:p>
      <w:pPr>
        <w:spacing w:after="100" w:before="200"/>
      </w:pPr>
      <w:r>
        <w:rPr>
          <w:rFonts w:ascii="Times New Roman" w:cs="Times New Roman" w:eastAsia="Times New Roman" w:hAnsi="Times New Roman"/>
          <w:b/>
          <w:bCs/>
          <w:color w:val="1F2937"/>
          <w:sz w:val="26"/>
          <w:szCs w:val="26"/>
        </w:rPr>
        <w:t xml:space="preserve">2. Le handicap psychique</w:t>
      </w:r>
    </w:p>
    <w:p>
      <w:pPr>
        <w:spacing w:after="100"/>
      </w:pPr>
      <w:r>
        <w:rPr>
          <w:rFonts w:ascii="Times New Roman" w:cs="Times New Roman" w:eastAsia="Times New Roman" w:hAnsi="Times New Roman"/>
          <w:color w:val="1F2937"/>
          <w:sz w:val="22"/>
          <w:szCs w:val="22"/>
        </w:rPr>
        <w:t xml:space="preserve">Le handicap psychique est reconnu comme tel par la loi du 11 février 2005 sur l'égalité des droits et des chances. Il résulte de troubles mentaux sévères et persistants — notamment la schizophrénie, les troubles bipolaires sévères, les troubles graves de la personnalité (borderline) ou les TOC sévères (Unafam ; Psycom, 2022).</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La différence essentielle avec le TDI : dans le handicap psychique, les capacités intellectuelles sont préservées — « même si des troubles cognitifs sont souvent associés » (ANESM 2015) — mais la capacité à les mobiliser dans la vie quotidienne est déficiente. [Précisé le 14/09/2026.] Une personne peut être capable de raisonner abstraitement mais incapable de prendre le bus, faire les courses ou effectuer une démarche administrative.</w:t>
      </w:r>
    </w:p>
    <w:p>
      <w:pPr>
        <w:spacing w:after="100"/>
      </w:pPr>
      <w:r>
        <w:rPr>
          <w:rFonts w:ascii="Times New Roman" w:cs="Times New Roman" w:eastAsia="Times New Roman" w:hAnsi="Times New Roman"/>
          <w:color w:val="1F2937"/>
          <w:sz w:val="22"/>
          <w:szCs w:val="22"/>
        </w:rPr>
        <w:t xml:space="preserve">Autres caractéristiques du handicap psychique (ANESM, 18 décembre 2015 — reprise HAS 2018) :</w:t>
      </w:r>
    </w:p>
    <w:p>
      <w:pPr>
        <w:pStyle w:val="ListParagraph"/>
        <w:numPr>
          <w:ilvl w:val="0"/>
          <w:numId w:val="1"/>
        </w:numPr>
        <w:spacing w:after="80"/>
      </w:pPr>
      <w:r>
        <w:rPr>
          <w:rFonts w:ascii="Times New Roman" w:cs="Times New Roman" w:eastAsia="Times New Roman" w:hAnsi="Times New Roman"/>
          <w:color w:val="1F2937"/>
          <w:sz w:val="22"/>
          <w:szCs w:val="22"/>
        </w:rPr>
        <w:t xml:space="preserve">Nature variable et intermittente des troubles, par opposition à la relative stabilité du TDI ;</w:t>
      </w:r>
    </w:p>
    <w:p>
      <w:pPr>
        <w:pStyle w:val="ListParagraph"/>
        <w:numPr>
          <w:ilvl w:val="0"/>
          <w:numId w:val="1"/>
        </w:numPr>
        <w:spacing w:after="80"/>
      </w:pPr>
      <w:r>
        <w:rPr>
          <w:rFonts w:ascii="Times New Roman" w:cs="Times New Roman" w:eastAsia="Times New Roman" w:hAnsi="Times New Roman"/>
          <w:color w:val="1F2937"/>
          <w:sz w:val="22"/>
          <w:szCs w:val="22"/>
        </w:rPr>
        <w:t xml:space="preserve">Nécessité d'un suivi médical régulier (ANESM) — et, selon Unafam, « la prise de médicaments est le plus souvent indispensable » [attribution précisée le 14/09/2026] ;</w:t>
      </w:r>
    </w:p>
    <w:p>
      <w:pPr>
        <w:pStyle w:val="ListParagraph"/>
        <w:numPr>
          <w:ilvl w:val="0"/>
          <w:numId w:val="1"/>
        </w:numPr>
        <w:spacing w:after="80"/>
      </w:pPr>
      <w:r>
        <w:rPr>
          <w:rFonts w:ascii="Times New Roman" w:cs="Times New Roman" w:eastAsia="Times New Roman" w:hAnsi="Times New Roman"/>
          <w:color w:val="1F2937"/>
          <w:sz w:val="22"/>
          <w:szCs w:val="22"/>
        </w:rPr>
        <w:t xml:space="preserve">Fréquente incapacité à formuler spontanément une demande d'aide ;</w:t>
      </w:r>
    </w:p>
    <w:p>
      <w:pPr>
        <w:pStyle w:val="ListParagraph"/>
        <w:numPr>
          <w:ilvl w:val="0"/>
          <w:numId w:val="1"/>
        </w:numPr>
        <w:spacing w:after="80"/>
      </w:pPr>
      <w:r>
        <w:rPr>
          <w:rFonts w:ascii="Times New Roman" w:cs="Times New Roman" w:eastAsia="Times New Roman" w:hAnsi="Times New Roman"/>
          <w:color w:val="1F2937"/>
          <w:sz w:val="22"/>
          <w:szCs w:val="22"/>
        </w:rPr>
        <w:t xml:space="preserve">Risques élevés de stigmatisation et d'isolement social.</w:t>
      </w:r>
    </w:p>
    <w:p>
      <w:pPr>
        <w:spacing w:after="80"/>
      </w:pPr>
      <w:r>
        <w:rPr>
          <w:rFonts w:ascii="Times New Roman" w:cs="Times New Roman" w:eastAsia="Times New Roman" w:hAnsi="Times New Roman"/>
          <w:i/>
          <w:iCs/>
          <w:color w:val="6B7280"/>
          <w:sz w:val="18"/>
          <w:szCs w:val="18"/>
        </w:rPr>
        <w:t xml:space="preserve">Note sur les dates : la RBPP « Spécificités de l'accompagnement des adultes handicapés psychiques » a été validée par l'ANESM le 18 décembre 2015 (synthèse publiée en mai 2016) ; la page HAS qui la porte indique « mis en ligne le 18 déc. 2015 — mis à jour le 16 mars 2018 », et la HAS a repris les travaux de l'ANESM lors de leur intégration le 1er avril 2018. [Corrigé le 14/09/2026 : la première version présentait la mise à jour de page du 16 mars 2018 comme la date de reprise, et invoquait un « rendu partiel JavaScript » — la page se lit intégralement sans JavaScript.]</w:t>
      </w:r>
    </w:p>
    <w:p>
      <w:pPr>
        <w:spacing w:after="100"/>
      </w:pPr>
      <w:r>
        <w:rPr>
          <w:rFonts w:ascii="Times New Roman" w:cs="Times New Roman" w:eastAsia="Times New Roman" w:hAnsi="Times New Roman"/>
          <w:color w:val="1F2937"/>
          <w:sz w:val="22"/>
          <w:szCs w:val="22"/>
        </w:rPr>
        <w:t xml:space="preserve">Le décret n° 2022-570 du 19 avril 2022 (paru le 20 avril), applicable au 1er janvier 2023, a étendu la Prestation de Compensation du Handicap (PCH) aux personnes en situation de handicap psychique, cognitif ou mental, finançant un soutien à l'autonomie jusqu'à 3 heures par jour (Psycom, 28/04/2022). [Corrigé le 14/09/2026 : la première version datait le décret de sa date d'effet.]</w:t>
      </w:r>
    </w:p>
    <w:p>
      <w:pPr>
        <w:spacing w:after="120"/>
      </w:pPr>
    </w:p>
    <w:p>
      <w:pPr>
        <w:spacing w:after="100" w:before="200"/>
      </w:pPr>
      <w:r>
        <w:rPr>
          <w:rFonts w:ascii="Times New Roman" w:cs="Times New Roman" w:eastAsia="Times New Roman" w:hAnsi="Times New Roman"/>
          <w:b/>
          <w:bCs/>
          <w:color w:val="1F2937"/>
          <w:sz w:val="26"/>
          <w:szCs w:val="26"/>
        </w:rPr>
        <w:t xml:space="preserve">Tableau comparatif : TDI vs handicap psychique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Dimension</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TDI</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Handicap psychique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Origine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Neurodéveloppementale (anténatale ou enfance)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Trouble mental (schizophrénie, bipolarité…)</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Capacités intellectuelles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Atteintes (critère diagnostique)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Préservées (troubles cognitifs souvent associés — ANESM 2015)</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Stabilité dans le temps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Relative — trajectoire dynamique possible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Variable et intermittente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Médicaments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Non spécifique au TDI</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Souvent indispensables</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Demande d'aide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Dépend du degré de sévérité</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Souvent difficile à formuler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Récupération</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Pas de guérison (trouble du développement)</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Partielle possible selon les personnes</w:t>
            </w:r>
          </w:p>
        </w:tc>
      </w:tr>
    </w:tbl>
    <w:p>
      <w:pPr>
        <w:spacing w:after="120"/>
      </w:pPr>
    </w:p>
    <w:p>
      <w:pPr>
        <w:spacing w:after="100" w:before="200"/>
      </w:pPr>
      <w:r>
        <w:rPr>
          <w:rFonts w:ascii="Times New Roman" w:cs="Times New Roman" w:eastAsia="Times New Roman" w:hAnsi="Times New Roman"/>
          <w:b/>
          <w:bCs/>
          <w:color w:val="1F2937"/>
          <w:sz w:val="26"/>
          <w:szCs w:val="26"/>
        </w:rPr>
        <w:t xml:space="preserve">3. Comorbidités et double diagnostic</w:t>
      </w:r>
    </w:p>
    <w:p>
      <w:pPr>
        <w:spacing w:after="100"/>
      </w:pPr>
      <w:r>
        <w:rPr>
          <w:rFonts w:ascii="Times New Roman" w:cs="Times New Roman" w:eastAsia="Times New Roman" w:hAnsi="Times New Roman"/>
          <w:color w:val="1F2937"/>
          <w:sz w:val="22"/>
          <w:szCs w:val="22"/>
        </w:rPr>
        <w:t xml:space="preserve">Le terme « double diagnostic » désigne la cooccurrence d'un TDI et d'un trouble psychiatrique. Selon l'expertise collective INSERM 2016 (chapitre 7 sur les autres troubles neurodéveloppementaux et psychiatriques associés à la DI), les comorbidités psychiatriques les plus souvent rapportées dans les populations avec TDI sont : les troubles du spectre psychotique, les troubles de l'humeur, les troubles anxieux, les troubles de la personnalité, l'abus de substances, le TSA, et le TDAH (Tsakanikos et McCarthy, 2014, cités dans INSERM 2016).</w:t>
      </w:r>
    </w:p>
    <w:p>
      <w:pPr>
        <w:spacing w:after="100"/>
      </w:pPr>
      <w:r>
        <w:rPr>
          <w:rFonts w:ascii="Times New Roman" w:cs="Times New Roman" w:eastAsia="Times New Roman" w:hAnsi="Times New Roman"/>
          <w:color w:val="1F2937"/>
          <w:sz w:val="22"/>
          <w:szCs w:val="22"/>
        </w:rPr>
        <w:t xml:space="preserve">Deux phénomènes rendent ce diagnostic particulièrement difficile :</w:t>
      </w:r>
    </w:p>
    <w:p>
      <w:pPr>
        <w:pStyle w:val="ListParagraph"/>
        <w:numPr>
          <w:ilvl w:val="0"/>
          <w:numId w:val="1"/>
        </w:numPr>
        <w:spacing w:after="80"/>
      </w:pPr>
      <w:r>
        <w:rPr>
          <w:rFonts w:ascii="Times New Roman" w:cs="Times New Roman" w:eastAsia="Times New Roman" w:hAnsi="Times New Roman"/>
          <w:color w:val="1F2937"/>
          <w:sz w:val="22"/>
          <w:szCs w:val="22"/>
        </w:rPr>
        <w:t xml:space="preserve">L'obscurcissement diagnostique (</w:t>
      </w:r>
      <w:r>
        <w:rPr>
          <w:rFonts w:ascii="Times New Roman" w:cs="Times New Roman" w:eastAsia="Times New Roman" w:hAnsi="Times New Roman"/>
          <w:i/>
          <w:iCs/>
          <w:color w:val="1F2937"/>
          <w:sz w:val="22"/>
          <w:szCs w:val="22"/>
        </w:rPr>
        <w:t xml:space="preserve">diagnostic overshadowing</w:t>
      </w:r>
      <w:r>
        <w:rPr>
          <w:rFonts w:ascii="Times New Roman" w:cs="Times New Roman" w:eastAsia="Times New Roman" w:hAnsi="Times New Roman"/>
          <w:color w:val="1F2937"/>
          <w:sz w:val="22"/>
          <w:szCs w:val="22"/>
        </w:rPr>
        <w:t xml:space="preserve">)</w:t>
      </w:r>
      <w:r>
        <w:rPr>
          <w:rFonts w:ascii="Times New Roman" w:cs="Times New Roman" w:eastAsia="Times New Roman" w:hAnsi="Times New Roman"/>
          <w:color w:val="1F2937"/>
          <w:sz w:val="22"/>
          <w:szCs w:val="22"/>
        </w:rPr>
        <w:t xml:space="preserve"> — Reiss et coll., 1982, cités dans INSERM 2016 : les symptômes psychiatriques sont attribués au TDI lui-même et ne font pas l'objet d'un diagnostic distinct.</w:t>
      </w:r>
    </w:p>
    <w:p>
      <w:pPr>
        <w:pStyle w:val="ListParagraph"/>
        <w:numPr>
          <w:ilvl w:val="0"/>
          <w:numId w:val="1"/>
        </w:numPr>
        <w:spacing w:after="80"/>
      </w:pPr>
      <w:r>
        <w:rPr>
          <w:rFonts w:ascii="Times New Roman" w:cs="Times New Roman" w:eastAsia="Times New Roman" w:hAnsi="Times New Roman"/>
          <w:color w:val="1F2937"/>
          <w:sz w:val="22"/>
          <w:szCs w:val="22"/>
        </w:rPr>
        <w:t xml:space="preserve">La pathoplasticité (</w:t>
      </w:r>
      <w:r>
        <w:rPr>
          <w:rFonts w:ascii="Times New Roman" w:cs="Times New Roman" w:eastAsia="Times New Roman" w:hAnsi="Times New Roman"/>
          <w:i/>
          <w:iCs/>
          <w:color w:val="1F2937"/>
          <w:sz w:val="22"/>
          <w:szCs w:val="22"/>
        </w:rPr>
        <w:t xml:space="preserve">pathoplasticity</w:t>
      </w:r>
      <w:r>
        <w:rPr>
          <w:rFonts w:ascii="Times New Roman" w:cs="Times New Roman" w:eastAsia="Times New Roman" w:hAnsi="Times New Roman"/>
          <w:color w:val="1F2937"/>
          <w:sz w:val="22"/>
          <w:szCs w:val="22"/>
        </w:rPr>
        <w:t xml:space="preserve">) — Cooper et coll., 2003, cités dans INSERM 2016 : le contenu des signes psychopathologiques est significativement altéré par la déficience elle-même, contribuant à la banalisation de signes anormaux.</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Règle de prudence clinique : ces deux phénomènes justifient qu'une modification du comportement ou une dégradation du fonctionnement d'une personne avec TDI ne soit pas systématiquement attribuée au TDI. C'est une règle de pratique, pas une recommandation graduée : aucune des sources ouvertes ici ne la formule comme telle. L'INSERM 2016 note pour sa part que l'identification des symptômes psychiatriques chez les personnes avec DI « relève d'une pratique basée sur l'expérience clinique, qui recèle nécessairement un degré important de subjectivité ». [Reformulé le 14/09/2026 : la première version mettait le statut de la règle au compte de l'INSERM.]</w:t>
      </w:r>
    </w:p>
    <w:p>
      <w:pPr>
        <w:spacing w:after="120"/>
      </w:pPr>
    </w:p>
    <w:p>
      <w:pPr>
        <w:spacing w:after="100"/>
      </w:pPr>
      <w:r>
        <w:rPr>
          <w:rFonts w:ascii="Times New Roman" w:cs="Times New Roman" w:eastAsia="Times New Roman" w:hAnsi="Times New Roman"/>
          <w:b/>
          <w:bCs/>
          <w:color w:val="1F2937"/>
          <w:sz w:val="22"/>
          <w:szCs w:val="22"/>
        </w:rPr>
        <w:t xml:space="preserve">Quelques données de prévalence issues de l'INSERM 2016 (expertise collective) :</w:t>
      </w:r>
    </w:p>
    <w:p>
      <w:pPr>
        <w:spacing w:after="80"/>
      </w:pPr>
      <w:r>
        <w:rPr>
          <w:rFonts w:ascii="Times New Roman" w:cs="Times New Roman" w:eastAsia="Times New Roman" w:hAnsi="Times New Roman"/>
          <w:i/>
          <w:iCs/>
          <w:color w:val="6B7280"/>
          <w:sz w:val="18"/>
          <w:szCs w:val="18"/>
        </w:rPr>
        <w:t xml:space="preserve">Ces données sont issues d'études de méthodologies hétérogènes. Les fourchettes larges reflètent cette hétérogénéité et non des valeurs concurrentes. Elles portent toutes sur des populations avec DI sauf mention contraire. La plupart des études antérieures à 2022 utilisaient les critères DSM-IV/DSM-5 et CIM-10.</w:t>
      </w:r>
    </w:p>
    <w:p>
      <w:pPr>
        <w:pStyle w:val="ListParagraph"/>
        <w:numPr>
          <w:ilvl w:val="0"/>
          <w:numId w:val="1"/>
        </w:numPr>
        <w:spacing w:after="80"/>
      </w:pPr>
      <w:r>
        <w:rPr>
          <w:rFonts w:ascii="Times New Roman" w:cs="Times New Roman" w:eastAsia="Times New Roman" w:hAnsi="Times New Roman"/>
          <w:color w:val="1F2937"/>
          <w:sz w:val="22"/>
          <w:szCs w:val="22"/>
        </w:rPr>
        <w:t xml:space="preserve">Troubles du spectre psychotique (TSP) : les études rapportent des taux oscillant autour de 3 % [des personnes avec DI] (Hemmings, 2006, cité dans INSERM 2016). La prévalence dans la population générale se situerait également autour de 2 à 3 % (Perala et coll., 2007, cités dans INSERM 2016). Précision importante : les TSP sont plus fréquents chez les personnes avec DI légère (30 % dans un échantillon) que chez celles avec DI sévère (3 %) (Elserafi et coll., 2009, cités dans INSERM 2016) — ces deux pourcentages portent sur des sous-groupes distincts selon le degré de sévérité, et non sur l'ensemble des personnes avec DI.</w:t>
      </w:r>
    </w:p>
    <w:p>
      <w:pPr>
        <w:pStyle w:val="ListParagraph"/>
        <w:numPr>
          <w:ilvl w:val="0"/>
          <w:numId w:val="1"/>
        </w:numPr>
        <w:spacing w:after="80"/>
      </w:pPr>
      <w:r>
        <w:rPr>
          <w:rFonts w:ascii="Times New Roman" w:cs="Times New Roman" w:eastAsia="Times New Roman" w:hAnsi="Times New Roman"/>
          <w:color w:val="1F2937"/>
          <w:sz w:val="22"/>
          <w:szCs w:val="22"/>
        </w:rPr>
        <w:t xml:space="preserve">Troubles dépressifs chez des adultes de 19 ans et plus avec DI : 4 % dans un échantillon britannique de 2 700 personnes (Bhaumik et coll., 2008, cités dans INSERM 2016), confirmé dans une étude écossaise sur 1 000 adultes avec DI (Cooper et coll., 2007). Chez les enfants de 5 à 15 ans avec DI : 1,5 % (Emerson, 2003, cités dans INSERM 2016). À titre de comparaison : le taux de dépression sur 12 mois en France est de 8 % (Chan Chee et coll., 2009, cités dans INSERM 2016). Attention : l'INSERM 2016 relève que les études anciennes suggéraient une prévalence de la dépression double de celle de la population générale (Cooper 1997, Meins 1993), alors que les études plus récentes suggèrent un taux comparable (Smiley 2009, Hassiotis 2014) — les chiffres ci-dessus sont des estimations ponctuelles dans des échantillons spécifiques. [Corrigé le 14/09/2026 : la première version prêtait à l'INSERM le mot « contradictoires », qui n'est pas dans le chapitre.]</w:t>
      </w:r>
    </w:p>
    <w:p>
      <w:pPr>
        <w:pStyle w:val="ListParagraph"/>
        <w:numPr>
          <w:ilvl w:val="0"/>
          <w:numId w:val="1"/>
        </w:numPr>
        <w:spacing w:after="80"/>
      </w:pPr>
      <w:r>
        <w:rPr>
          <w:rFonts w:ascii="Times New Roman" w:cs="Times New Roman" w:eastAsia="Times New Roman" w:hAnsi="Times New Roman"/>
          <w:color w:val="1F2937"/>
          <w:sz w:val="22"/>
          <w:szCs w:val="22"/>
        </w:rPr>
        <w:t xml:space="preserve">Trouble bipolaire : pop. générale entre 3 et 5 % (Akiskal et coll., 2000) ; chez DI entre 0,9 et 4,8 % — comparables en prévalence, mais le trouble bipolaire dans la DI est spécifiquement associé à davantage de comorbidités et une atteinte fonctionnelle plus sévère (Cain et coll., cités dans INSERM 2016).</w:t>
      </w:r>
    </w:p>
    <w:p>
      <w:pPr>
        <w:pStyle w:val="ListParagraph"/>
        <w:numPr>
          <w:ilvl w:val="0"/>
          <w:numId w:val="1"/>
        </w:numPr>
        <w:spacing w:after="80"/>
      </w:pPr>
      <w:r>
        <w:rPr>
          <w:rFonts w:ascii="Times New Roman" w:cs="Times New Roman" w:eastAsia="Times New Roman" w:hAnsi="Times New Roman"/>
          <w:color w:val="1F2937"/>
          <w:sz w:val="22"/>
          <w:szCs w:val="22"/>
        </w:rPr>
        <w:t xml:space="preserve">Troubles anxieux chez adultes avec DI : entre 1,7 et 17,4 % selon les instruments diagnostiques et les populations étudiées (Cooper 1997 ; Deb et coll. 2001 ; Smiley et coll. 2007 ; Reid et coll. 2011, cités dans INSERM 2016). Les études utilisant des outils récents estiment la prévalence autour de 4 %, avec le trouble anxieux généralisé comme le plus fréquent selon Deb et coll. 2001 et Reid et coll. 2011.</w:t>
      </w:r>
    </w:p>
    <w:p>
      <w:pPr>
        <w:pStyle w:val="ListParagraph"/>
        <w:numPr>
          <w:ilvl w:val="0"/>
          <w:numId w:val="1"/>
        </w:numPr>
        <w:spacing w:after="80"/>
      </w:pPr>
      <w:r>
        <w:rPr>
          <w:rFonts w:ascii="Times New Roman" w:cs="Times New Roman" w:eastAsia="Times New Roman" w:hAnsi="Times New Roman"/>
          <w:color w:val="1F2937"/>
          <w:sz w:val="22"/>
          <w:szCs w:val="22"/>
        </w:rPr>
        <w:t xml:space="preserve">TDAH chez enfants et adolescents avec DI : entre 11 et 50 % selon les échantillons (multiples études citées dans INSERM 2016). Une étude épidémiologique britannique (Emerson, 2003) estime le taux 8 fois plus important que dans la population générale — ce ratio porte sur le critère du trouble hyperkinétique évalué sur informations parentales et scolaires. La prévalence du TDAH dans la population générale (enfants) est estimée autour de 5 % (Polanczyk et coll., 2007).</w:t>
      </w:r>
    </w:p>
    <w:p>
      <w:pPr>
        <w:pStyle w:val="ListParagraph"/>
        <w:numPr>
          <w:ilvl w:val="0"/>
          <w:numId w:val="1"/>
        </w:numPr>
        <w:spacing w:after="80"/>
      </w:pPr>
      <w:r>
        <w:rPr>
          <w:rFonts w:ascii="Times New Roman" w:cs="Times New Roman" w:eastAsia="Times New Roman" w:hAnsi="Times New Roman"/>
          <w:color w:val="1F2937"/>
          <w:sz w:val="22"/>
          <w:szCs w:val="22"/>
        </w:rPr>
        <w:t xml:space="preserve">TSA et TDI coexistent fréquemment : 41 à 55 % des individus avec TSA présentent également un TDI (Baird et coll., 2006, cités dans INSERM 2016) — direction : TSA → TDI. En France, des données issues des registres estiment la présence d'un TDI chez environ la moitié des enfants avec TSA (Delobel, 2013, cité dans INSERM 2016) — ces deux chiffres portent sur des populations différentes (global vs France, adultes+enfants vs enfants) et ne sont pas directement comparables.</w:t>
      </w:r>
    </w:p>
    <w:p>
      <w:pPr>
        <w:spacing w:after="120"/>
      </w:pPr>
    </w:p>
    <w:p>
      <w:pPr>
        <w:spacing w:after="100" w:before="200"/>
      </w:pPr>
      <w:r>
        <w:rPr>
          <w:rFonts w:ascii="Times New Roman" w:cs="Times New Roman" w:eastAsia="Times New Roman" w:hAnsi="Times New Roman"/>
          <w:b/>
          <w:bCs/>
          <w:color w:val="1F2937"/>
          <w:sz w:val="26"/>
          <w:szCs w:val="26"/>
        </w:rPr>
        <w:t xml:space="preserve">4. Le surhandicap</w:t>
      </w:r>
    </w:p>
    <w:p>
      <w:pPr>
        <w:spacing w:after="100"/>
      </w:pPr>
      <w:r>
        <w:rPr>
          <w:rFonts w:ascii="Times New Roman" w:cs="Times New Roman" w:eastAsia="Times New Roman" w:hAnsi="Times New Roman"/>
          <w:color w:val="1F2937"/>
          <w:sz w:val="22"/>
          <w:szCs w:val="22"/>
        </w:rPr>
        <w:t xml:space="preserve">Le surhandicap est un concept de terrain largement utilisé dans le secteur médico-social pour décrire une aggravation progressive d'un handicap de base par une surcharge de troubles comportementaux. Aucune des sources ouvertes pour cette leçon — guide HAS TDI 2022, expertise INSERM 2016 — n'emploie ni ne définit ce terme : il est présenté ici comme un repère de terrain, sans source de rang 1. [Reformulé le 14/09/2026 : « il n'existe pas, à ma connaissance » affirmait plus que ce qui avait été cherché.]</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Le mécanisme est circulaire : un TDI non ou insuffisamment accompagné génère une souffrance qui ne peut pas toujours être verbalisée. Cette souffrance s'exprime par des comportements dits « défis » (automutilation, agressivité, stéréotypies, opposition). Ces comportements suscitent des réponses environnementales qui peuvent aggraver l'isolement ou la contrainte. Sans investigation de la cause, le comportement s'intensifie et le handicap fonctionnel s'aggrave.</w:t>
      </w:r>
    </w:p>
    <w:p>
      <w:pPr>
        <w:spacing w:after="100"/>
      </w:pPr>
      <w:r>
        <w:rPr>
          <w:rFonts w:ascii="Times New Roman" w:cs="Times New Roman" w:eastAsia="Times New Roman" w:hAnsi="Times New Roman"/>
          <w:color w:val="1F2937"/>
          <w:sz w:val="22"/>
          <w:szCs w:val="22"/>
        </w:rPr>
        <w:t xml:space="preserve">Le surhandicap est particulièrement lié au phénomène d'obscurcissement diagnostique : un trouble psychiatrique comorbide non identifié peut être la source première des comportements perturbateurs. L'identifier et le traiter peut interrompre la spirale.</w:t>
      </w:r>
    </w:p>
    <w:p>
      <w:pPr>
        <w:spacing w:after="100"/>
      </w:pPr>
      <w:r>
        <w:rPr>
          <w:rFonts w:ascii="Times New Roman" w:cs="Times New Roman" w:eastAsia="Times New Roman" w:hAnsi="Times New Roman"/>
          <w:color w:val="1F2937"/>
          <w:sz w:val="22"/>
          <w:szCs w:val="22"/>
        </w:rPr>
        <w:t xml:space="preserve">En pratique professionnelle, face à une escalade comportementale chez une personne avec TDI, la question à se poser (et à porter à l'équipe pluridisciplinaire, puis au médecin) est : « Ce comportement est-il la manifestation directe du TDI, ou est-il le signe d'une souffrance liée à un trouble non identifié ? »</w:t>
      </w:r>
    </w:p>
    <w:p>
      <w:pPr>
        <w:spacing w:after="120"/>
      </w:pPr>
    </w:p>
    <w:p>
      <w:pPr>
        <w:spacing w:after="160" w:before="320"/>
      </w:pPr>
      <w:r>
        <w:rPr>
          <w:rFonts w:ascii="Times New Roman" w:cs="Times New Roman" w:eastAsia="Times New Roman" w:hAnsi="Times New Roman"/>
          <w:b/>
          <w:bCs/>
          <w:color w:val="1B3A6B"/>
          <w:sz w:val="30"/>
          <w:szCs w:val="30"/>
        </w:rPr>
        <w:t xml:space="preserve">🛠️ Pratique (80 %)</w:t>
      </w:r>
    </w:p>
    <w:p>
      <w:pPr>
        <w:spacing w:after="100" w:before="200"/>
      </w:pPr>
      <w:r>
        <w:rPr>
          <w:rFonts w:ascii="Times New Roman" w:cs="Times New Roman" w:eastAsia="Times New Roman" w:hAnsi="Times New Roman"/>
          <w:b/>
          <w:bCs/>
          <w:color w:val="1F2937"/>
          <w:sz w:val="26"/>
          <w:szCs w:val="26"/>
        </w:rPr>
        <w:t xml:space="preserve">Exercice 1 — Identifier : TDI ou handicap psychique ?</w:t>
      </w:r>
    </w:p>
    <w:p>
      <w:pPr>
        <w:spacing w:after="100"/>
      </w:pPr>
      <w:r>
        <w:rPr>
          <w:rFonts w:ascii="Times New Roman" w:cs="Times New Roman" w:eastAsia="Times New Roman" w:hAnsi="Times New Roman"/>
          <w:color w:val="1F2937"/>
          <w:sz w:val="22"/>
          <w:szCs w:val="22"/>
        </w:rPr>
        <w:t xml:space="preserve">Lis les deux situations ci-dessous et identifie, pour chacune, les indices qui orientent vers un TDI ou un handicap psychique. Justifie tes réponses.</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Situation A. Mourad, 28 ans, réside en foyer d'hébergement depuis l'âge de 20 ans. Il a eu un parcours scolaire en IME (Institut Médico-Éducatif). Il a des difficultés de lecture et de calcul, comprend les consignes simples mais pas les consignes complexes. Il travaille en ESAT dans un atelier de conditionnement. Son humeur est stable, il n'a pas de suivi psychiatrique. Depuis 2 mois, il refuse d'aller au travail sans raison apparente.</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Situation B. Leïla, 34 ans, a obtenu son baccalauréat et travaillait dans la restauration. Après une période d'isolement progressif à 26 ans, elle a présenté des épisodes de méfiance intense, d'insomnie et de discours désorganisé. Elle a été hospitalisée, un diagnostic de schizophrénie a été posé. Elle vit maintenant en appartement en SAVS. Elle a du mal à se lever le matin, à gérer ses courses et son budget.</w:t>
      </w:r>
    </w:p>
    <w:p>
      <w:pPr>
        <w:spacing w:after="120"/>
      </w:pPr>
    </w:p>
    <w:p>
      <w:pPr>
        <w:spacing w:after="100" w:before="200"/>
      </w:pPr>
      <w:r>
        <w:rPr>
          <w:rFonts w:ascii="Times New Roman" w:cs="Times New Roman" w:eastAsia="Times New Roman" w:hAnsi="Times New Roman"/>
          <w:b/>
          <w:bCs/>
          <w:color w:val="1F2937"/>
          <w:sz w:val="26"/>
          <w:szCs w:val="26"/>
        </w:rPr>
        <w:t xml:space="preserve">Corrigé de l'exercice 1</w:t>
      </w:r>
    </w:p>
    <w:p>
      <w:pPr>
        <w:spacing w:after="100"/>
      </w:pPr>
      <w:r>
        <w:rPr>
          <w:rFonts w:ascii="Times New Roman" w:cs="Times New Roman" w:eastAsia="Times New Roman" w:hAnsi="Times New Roman"/>
          <w:b/>
          <w:bCs/>
          <w:color w:val="1F2937"/>
          <w:sz w:val="22"/>
          <w:szCs w:val="22"/>
        </w:rPr>
        <w:t xml:space="preserve">Situation A — Mourad : indices orientant vers un TDI</w:t>
      </w:r>
    </w:p>
    <w:p>
      <w:pPr>
        <w:pStyle w:val="ListParagraph"/>
        <w:numPr>
          <w:ilvl w:val="0"/>
          <w:numId w:val="1"/>
        </w:numPr>
        <w:spacing w:after="80"/>
      </w:pPr>
      <w:r>
        <w:rPr>
          <w:rFonts w:ascii="Times New Roman" w:cs="Times New Roman" w:eastAsia="Times New Roman" w:hAnsi="Times New Roman"/>
          <w:color w:val="1F2937"/>
          <w:sz w:val="22"/>
          <w:szCs w:val="22"/>
        </w:rPr>
        <w:t xml:space="preserve">Parcours en IME (scolarisation spécialisée) : signe d'un trouble du développement repéré dès l'enfance ;</w:t>
      </w:r>
    </w:p>
    <w:p>
      <w:pPr>
        <w:pStyle w:val="ListParagraph"/>
        <w:numPr>
          <w:ilvl w:val="0"/>
          <w:numId w:val="1"/>
        </w:numPr>
        <w:spacing w:after="80"/>
      </w:pPr>
      <w:r>
        <w:rPr>
          <w:rFonts w:ascii="Times New Roman" w:cs="Times New Roman" w:eastAsia="Times New Roman" w:hAnsi="Times New Roman"/>
          <w:color w:val="1F2937"/>
          <w:sz w:val="22"/>
          <w:szCs w:val="22"/>
        </w:rPr>
        <w:t xml:space="preserve">Difficultés de lecture, calcul, compréhension des consignes complexes : atteinte des fonctions intellectuelles et des habiletés adaptatives conceptuelles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Stabilité de l'humeur, absence de suivi psychiatrique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La modification récente (refus de travailler) peut relever : d'un changement environnemental, d'une souffrance non verbalisée, ou — à ne pas exclure — d'un trouble dépressif comorbide émergent. C'est un signal d'alerte qui justifie une observation approfondie, puis un signalement médical si ça persiste.</w:t>
      </w:r>
    </w:p>
    <w:p>
      <w:pPr>
        <w:spacing w:after="100"/>
      </w:pPr>
      <w:r>
        <w:rPr>
          <w:rFonts w:ascii="Times New Roman" w:cs="Times New Roman" w:eastAsia="Times New Roman" w:hAnsi="Times New Roman"/>
          <w:b/>
          <w:bCs/>
          <w:color w:val="1F2937"/>
          <w:sz w:val="22"/>
          <w:szCs w:val="22"/>
        </w:rPr>
        <w:t xml:space="preserve">Situation B — Leïla : indices orientant vers un handicap psychique</w:t>
      </w:r>
    </w:p>
    <w:p>
      <w:pPr>
        <w:pStyle w:val="ListParagraph"/>
        <w:numPr>
          <w:ilvl w:val="0"/>
          <w:numId w:val="1"/>
        </w:numPr>
        <w:spacing w:after="80"/>
      </w:pPr>
      <w:r>
        <w:rPr>
          <w:rFonts w:ascii="Times New Roman" w:cs="Times New Roman" w:eastAsia="Times New Roman" w:hAnsi="Times New Roman"/>
          <w:color w:val="1F2937"/>
          <w:sz w:val="22"/>
          <w:szCs w:val="22"/>
        </w:rPr>
        <w:t xml:space="preserve">Baccalauréat obtenu, travail en restauration : capacités intellectuelles présentes et mobilisées pendant des années ;</w:t>
      </w:r>
    </w:p>
    <w:p>
      <w:pPr>
        <w:pStyle w:val="ListParagraph"/>
        <w:numPr>
          <w:ilvl w:val="0"/>
          <w:numId w:val="1"/>
        </w:numPr>
        <w:spacing w:after="80"/>
      </w:pPr>
      <w:r>
        <w:rPr>
          <w:rFonts w:ascii="Times New Roman" w:cs="Times New Roman" w:eastAsia="Times New Roman" w:hAnsi="Times New Roman"/>
          <w:color w:val="1F2937"/>
          <w:sz w:val="22"/>
          <w:szCs w:val="22"/>
        </w:rPr>
        <w:t xml:space="preserve">Rupture biographique à 26 ans, après une période de fonctionnement normal : le trouble est apparu sur un développement préalablement intact ;</w:t>
      </w:r>
    </w:p>
    <w:p>
      <w:pPr>
        <w:pStyle w:val="ListParagraph"/>
        <w:numPr>
          <w:ilvl w:val="0"/>
          <w:numId w:val="1"/>
        </w:numPr>
        <w:spacing w:after="80"/>
      </w:pPr>
      <w:r>
        <w:rPr>
          <w:rFonts w:ascii="Times New Roman" w:cs="Times New Roman" w:eastAsia="Times New Roman" w:hAnsi="Times New Roman"/>
          <w:color w:val="1F2937"/>
          <w:sz w:val="22"/>
          <w:szCs w:val="22"/>
        </w:rPr>
        <w:t xml:space="preserve">Diagnostic de schizophrénie posé par un médecin psychiatre : trouble psychiatrique reconnu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difficultés actuelles (lever, courses, budget) ne sont pas liées à une déficience intellectuelle mais à l'incapacité de mobiliser ses capacités — la caractéristique centrale du handicap psychique.</w:t>
      </w:r>
    </w:p>
    <w:p>
      <w:pPr>
        <w:spacing w:after="120"/>
      </w:pPr>
    </w:p>
    <w:p>
      <w:pPr>
        <w:spacing w:after="100" w:before="200"/>
      </w:pPr>
      <w:r>
        <w:rPr>
          <w:rFonts w:ascii="Times New Roman" w:cs="Times New Roman" w:eastAsia="Times New Roman" w:hAnsi="Times New Roman"/>
          <w:b/>
          <w:bCs/>
          <w:color w:val="1F2937"/>
          <w:sz w:val="26"/>
          <w:szCs w:val="26"/>
        </w:rPr>
        <w:t xml:space="preserve">Exercice 2 — Observer sans diagnostiquer : comportements défis et surhandicap</w:t>
      </w:r>
    </w:p>
    <w:p>
      <w:pPr>
        <w:spacing w:after="100"/>
      </w:pPr>
      <w:r>
        <w:rPr>
          <w:rFonts w:ascii="Times New Roman" w:cs="Times New Roman" w:eastAsia="Times New Roman" w:hAnsi="Times New Roman"/>
          <w:color w:val="1F2937"/>
          <w:sz w:val="22"/>
          <w:szCs w:val="22"/>
        </w:rPr>
        <w:t xml:space="preserve">Dans ce tableau, chaque comportement observé est listé. Pour chacun, coche les questions que tu te poserais en tant que professionnel (sans diagnostiquer), puis note ce que tu ferais concrètement.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Comportement observé</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Questions à se poser (professionnel)</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Action professionnelle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Automutilation soudaine (griffures, coups contre le mur) chez une personne habituellement calme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Changement récent dans l'environnement ? Douleur physique non exprimée ? Début de dépression ou d'anxiété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Observer, documenter, en parler avec l'équipe, signaler au médecin.</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Refus alimentaire progressif sur 3 semaines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Trouble somatique ? Effet secondaire médicamenteux ? Trouble dépressif ? Signal de détresse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Signaler au médecin. Documenter les repas. Chercher un sens.</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Agitation nocturne, cris, difficultés à dormir</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Trouble du sommeil primaire ? Anxiété ? Hallucinations nocturnes ? Facteur environnemental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Observer la régularité, la fréquence. Signaler. Ne pas minimiser.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Comportement d'opposition soudain envers un éducateur en particulier</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Conflit relationnel ? Peur non exprimée ? Événement de vie difficile ? Maltraitance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Échange d'équipe. Écoute de la personne. Peut être signalé en réunion pluridisciplinaire.</w:t>
            </w:r>
          </w:p>
        </w:tc>
      </w:tr>
    </w:tbl>
    <w:p>
      <w:pPr>
        <w:shd w:fill="F3F4F6" w:val="clear"/>
        <w:spacing w:after="120" w:before="120"/>
        <w:ind w:left="720" w:right="360"/>
      </w:pPr>
      <w:r>
        <w:rPr>
          <w:rFonts w:ascii="Times New Roman" w:cs="Times New Roman" w:eastAsia="Times New Roman" w:hAnsi="Times New Roman"/>
          <w:i/>
          <w:iCs/>
          <w:color w:val="1B3A6B"/>
          <w:sz w:val="22"/>
          <w:szCs w:val="22"/>
        </w:rPr>
        <w:t xml:space="preserve">À retenir : la posture professionnelle consiste à OBSERVER et SIGNALER, pas à interpréter ni diagnostiquer. Un comportement inexpliqué est toujours un signal.</w:t>
      </w:r>
    </w:p>
    <w:p>
      <w:pPr>
        <w:spacing w:after="120"/>
      </w:pPr>
    </w:p>
    <w:p>
      <w:pPr>
        <w:spacing w:after="100" w:before="200"/>
      </w:pPr>
      <w:r>
        <w:rPr>
          <w:rFonts w:ascii="Times New Roman" w:cs="Times New Roman" w:eastAsia="Times New Roman" w:hAnsi="Times New Roman"/>
          <w:b/>
          <w:bCs/>
          <w:color w:val="1F2937"/>
          <w:sz w:val="26"/>
          <w:szCs w:val="26"/>
        </w:rPr>
        <w:t xml:space="preserve">Exercice 3 — Les signaux d'alerte du double diagnostic</w:t>
      </w:r>
    </w:p>
    <w:p>
      <w:pPr>
        <w:spacing w:after="100"/>
      </w:pPr>
      <w:r>
        <w:rPr>
          <w:rFonts w:ascii="Times New Roman" w:cs="Times New Roman" w:eastAsia="Times New Roman" w:hAnsi="Times New Roman"/>
          <w:color w:val="1F2937"/>
          <w:sz w:val="22"/>
          <w:szCs w:val="22"/>
        </w:rPr>
        <w:t xml:space="preserve">Lis les situations suivantes et identifie le(s) signal(aux) qui justifie(nt) de solliciter une évaluation psychiatrique spécialisée.</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Situation 1. Benjamin, TDI modéré, 30 ans. Depuis 6 semaines, il pleure souvent sans raison apparente, dort mal, refuse ses activités préférées, et répète « j'en peux plus ». Son poids a baissé de 4 kg.</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Situation 2. Amina, TDI léger, 22 ans. Elle décrit des voix qui lui donnent des ordres. Son éducatrice a d'abord pensé à des « bizarreries liées à sa déficience ».</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Situation 3. Jules, TDI sévère, 45 ans. Il présente depuis un mois des comportements d'automutilation (se frappe la tête) qui n'ont jamais existé auparavant. Aucun changement environnemental n'a été identifié.</w:t>
      </w:r>
    </w:p>
    <w:p>
      <w:pPr>
        <w:spacing w:after="120"/>
      </w:pPr>
    </w:p>
    <w:p>
      <w:pPr>
        <w:spacing w:after="100" w:before="200"/>
      </w:pPr>
      <w:r>
        <w:rPr>
          <w:rFonts w:ascii="Times New Roman" w:cs="Times New Roman" w:eastAsia="Times New Roman" w:hAnsi="Times New Roman"/>
          <w:b/>
          <w:bCs/>
          <w:color w:val="1F2937"/>
          <w:sz w:val="26"/>
          <w:szCs w:val="26"/>
        </w:rPr>
        <w:t xml:space="preserve">Corrigé de l'exercice 3</w:t>
      </w:r>
    </w:p>
    <w:p>
      <w:pPr>
        <w:spacing w:after="100"/>
      </w:pPr>
      <w:r>
        <w:rPr>
          <w:rFonts w:ascii="Times New Roman" w:cs="Times New Roman" w:eastAsia="Times New Roman" w:hAnsi="Times New Roman"/>
          <w:b/>
          <w:bCs/>
          <w:color w:val="1F2937"/>
          <w:sz w:val="22"/>
          <w:szCs w:val="22"/>
        </w:rPr>
        <w:t xml:space="preserve">Situation 1 — Benjamin</w:t>
      </w:r>
    </w:p>
    <w:p>
      <w:pPr>
        <w:pStyle w:val="ListParagraph"/>
        <w:numPr>
          <w:ilvl w:val="0"/>
          <w:numId w:val="1"/>
        </w:numPr>
        <w:spacing w:after="80"/>
      </w:pPr>
      <w:r>
        <w:rPr>
          <w:rFonts w:ascii="Times New Roman" w:cs="Times New Roman" w:eastAsia="Times New Roman" w:hAnsi="Times New Roman"/>
          <w:color w:val="1F2937"/>
          <w:sz w:val="22"/>
          <w:szCs w:val="22"/>
        </w:rPr>
        <w:t xml:space="preserve">Pleurs sans raison apparente, insomnie, anhédonie (refus des activités préférées), verbalisation de détresse, perte de poids : tableau évocateur d'un épisode dépressif ;</w:t>
      </w:r>
    </w:p>
    <w:p>
      <w:pPr>
        <w:pStyle w:val="ListParagraph"/>
        <w:numPr>
          <w:ilvl w:val="0"/>
          <w:numId w:val="1"/>
        </w:numPr>
        <w:spacing w:after="80"/>
      </w:pPr>
      <w:r>
        <w:rPr>
          <w:rFonts w:ascii="Times New Roman" w:cs="Times New Roman" w:eastAsia="Times New Roman" w:hAnsi="Times New Roman"/>
          <w:color w:val="1F2937"/>
          <w:sz w:val="22"/>
          <w:szCs w:val="22"/>
        </w:rPr>
        <w:t xml:space="preserve">Signal d'alerte fort : ces signes sont suffisamment stables et groupés pour dépasser la variabilité habituelle. → Transmission au médecin en urgence relative.</w:t>
      </w:r>
    </w:p>
    <w:p>
      <w:pPr>
        <w:spacing w:after="100"/>
      </w:pPr>
      <w:r>
        <w:rPr>
          <w:rFonts w:ascii="Times New Roman" w:cs="Times New Roman" w:eastAsia="Times New Roman" w:hAnsi="Times New Roman"/>
          <w:b/>
          <w:bCs/>
          <w:color w:val="1F2937"/>
          <w:sz w:val="22"/>
          <w:szCs w:val="22"/>
        </w:rPr>
        <w:t xml:space="preserve">Situation 2 — Amina</w:t>
      </w:r>
    </w:p>
    <w:p>
      <w:pPr>
        <w:pStyle w:val="ListParagraph"/>
        <w:numPr>
          <w:ilvl w:val="0"/>
          <w:numId w:val="1"/>
        </w:numPr>
        <w:spacing w:after="80"/>
      </w:pPr>
      <w:r>
        <w:rPr>
          <w:rFonts w:ascii="Times New Roman" w:cs="Times New Roman" w:eastAsia="Times New Roman" w:hAnsi="Times New Roman"/>
          <w:color w:val="1F2937"/>
          <w:sz w:val="22"/>
          <w:szCs w:val="22"/>
        </w:rPr>
        <w:t xml:space="preserve">Les voix avec injonctions (hallucinations auditives commandantes) sont un signal psychiatrique sérieux, quel que soit le niveau de TDI ;</w:t>
      </w:r>
    </w:p>
    <w:p>
      <w:pPr>
        <w:pStyle w:val="ListParagraph"/>
        <w:numPr>
          <w:ilvl w:val="0"/>
          <w:numId w:val="1"/>
        </w:numPr>
        <w:spacing w:after="80"/>
      </w:pPr>
      <w:r>
        <w:rPr>
          <w:rFonts w:ascii="Times New Roman" w:cs="Times New Roman" w:eastAsia="Times New Roman" w:hAnsi="Times New Roman"/>
          <w:color w:val="1F2937"/>
          <w:sz w:val="22"/>
          <w:szCs w:val="22"/>
        </w:rPr>
        <w:t xml:space="preserve">L'obscurcissement diagnostique est ici illustré : l'éducatrice a failli normaliser un symptôme psychotique en l'attribuant au TDI — c'est exactement le phénomène décrit par Reiss et coll., 1982. → Évaluation psychiatrique d'urgence.</w:t>
      </w:r>
    </w:p>
    <w:p>
      <w:pPr>
        <w:spacing w:after="100"/>
      </w:pPr>
      <w:r>
        <w:rPr>
          <w:rFonts w:ascii="Times New Roman" w:cs="Times New Roman" w:eastAsia="Times New Roman" w:hAnsi="Times New Roman"/>
          <w:b/>
          <w:bCs/>
          <w:color w:val="1F2937"/>
          <w:sz w:val="22"/>
          <w:szCs w:val="22"/>
        </w:rPr>
        <w:t xml:space="preserve">Situation 3 — Jules</w:t>
      </w:r>
    </w:p>
    <w:p>
      <w:pPr>
        <w:pStyle w:val="ListParagraph"/>
        <w:numPr>
          <w:ilvl w:val="0"/>
          <w:numId w:val="1"/>
        </w:numPr>
        <w:spacing w:after="80"/>
      </w:pPr>
      <w:r>
        <w:rPr>
          <w:rFonts w:ascii="Times New Roman" w:cs="Times New Roman" w:eastAsia="Times New Roman" w:hAnsi="Times New Roman"/>
          <w:color w:val="1F2937"/>
          <w:sz w:val="22"/>
          <w:szCs w:val="22"/>
        </w:rPr>
        <w:t xml:space="preserve">Apparition soudaine d'automutilation sans changement environnemental identifié chez une personne avec TDI sévère, qui ne dispose pas des mots pour exprimer sa souffrance : ce comportement peut signaler une douleur physique (dentaire, digestive, ORL) ou un trouble psychiatrique émergent ;</w:t>
      </w:r>
    </w:p>
    <w:p>
      <w:pPr>
        <w:pStyle w:val="ListParagraph"/>
        <w:numPr>
          <w:ilvl w:val="0"/>
          <w:numId w:val="1"/>
        </w:numPr>
        <w:spacing w:after="80"/>
      </w:pPr>
      <w:r>
        <w:rPr>
          <w:rFonts w:ascii="Times New Roman" w:cs="Times New Roman" w:eastAsia="Times New Roman" w:hAnsi="Times New Roman"/>
          <w:color w:val="1F2937"/>
          <w:sz w:val="22"/>
          <w:szCs w:val="22"/>
        </w:rPr>
        <w:t xml:space="preserve">→ Bilan somatique d'abord, puis évaluation psychiatrique si aucune cause physique n'est identifiée.</w:t>
      </w:r>
    </w:p>
    <w:p>
      <w:pPr>
        <w:spacing w:after="120"/>
      </w:pPr>
    </w:p>
    <w:p>
      <w:pPr>
        <w:spacing w:after="100" w:before="200"/>
      </w:pPr>
      <w:r>
        <w:rPr>
          <w:rFonts w:ascii="Times New Roman" w:cs="Times New Roman" w:eastAsia="Times New Roman" w:hAnsi="Times New Roman"/>
          <w:b/>
          <w:bCs/>
          <w:color w:val="1F2937"/>
          <w:sz w:val="26"/>
          <w:szCs w:val="26"/>
        </w:rPr>
        <w:t xml:space="preserve">🎯 Challenge — Vignette complexe</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Serge, 38 ans, vit en foyer d'hébergement depuis 12 ans. Il présente un TDI léger diagnostiqué dans l'enfance. Il travaille en ESAT depuis 8 ans dans un poste d'entretien des espaces verts qu'il apprécie. Depuis 2 mois, les comportements suivants ont été notés par l'équipe : il arrive fatigué le matin, répond agressivement à des demandes habituelles, a deux fois renversé volontairement du matériel, a refusé de participer à une sortie qu'il anticipait habituellement avec plaisir. Il dit parfois « ça sert à rien » ou « tout le monde s'en fout de moi ». Une éducatrice pense que « c'est son TDI qui s'aggrave ».</w:t>
      </w:r>
    </w:p>
    <w:p>
      <w:pPr>
        <w:spacing w:after="100"/>
      </w:pPr>
      <w:r>
        <w:rPr>
          <w:rFonts w:ascii="Times New Roman" w:cs="Times New Roman" w:eastAsia="Times New Roman" w:hAnsi="Times New Roman"/>
          <w:color w:val="1F2937"/>
          <w:sz w:val="22"/>
          <w:szCs w:val="22"/>
        </w:rPr>
        <w:t xml:space="preserve">Analyse la situation selon les axes suivants : (1) Quels éléments ne s'expliquent pas facilement par le TDI seul ? (2) Quel(s) trouble(s) doit-on envisager d'évaluer ? (3) Y a-t-il un risque de surhandicap ? (4) Que fais-tu en tant que professionnel ?</w:t>
      </w:r>
    </w:p>
    <w:p>
      <w:pPr>
        <w:spacing w:after="120"/>
      </w:pPr>
    </w:p>
    <w:p>
      <w:pPr>
        <w:spacing w:after="100" w:before="200"/>
      </w:pPr>
      <w:r>
        <w:rPr>
          <w:rFonts w:ascii="Times New Roman" w:cs="Times New Roman" w:eastAsia="Times New Roman" w:hAnsi="Times New Roman"/>
          <w:b/>
          <w:bCs/>
          <w:color w:val="1F2937"/>
          <w:sz w:val="26"/>
          <w:szCs w:val="26"/>
        </w:rPr>
        <w:t xml:space="preserve">Corrigé du challenge</w:t>
      </w:r>
    </w:p>
    <w:p>
      <w:pPr>
        <w:spacing w:after="100"/>
      </w:pPr>
      <w:r>
        <w:rPr>
          <w:rFonts w:ascii="Times New Roman" w:cs="Times New Roman" w:eastAsia="Times New Roman" w:hAnsi="Times New Roman"/>
          <w:b/>
          <w:bCs/>
          <w:color w:val="1F2937"/>
          <w:sz w:val="22"/>
          <w:szCs w:val="22"/>
        </w:rPr>
        <w:t xml:space="preserve">(1) Éléments difficiles à expliquer par le TDI seul</w:t>
      </w:r>
    </w:p>
    <w:p>
      <w:pPr>
        <w:pStyle w:val="ListParagraph"/>
        <w:numPr>
          <w:ilvl w:val="0"/>
          <w:numId w:val="1"/>
        </w:numPr>
        <w:spacing w:after="80"/>
      </w:pPr>
      <w:r>
        <w:rPr>
          <w:rFonts w:ascii="Times New Roman" w:cs="Times New Roman" w:eastAsia="Times New Roman" w:hAnsi="Times New Roman"/>
          <w:color w:val="1F2937"/>
          <w:sz w:val="22"/>
          <w:szCs w:val="22"/>
        </w:rPr>
        <w:t xml:space="preserve">Le TDI est stable depuis l'enfance : une aggravation soudaine à 38 ans n'est pas attendue sans cause nouvelle ;</w:t>
      </w:r>
    </w:p>
    <w:p>
      <w:pPr>
        <w:pStyle w:val="ListParagraph"/>
        <w:numPr>
          <w:ilvl w:val="0"/>
          <w:numId w:val="1"/>
        </w:numPr>
        <w:spacing w:after="80"/>
      </w:pPr>
      <w:r>
        <w:rPr>
          <w:rFonts w:ascii="Times New Roman" w:cs="Times New Roman" w:eastAsia="Times New Roman" w:hAnsi="Times New Roman"/>
          <w:color w:val="1F2937"/>
          <w:sz w:val="22"/>
          <w:szCs w:val="22"/>
        </w:rPr>
        <w:t xml:space="preserve">La rupture avec le comportement antérieur (poste apprécié, sorties anticipées positivement) est un signal de changement d'état mental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verbalisations (« ça sert à rien », « tout le monde s'en fout ») sont des propos qui expriment une souffrance subjective, même avec un TDI léger.</w:t>
      </w:r>
    </w:p>
    <w:p>
      <w:pPr>
        <w:spacing w:after="100"/>
      </w:pPr>
      <w:r>
        <w:rPr>
          <w:rFonts w:ascii="Times New Roman" w:cs="Times New Roman" w:eastAsia="Times New Roman" w:hAnsi="Times New Roman"/>
          <w:b/>
          <w:bCs/>
          <w:color w:val="1F2937"/>
          <w:sz w:val="22"/>
          <w:szCs w:val="22"/>
        </w:rPr>
        <w:t xml:space="preserve">(2) Troubles à envisager pour évaluation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Épisode dépressif : anhédonie (perte de plaisir), fatigue, anhédonie sociale, propos négatifs — tous présents ;</w:t>
      </w:r>
    </w:p>
    <w:p>
      <w:pPr>
        <w:pStyle w:val="ListParagraph"/>
        <w:numPr>
          <w:ilvl w:val="0"/>
          <w:numId w:val="1"/>
        </w:numPr>
        <w:spacing w:after="80"/>
      </w:pPr>
      <w:r>
        <w:rPr>
          <w:rFonts w:ascii="Times New Roman" w:cs="Times New Roman" w:eastAsia="Times New Roman" w:hAnsi="Times New Roman"/>
          <w:color w:val="1F2937"/>
          <w:sz w:val="22"/>
          <w:szCs w:val="22"/>
        </w:rPr>
        <w:t xml:space="preserve">Trouble anxieux : l'agressivité peut être une réaction défensive à une anxiété sous-jacente ;</w:t>
      </w:r>
    </w:p>
    <w:p>
      <w:pPr>
        <w:pStyle w:val="ListParagraph"/>
        <w:numPr>
          <w:ilvl w:val="0"/>
          <w:numId w:val="1"/>
        </w:numPr>
        <w:spacing w:after="80"/>
      </w:pPr>
      <w:r>
        <w:rPr>
          <w:rFonts w:ascii="Times New Roman" w:cs="Times New Roman" w:eastAsia="Times New Roman" w:hAnsi="Times New Roman"/>
          <w:color w:val="1F2937"/>
          <w:sz w:val="22"/>
          <w:szCs w:val="22"/>
        </w:rPr>
        <w:t xml:space="preserve">Cause somatique : douleur chronique, trouble du sommeil d'origine médicale — à écarter en premier.</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Il ne s'agit pas d'un diagnostic : c'est un repérage de signaux qui justifie une transmission médicale structurée. Le médecin ou le psychiatre posera ou écarte le diagnostic.</w:t>
      </w:r>
    </w:p>
    <w:p>
      <w:pPr>
        <w:spacing w:after="100"/>
      </w:pPr>
      <w:r>
        <w:rPr>
          <w:rFonts w:ascii="Times New Roman" w:cs="Times New Roman" w:eastAsia="Times New Roman" w:hAnsi="Times New Roman"/>
          <w:b/>
          <w:bCs/>
          <w:color w:val="1F2937"/>
          <w:sz w:val="22"/>
          <w:szCs w:val="22"/>
        </w:rPr>
        <w:t xml:space="preserve">(3) Risque de surhandicap</w:t>
      </w:r>
    </w:p>
    <w:p>
      <w:pPr>
        <w:pStyle w:val="ListParagraph"/>
        <w:numPr>
          <w:ilvl w:val="0"/>
          <w:numId w:val="1"/>
        </w:numPr>
        <w:spacing w:after="80"/>
      </w:pPr>
      <w:r>
        <w:rPr>
          <w:rFonts w:ascii="Times New Roman" w:cs="Times New Roman" w:eastAsia="Times New Roman" w:hAnsi="Times New Roman"/>
          <w:color w:val="1F2937"/>
          <w:sz w:val="22"/>
          <w:szCs w:val="22"/>
        </w:rPr>
        <w:t xml:space="preserve">Oui : si le trouble dépressif (ou la cause de souffrance) n'est pas identifié et traité, les comportements d'agressivité et d'opposition risquent de s'amplifier, de générer des réponses restrictives (sanctions, isolement), ce qui aggraverait l'état psychologique de Serge ;</w:t>
      </w:r>
    </w:p>
    <w:p>
      <w:pPr>
        <w:pStyle w:val="ListParagraph"/>
        <w:numPr>
          <w:ilvl w:val="0"/>
          <w:numId w:val="1"/>
        </w:numPr>
        <w:spacing w:after="80"/>
      </w:pPr>
      <w:r>
        <w:rPr>
          <w:rFonts w:ascii="Times New Roman" w:cs="Times New Roman" w:eastAsia="Times New Roman" w:hAnsi="Times New Roman"/>
          <w:color w:val="1F2937"/>
          <w:sz w:val="22"/>
          <w:szCs w:val="22"/>
        </w:rPr>
        <w:t xml:space="preserve">L'interprétation de l'éducatrice (« c'est son TDI qui s'aggrave ») est un exemple classique d'obscurcissement diagnostique — elle risque de normaliser une situation qui nécessite une intervention.</w:t>
      </w:r>
    </w:p>
    <w:p>
      <w:pPr>
        <w:spacing w:after="100"/>
      </w:pPr>
      <w:r>
        <w:rPr>
          <w:rFonts w:ascii="Times New Roman" w:cs="Times New Roman" w:eastAsia="Times New Roman" w:hAnsi="Times New Roman"/>
          <w:b/>
          <w:bCs/>
          <w:color w:val="1F2937"/>
          <w:sz w:val="22"/>
          <w:szCs w:val="22"/>
        </w:rPr>
        <w:t xml:space="preserve">(4) Action professionnelle</w:t>
      </w:r>
    </w:p>
    <w:p>
      <w:pPr>
        <w:pStyle w:val="ListParagraph"/>
        <w:numPr>
          <w:ilvl w:val="0"/>
          <w:numId w:val="1"/>
        </w:numPr>
        <w:spacing w:after="80"/>
      </w:pPr>
      <w:r>
        <w:rPr>
          <w:rFonts w:ascii="Times New Roman" w:cs="Times New Roman" w:eastAsia="Times New Roman" w:hAnsi="Times New Roman"/>
          <w:color w:val="1F2937"/>
          <w:sz w:val="22"/>
          <w:szCs w:val="22"/>
        </w:rPr>
        <w:t xml:space="preserve">Documenter précisément les comportements observés avec dates, contextes et verbatims ;</w:t>
      </w:r>
    </w:p>
    <w:p>
      <w:pPr>
        <w:pStyle w:val="ListParagraph"/>
        <w:numPr>
          <w:ilvl w:val="0"/>
          <w:numId w:val="1"/>
        </w:numPr>
        <w:spacing w:after="80"/>
      </w:pPr>
      <w:r>
        <w:rPr>
          <w:rFonts w:ascii="Times New Roman" w:cs="Times New Roman" w:eastAsia="Times New Roman" w:hAnsi="Times New Roman"/>
          <w:color w:val="1F2937"/>
          <w:sz w:val="22"/>
          <w:szCs w:val="22"/>
        </w:rPr>
        <w:t xml:space="preserve">En parler en réunion d'équipe et avec son cadre direct ;</w:t>
      </w:r>
    </w:p>
    <w:p>
      <w:pPr>
        <w:pStyle w:val="ListParagraph"/>
        <w:numPr>
          <w:ilvl w:val="0"/>
          <w:numId w:val="1"/>
        </w:numPr>
        <w:spacing w:after="80"/>
      </w:pPr>
      <w:r>
        <w:rPr>
          <w:rFonts w:ascii="Times New Roman" w:cs="Times New Roman" w:eastAsia="Times New Roman" w:hAnsi="Times New Roman"/>
          <w:color w:val="1F2937"/>
          <w:sz w:val="22"/>
          <w:szCs w:val="22"/>
        </w:rPr>
        <w:t xml:space="preserve">Transmettre au médecin référent de l'établissement ou au psychiatre partenaire, avec les éléments observés ;</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Maintenir le lien de confiance avec Serge sans réduire ses activités de manière préventive.</w:t>
      </w:r>
    </w:p>
    <w:p>
      <w:pPr>
        <w:spacing w:after="120"/>
      </w:pPr>
    </w:p>
    <w:p>
      <w:pPr>
        <w:spacing w:after="160" w:before="320"/>
      </w:pPr>
      <w:r>
        <w:rPr>
          <w:rFonts w:ascii="Times New Roman" w:cs="Times New Roman" w:eastAsia="Times New Roman" w:hAnsi="Times New Roman"/>
          <w:b/>
          <w:bCs/>
          <w:color w:val="1B3A6B"/>
          <w:sz w:val="30"/>
          <w:szCs w:val="30"/>
        </w:rPr>
        <w:t xml:space="preserve">🌉 Pont pro</w:t>
      </w:r>
    </w:p>
    <w:p>
      <w:pPr>
        <w:spacing w:after="100"/>
      </w:pPr>
      <w:r>
        <w:rPr>
          <w:rFonts w:ascii="Times New Roman" w:cs="Times New Roman" w:eastAsia="Times New Roman" w:hAnsi="Times New Roman"/>
          <w:color w:val="1F2937"/>
          <w:sz w:val="22"/>
          <w:szCs w:val="22"/>
        </w:rPr>
        <w:t xml:space="preserve">Trois recommandations de référence encadrent directement ce thème en ESSMS [la troisième ajoutée le 14/09/2026]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HAS, </w:t>
      </w:r>
      <w:r>
        <w:rPr>
          <w:rFonts w:ascii="Times New Roman" w:cs="Times New Roman" w:eastAsia="Times New Roman" w:hAnsi="Times New Roman"/>
          <w:i/>
          <w:iCs/>
          <w:color w:val="1F2937"/>
          <w:sz w:val="22"/>
          <w:szCs w:val="22"/>
        </w:rPr>
        <w:t xml:space="preserve">« L'accompagnement de la personne présentant un trouble du développement intellectuel (volet 1) »</w:t>
      </w:r>
      <w:r>
        <w:rPr>
          <w:rFonts w:ascii="Times New Roman" w:cs="Times New Roman" w:eastAsia="Times New Roman" w:hAnsi="Times New Roman"/>
          <w:color w:val="1F2937"/>
          <w:sz w:val="22"/>
          <w:szCs w:val="22"/>
        </w:rPr>
        <w:t xml:space="preserve">, validé par la CSMS le 5 juillet 2022 — ce guide porte sur l'évaluation pluridisciplinaire, les troubles associés et les adaptations de l'accompagnement.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ANESM, </w:t>
      </w:r>
      <w:r>
        <w:rPr>
          <w:rFonts w:ascii="Times New Roman" w:cs="Times New Roman" w:eastAsia="Times New Roman" w:hAnsi="Times New Roman"/>
          <w:i/>
          <w:iCs/>
          <w:color w:val="1F2937"/>
          <w:sz w:val="22"/>
          <w:szCs w:val="22"/>
        </w:rPr>
        <w:t xml:space="preserve">« Spécificités de l'accompagnement des adultes handicapés psychiques »</w:t>
      </w:r>
      <w:r>
        <w:rPr>
          <w:rFonts w:ascii="Times New Roman" w:cs="Times New Roman" w:eastAsia="Times New Roman" w:hAnsi="Times New Roman"/>
          <w:color w:val="1F2937"/>
          <w:sz w:val="22"/>
          <w:szCs w:val="22"/>
        </w:rPr>
        <w:t xml:space="preserve">, 18 décembre 2015 — reprise HAS en 2018 — qui identifie les pratiques professionnelles adaptées aux personnes adultes présentant une schizophrénie ou un trouble bipolaire sévère.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HAS, </w:t>
      </w:r>
      <w:r>
        <w:rPr>
          <w:rFonts w:ascii="Times New Roman" w:cs="Times New Roman" w:eastAsia="Times New Roman" w:hAnsi="Times New Roman"/>
          <w:i/>
          <w:iCs/>
          <w:color w:val="1F2937"/>
          <w:sz w:val="22"/>
          <w:szCs w:val="22"/>
        </w:rPr>
        <w:t xml:space="preserve">« L'accompagnement de la personne présentant un trouble du développement intellectuel (volet 2) »</w:t>
      </w:r>
      <w:r>
        <w:rPr>
          <w:rFonts w:ascii="Times New Roman" w:cs="Times New Roman" w:eastAsia="Times New Roman" w:hAnsi="Times New Roman"/>
          <w:color w:val="1F2937"/>
          <w:sz w:val="22"/>
          <w:szCs w:val="22"/>
        </w:rPr>
        <w:t xml:space="preserve">, validé le 16 septembre 2025, mis en ligne le 18 novembre 2025 — scolarité, travail et vie active, loisirs et temps libre : le volet qui concerne directement les travailleurs d'ESAT comme Mourad et Serge. </w:t>
      </w:r>
      <w:hyperlink w:history="1" r:id="rIdcorr1409v2">
        <w:r>
          <w:rPr>
            <w:rFonts w:ascii="Times New Roman" w:cs="Times New Roman" w:eastAsia="Times New Roman" w:hAnsi="Times New Roman"/>
            <w:color w:val="1155CC"/>
            <w:sz w:val="22"/>
            <w:szCs w:val="22"/>
            <w:u w:val="single"/>
          </w:rPr>
          <w:t xml:space="preserve">Page HAS du volet 2</w:t>
        </w:r>
      </w:hyperlink>
    </w:p>
    <w:p>
      <w:pPr>
        <w:spacing w:after="100"/>
      </w:pPr>
      <w:r>
        <w:rPr>
          <w:rFonts w:ascii="Times New Roman" w:cs="Times New Roman" w:eastAsia="Times New Roman" w:hAnsi="Times New Roman"/>
          <w:color w:val="1F2937"/>
          <w:sz w:val="22"/>
          <w:szCs w:val="22"/>
        </w:rPr>
        <w:t xml:space="preserve">En tant que chef de service, le principal levier est de construire une culture d'équipe qui distingue le comportement-signal du comportement-trait : former les professionnels à l'observation structurée (ce qu'ils voient, depuis quand, dans quel contexte) plutôt qu'à l'interprétation, et à savoir quand et comment transmettre à un médecin.</w:t>
      </w:r>
    </w:p>
    <w:p>
      <w:pPr>
        <w:spacing w:after="120"/>
      </w:pPr>
    </w:p>
    <w:p>
      <w:pPr>
        <w:spacing w:after="160" w:before="320"/>
      </w:pPr>
      <w:r>
        <w:rPr>
          <w:rFonts w:ascii="Times New Roman" w:cs="Times New Roman" w:eastAsia="Times New Roman" w:hAnsi="Times New Roman"/>
          <w:b/>
          <w:bCs/>
          <w:color w:val="1B3A6B"/>
          <w:sz w:val="30"/>
          <w:szCs w:val="30"/>
        </w:rPr>
        <w:t xml:space="preserve">📚 Ressources</w:t>
      </w:r>
    </w:p>
    <w:p>
      <w:pPr>
        <w:spacing w:after="100"/>
      </w:pPr>
      <w:r>
        <w:rPr>
          <w:rFonts w:ascii="Times New Roman" w:cs="Times New Roman" w:eastAsia="Times New Roman" w:hAnsi="Times New Roman"/>
          <w:color w:val="1F2937"/>
          <w:sz w:val="22"/>
          <w:szCs w:val="22"/>
        </w:rPr>
        <w:t xml:space="preserve">→ </w:t>
      </w:r>
      <w:hyperlink w:history="1" r:id="rId-tshkefyfux2-t4brurwz">
        <w:r>
          <w:rPr>
            <w:rFonts w:ascii="Times New Roman" w:cs="Times New Roman" w:eastAsia="Times New Roman" w:hAnsi="Times New Roman"/>
            <w:color w:val="1155CC"/>
            <w:sz w:val="22"/>
            <w:szCs w:val="22"/>
            <w:u w:val="single"/>
          </w:rPr>
          <w:t xml:space="preserve">HAS (juillet 2022) — L'accompagnement de la personne présentant un trouble du développement intellectuel (volet 1) [PDF]</w:t>
        </w:r>
      </w:hyperlink>
    </w:p>
    <w:p>
      <w:pPr>
        <w:spacing w:after="100"/>
      </w:pPr>
      <w:r>
        <w:rPr>
          <w:rFonts w:ascii="Times New Roman" w:cs="Times New Roman" w:eastAsia="Times New Roman" w:hAnsi="Times New Roman"/>
          <w:color w:val="1F2937"/>
          <w:sz w:val="22"/>
          <w:szCs w:val="22"/>
        </w:rPr>
        <w:t xml:space="preserve">→ </w:t>
      </w:r>
      <w:hyperlink w:history="1" r:id="rIdcorr1409v2">
        <w:r>
          <w:rPr>
            <w:rFonts w:ascii="Times New Roman" w:cs="Times New Roman" w:eastAsia="Times New Roman" w:hAnsi="Times New Roman"/>
            <w:color w:val="1155CC"/>
            <w:sz w:val="22"/>
            <w:szCs w:val="22"/>
            <w:u w:val="single"/>
          </w:rPr>
          <w:t xml:space="preserve">HAS (validé le 16/09/2025, en ligne le 18/11/2025) — L'accompagnement de la personne présentant un trouble du développement intellectuel (volet 2) : scolarité, travail, loisirs [ajouté le 14/09/2026]</w:t>
        </w:r>
      </w:hyperlink>
    </w:p>
    <w:p>
      <w:pPr>
        <w:spacing w:after="100"/>
      </w:pPr>
      <w:r>
        <w:rPr>
          <w:rFonts w:ascii="Times New Roman" w:cs="Times New Roman" w:eastAsia="Times New Roman" w:hAnsi="Times New Roman"/>
          <w:color w:val="1F2937"/>
          <w:sz w:val="22"/>
          <w:szCs w:val="22"/>
        </w:rPr>
        <w:t xml:space="preserve">→ </w:t>
      </w:r>
      <w:hyperlink w:history="1" r:id="rIdPdfTdi2Synth">
        <w:r>
          <w:rPr>
            <w:rFonts w:ascii="Times New Roman" w:cs="Times New Roman" w:eastAsia="Times New Roman" w:hAnsi="Times New Roman"/>
            <w:color w:val="1155CC"/>
            <w:sz w:val="22"/>
            <w:szCs w:val="22"/>
            <w:u w:val="single"/>
          </w:rPr>
          <w:t xml:space="preserve">Le document — synthèse de la RBPP TDI volet 2 : « la scolarité, le travail et la vie active, les loisirs et le temps libre » (PDF, 7 pages, adoptée le 16 septembre 2025)</w:t>
        </w:r>
      </w:hyperlink>
      <w:r>
        <w:rPr>
          <w:rFonts w:ascii="Times New Roman" w:cs="Times New Roman" w:eastAsia="Times New Roman" w:hAnsi="Times New Roman"/>
          <w:i/>
          <w:iCs/>
          <w:color w:val="6B7280"/>
          <w:sz w:val="20"/>
          <w:szCs w:val="20"/>
        </w:rPr>
        <w:t xml:space="preserve"> [Corrigé le 21/09/2026 : la ligne précédente est la notice HAS ; la synthèse, lue ce jour, porte le titre complet et la date d'adoption.]</w:t>
      </w:r>
    </w:p>
    <w:p>
      <w:pPr>
        <w:spacing w:after="100"/>
      </w:pPr>
      <w:r>
        <w:rPr>
          <w:rFonts w:ascii="Times New Roman" w:cs="Times New Roman" w:eastAsia="Times New Roman" w:hAnsi="Times New Roman"/>
          <w:color w:val="1F2937"/>
          <w:sz w:val="22"/>
          <w:szCs w:val="22"/>
        </w:rPr>
        <w:t xml:space="preserve">→ </w:t>
      </w:r>
      <w:hyperlink w:history="1" r:id="rIdde0vcdfcigexnhzfvd1df">
        <w:r>
          <w:rPr>
            <w:rFonts w:ascii="Times New Roman" w:cs="Times New Roman" w:eastAsia="Times New Roman" w:hAnsi="Times New Roman"/>
            <w:color w:val="1155CC"/>
            <w:sz w:val="22"/>
            <w:szCs w:val="22"/>
            <w:u w:val="single"/>
          </w:rPr>
          <w:t xml:space="preserve">ANESM, décembre 2015 — reprise HAS 2018 : Spécificités de l'accompagnement des adultes handicapés psychiques</w:t>
        </w:r>
      </w:hyperlink>
    </w:p>
    <w:p>
      <w:pPr>
        <w:spacing w:after="100"/>
      </w:pPr>
      <w:r>
        <w:rPr>
          <w:rFonts w:ascii="Times New Roman" w:cs="Times New Roman" w:eastAsia="Times New Roman" w:hAnsi="Times New Roman"/>
          <w:color w:val="1F2937"/>
          <w:sz w:val="22"/>
          <w:szCs w:val="22"/>
        </w:rPr>
        <w:t xml:space="preserve">→ </w:t>
      </w:r>
      <w:hyperlink w:history="1" r:id="rIdPdfHp2016">
        <w:r>
          <w:rPr>
            <w:rFonts w:ascii="Times New Roman" w:cs="Times New Roman" w:eastAsia="Times New Roman" w:hAnsi="Times New Roman"/>
            <w:color w:val="1155CC"/>
            <w:sz w:val="22"/>
            <w:szCs w:val="22"/>
            <w:u w:val="single"/>
          </w:rPr>
          <w:t xml:space="preserve">Le document — RBPP « Spécificités de l'accompagnement des adultes handicapés psychiques » (PDF, 160 pages, Anesm, 2016)</w:t>
        </w:r>
      </w:hyperlink>
      <w:r>
        <w:rPr>
          <w:rFonts w:ascii="Times New Roman" w:cs="Times New Roman" w:eastAsia="Times New Roman" w:hAnsi="Times New Roman"/>
          <w:i/>
          <w:iCs/>
          <w:color w:val="6B7280"/>
          <w:sz w:val="20"/>
          <w:szCs w:val="20"/>
        </w:rPr>
        <w:t xml:space="preserve"> [Corrigé le 21/09/2026 : la ligne précédente est la notice HAS, d'où vient la phrase « même si des troubles cognitifs sont souvent associés » ; le document, lu ce jour, écrit p. 63 : « malgré des capacités intellectuelles préservées, les aptitudes dans la vie quotidienne et courante peuvent se trouver fragilisées par des difficultés cognitives (mémorisation, impulsion, concentration, attention, planification, etc.) », et « Elles ont besoin d'un suivi médical régulier ».]</w:t>
      </w:r>
    </w:p>
    <w:p>
      <w:pPr>
        <w:spacing w:after="100"/>
      </w:pPr>
      <w:r>
        <w:rPr>
          <w:rFonts w:ascii="Times New Roman" w:cs="Times New Roman" w:eastAsia="Times New Roman" w:hAnsi="Times New Roman"/>
          <w:color w:val="1F2937"/>
          <w:sz w:val="22"/>
          <w:szCs w:val="22"/>
        </w:rPr>
        <w:t xml:space="preserve">→ </w:t>
      </w:r>
      <w:hyperlink w:history="1" r:id="rIdgnsjxdzpstpjbr3ttewpy">
        <w:r>
          <w:rPr>
            <w:rFonts w:ascii="Times New Roman" w:cs="Times New Roman" w:eastAsia="Times New Roman" w:hAnsi="Times New Roman"/>
            <w:color w:val="1155CC"/>
            <w:sz w:val="22"/>
            <w:szCs w:val="22"/>
            <w:u w:val="single"/>
          </w:rPr>
          <w:t xml:space="preserve">INSERM (2016) — Expertise collective : Déficiences intellectuelles, chapitre 7 — Autres troubles neurodéveloppementaux et psychiatriques associés</w:t>
        </w:r>
      </w:hyperlink>
    </w:p>
    <w:p>
      <w:pPr>
        <w:spacing w:after="100"/>
      </w:pPr>
      <w:r>
        <w:rPr>
          <w:rFonts w:ascii="Times New Roman" w:cs="Times New Roman" w:eastAsia="Times New Roman" w:hAnsi="Times New Roman"/>
          <w:color w:val="1F2937"/>
          <w:sz w:val="22"/>
          <w:szCs w:val="22"/>
        </w:rPr>
        <w:t xml:space="preserve">→ </w:t>
      </w:r>
      <w:hyperlink w:history="1" r:id="rIdkovo4ynrit832zv3mafyn">
        <w:r>
          <w:rPr>
            <w:rFonts w:ascii="Times New Roman" w:cs="Times New Roman" w:eastAsia="Times New Roman" w:hAnsi="Times New Roman"/>
            <w:color w:val="1155CC"/>
            <w:sz w:val="22"/>
            <w:szCs w:val="22"/>
            <w:u w:val="single"/>
          </w:rPr>
          <w:t xml:space="preserve">Psycom (28 avril 2022) — Handicap psychique : des particularités mieux prises en compte</w:t>
        </w:r>
      </w:hyperlink>
    </w:p>
    <w:p>
      <w:pPr>
        <w:spacing w:after="100"/>
      </w:pPr>
      <w:r>
        <w:rPr>
          <w:rFonts w:ascii="Times New Roman" w:cs="Times New Roman" w:eastAsia="Times New Roman" w:hAnsi="Times New Roman"/>
          <w:color w:val="1F2937"/>
          <w:sz w:val="22"/>
          <w:szCs w:val="22"/>
        </w:rPr>
        <w:t xml:space="preserve">→ </w:t>
      </w:r>
      <w:hyperlink w:history="1" r:id="rId1_u21gbrootcthql2507j">
        <w:r>
          <w:rPr>
            <w:rFonts w:ascii="Times New Roman" w:cs="Times New Roman" w:eastAsia="Times New Roman" w:hAnsi="Times New Roman"/>
            <w:color w:val="1155CC"/>
            <w:sz w:val="22"/>
            <w:szCs w:val="22"/>
            <w:u w:val="single"/>
          </w:rPr>
          <w:t xml:space="preserve">Unafam — Handicap psychique : définition et caractéristiques</w:t>
        </w:r>
      </w:hyperlink>
    </w:p>
    <w:p>
      <w:pPr>
        <w:spacing w:after="100"/>
      </w:pPr>
      <w:r>
        <w:rPr>
          <w:rFonts w:ascii="Times New Roman" w:cs="Times New Roman" w:eastAsia="Times New Roman" w:hAnsi="Times New Roman"/>
          <w:color w:val="1F2937"/>
          <w:sz w:val="22"/>
          <w:szCs w:val="22"/>
        </w:rPr>
        <w:t xml:space="preserve">→ </w:t>
      </w:r>
      <w:hyperlink w:history="1" r:id="rIdbwu5dwgbt3doa3ci0ucab">
        <w:r>
          <w:rPr>
            <w:rFonts w:ascii="Times New Roman" w:cs="Times New Roman" w:eastAsia="Times New Roman" w:hAnsi="Times New Roman"/>
            <w:color w:val="1155CC"/>
            <w:sz w:val="22"/>
            <w:szCs w:val="22"/>
            <w:u w:val="single"/>
          </w:rPr>
          <w:t xml:space="preserve">Handiconnect (2020) — Trouble du développement intellectuel (TDI) : définition et particularités</w:t>
        </w:r>
      </w:hyperlink>
    </w:p>
    <w:p>
      <w:pPr>
        <w:spacing w:after="100"/>
      </w:pPr>
      <w:r>
        <w:rPr>
          <w:rFonts w:ascii="Times New Roman" w:cs="Times New Roman" w:eastAsia="Times New Roman" w:hAnsi="Times New Roman"/>
          <w:color w:val="1F2937"/>
          <w:sz w:val="22"/>
          <w:szCs w:val="22"/>
        </w:rPr>
        <w:t xml:space="preserve">→ </w:t>
      </w:r>
      <w:hyperlink w:history="1" r:id="rIdhhfvkyqgdruzgsh4_zohu">
        <w:r>
          <w:rPr>
            <w:rFonts w:ascii="Times New Roman" w:cs="Times New Roman" w:eastAsia="Times New Roman" w:hAnsi="Times New Roman"/>
            <w:color w:val="1155CC"/>
            <w:sz w:val="22"/>
            <w:szCs w:val="22"/>
            <w:u w:val="single"/>
          </w:rPr>
          <w:t xml:space="preserve">Wikipedia — Déficience intellectuelle [source tertiaire — orientation seulement, ne pas citer dans un écrit professionnel]</w:t>
        </w:r>
      </w:hyperlink>
    </w:p>
    <w:p>
      <w:pPr>
        <w:spacing w:after="100"/>
      </w:pPr>
      <w:r>
        <w:rPr>
          <w:rFonts w:ascii="Times New Roman" w:cs="Times New Roman" w:eastAsia="Times New Roman" w:hAnsi="Times New Roman"/>
          <w:color w:val="1F2937"/>
          <w:sz w:val="22"/>
          <w:szCs w:val="22"/>
        </w:rPr>
        <w:t xml:space="preserve">→ </w:t>
      </w:r>
      <w:hyperlink w:history="1" r:id="rIdfn3ux8teg9-np6dq-h4n6">
        <w:r>
          <w:rPr>
            <w:rFonts w:ascii="Times New Roman" w:cs="Times New Roman" w:eastAsia="Times New Roman" w:hAnsi="Times New Roman"/>
            <w:color w:val="1155CC"/>
            <w:sz w:val="22"/>
            <w:szCs w:val="22"/>
            <w:u w:val="single"/>
          </w:rPr>
          <w:t xml:space="preserve">CIM-11 (OMS, effective janvier 2022) — Classification internationale des maladies, 11e révision [page non lue en headless : rendu JavaScript ; URL testée 200 ce jour]</w:t>
        </w:r>
      </w:hyperlink>
    </w:p>
    <w:p>
      <w:pPr>
        <w:spacing w:after="100"/>
      </w:pPr>
      <w:r>
        <w:rPr>
          <w:rFonts w:ascii="Times New Roman" w:cs="Times New Roman" w:eastAsia="Times New Roman" w:hAnsi="Times New Roman"/>
          <w:color w:val="1F2937"/>
          <w:sz w:val="22"/>
          <w:szCs w:val="22"/>
        </w:rPr>
        <w:t xml:space="preserve">→ </w:t>
      </w:r>
      <w:hyperlink w:history="1" r:id="rIdiiog02vavmw14p5xs3wv3">
        <w:r>
          <w:rPr>
            <w:rFonts w:ascii="Times New Roman" w:cs="Times New Roman" w:eastAsia="Times New Roman" w:hAnsi="Times New Roman"/>
            <w:color w:val="1155CC"/>
            <w:sz w:val="22"/>
            <w:szCs w:val="22"/>
            <w:u w:val="single"/>
          </w:rPr>
          <w:t xml:space="preserve">DSM-5 — Présentation par l'American Psychiatric Association (APA) [document propriétaire non accessible en ligne ; URL testée 200 ce jour]</w:t>
        </w:r>
      </w:hyperlink>
    </w:p>
    <w:p>
      <w:pPr>
        <w:spacing w:after="100"/>
      </w:pPr>
      <w:r>
        <w:rPr>
          <w:rFonts w:ascii="Times New Roman" w:cs="Times New Roman" w:eastAsia="Times New Roman" w:hAnsi="Times New Roman"/>
          <w:color w:val="1F2937"/>
          <w:sz w:val="22"/>
          <w:szCs w:val="22"/>
        </w:rPr>
        <w:t xml:space="preserve">→ </w:t>
      </w:r>
      <w:hyperlink w:history="1" r:id="rId8jzijsenjvkzeqphoqz6a">
        <w:r>
          <w:rPr>
            <w:rFonts w:ascii="Times New Roman" w:cs="Times New Roman" w:eastAsia="Times New Roman" w:hAnsi="Times New Roman"/>
            <w:color w:val="1155CC"/>
            <w:sz w:val="22"/>
            <w:szCs w:val="22"/>
            <w:u w:val="single"/>
          </w:rPr>
          <w:t xml:space="preserve">CIM-10 (OMS) — Classification internationale des maladies, 10e révision [utilisée dans les études antérieures à 2022 ; URL testée 200 ce jour]</w:t>
        </w:r>
      </w:hyperlink>
    </w:p>
    <w:p>
      <w:pPr>
        <w:spacing w:after="120"/>
      </w:pPr>
    </w:p>
    <w:p>
      <w:pPr>
        <w:spacing w:after="160" w:before="320"/>
      </w:pPr>
      <w:r>
        <w:rPr>
          <w:rFonts w:ascii="Times New Roman" w:cs="Times New Roman" w:eastAsia="Times New Roman" w:hAnsi="Times New Roman"/>
          <w:b/>
          <w:bCs/>
          <w:color w:val="1B3A6B"/>
          <w:sz w:val="30"/>
          <w:szCs w:val="30"/>
        </w:rPr>
        <w:t xml:space="preserve">🔜 Prochaine leçon</w:t>
      </w:r>
    </w:p>
    <w:p>
      <w:pPr>
        <w:shd w:fill="F3F4F6" w:val="clear"/>
        <w:spacing w:after="120" w:before="120"/>
        <w:ind w:left="720" w:right="360"/>
      </w:pPr>
      <w:r>
        <w:rPr>
          <w:rFonts w:ascii="Times New Roman" w:cs="Times New Roman" w:eastAsia="Times New Roman" w:hAnsi="Times New Roman"/>
          <w:i/>
          <w:iCs/>
          <w:color w:val="1B3A6B"/>
          <w:sz w:val="22"/>
          <w:szCs w:val="22"/>
        </w:rPr>
        <w:t xml:space="preserve">Leçon 17 / 20 — Les psychotropes : classes, effets attendus, effets indésirables, surveillance
Nous aborderons les grandes classes de médicaments psychotropes (antipsychotiques, thymorégulateurs, antidépresseurs, anxiolytiques, hypnotiques), leurs mécanismes d'action simplifiés, les effets attendus et indésirables à surveiller, et les repères pour l'équipe éducative en ESSMS.</w:t>
      </w:r>
    </w:p>
    <w:p>
      <w:r>
        <w:t xml:space="preserve"/>
      </w:r>
    </w:p>
    <w:p>
      <w:pPr>
        <w:spacing w:after="160" w:before="320"/>
      </w:pPr>
      <w:r>
        <w:rPr>
          <w:rFonts w:ascii="Times New Roman" w:cs="Times New Roman" w:eastAsia="Times New Roman" w:hAnsi="Times New Roman"/>
          <w:b/>
          <w:bCs/>
          <w:color w:val="1B3A6B"/>
          <w:sz w:val="30"/>
          <w:szCs w:val="30"/>
        </w:rPr>
        <w:t xml:space="preserve">📝 Journal des corrections — 14 septembre 2026</w:t>
      </w:r>
    </w:p>
    <w:p>
      <w:pPr>
        <w:spacing w:after="80"/>
      </w:pPr>
      <w:r>
        <w:rPr>
          <w:rFonts w:ascii="Times New Roman" w:cs="Times New Roman" w:eastAsia="Times New Roman" w:hAnsi="Times New Roman"/>
          <w:b/>
          <w:bCs/>
          <w:color w:val="1F2937"/>
          <w:sz w:val="22"/>
          <w:szCs w:val="22"/>
        </w:rPr>
        <w:t xml:space="preserve">Leçon produite le 14/09/2026 à 8h14, relue le jour même au protocole complet (10 URL rouvertes avec un agent de navigateur, PDF HAS lu, chaque chiffre INSERM cherché avec son auteur). Vingt valeurs épidémiologiques exactes ; SEPT corrections, toutes d'attribution ou de date — aucune conduite à tenir ne change.</w:t>
      </w:r>
    </w:p>
    <w:p>
      <w:pPr>
        <w:spacing w:after="80"/>
      </w:pPr>
      <w:r>
        <w:rPr>
          <w:rFonts w:ascii="Times New Roman" w:cs="Times New Roman" w:eastAsia="Times New Roman" w:hAnsi="Times New Roman"/>
          <w:color w:val="1F2937"/>
          <w:sz w:val="22"/>
          <w:szCs w:val="22"/>
        </w:rPr>
        <w:t xml:space="preserve">① Une citation fabriquée. La leçon écrivait que les résultats sur la dépression dans la DI étaient « qualifiés de « contradictoires » par l'INSERM 2016 ». Le mot n'est pas dans le chapitre 7. L'INSERM oppose les études anciennes (prévalence double : Cooper 1997, Meins 1993) aux récentes (taux comparable : Smiley 2009, Hassiotis 2014). Les guillemets sont retirés, la position de l'INSERM est écrite avec ses auteurs. Règle A1 ; le récapitulatif du job affirmait « formulé ainsi dans la leçon ».</w:t>
      </w:r>
    </w:p>
    <w:p>
      <w:pPr>
        <w:spacing w:after="80"/>
      </w:pPr>
      <w:r>
        <w:rPr>
          <w:rFonts w:ascii="Times New Roman" w:cs="Times New Roman" w:eastAsia="Times New Roman" w:hAnsi="Times New Roman"/>
          <w:color w:val="1F2937"/>
          <w:sz w:val="22"/>
          <w:szCs w:val="22"/>
        </w:rPr>
        <w:t xml:space="preserve">② Une date d'effet prise pour une date d'acte. « Depuis le décret du 1er janvier 2023 » : la page Psycom citée écrit « un décret paru le 20 avril … à partir du 1er janvier 2023 ». Il s'agit du décret n° 2022-570 du 19 avril 2022, applicable au 1er janvier 2023.</w:t>
      </w:r>
    </w:p>
    <w:p>
      <w:pPr>
        <w:spacing w:after="80"/>
      </w:pPr>
      <w:r>
        <w:rPr>
          <w:rFonts w:ascii="Times New Roman" w:cs="Times New Roman" w:eastAsia="Times New Roman" w:hAnsi="Times New Roman"/>
          <w:color w:val="1F2937"/>
          <w:sz w:val="22"/>
          <w:szCs w:val="22"/>
        </w:rPr>
        <w:t xml:space="preserve">③ Une fausse réserve technique sur les dates ANESM/HAS. La note disait la reprise « confirmée à “mars 2018” … rendu partiel JavaScript ». La page HAS se lit intégralement sans JavaScript et dit « mis en ligne le 18 déc. 2015 — mis à jour le 16 mars 2018 » : une date de retouche de page, pas la reprise, qui date de l'intégration de l'ANESM à la HAS le 1er avril 2018. La note est réécrite avec les trois dates et sans la réserve.</w:t>
      </w:r>
    </w:p>
    <w:p>
      <w:pPr>
        <w:spacing w:after="80"/>
      </w:pPr>
      <w:r>
        <w:rPr>
          <w:rFonts w:ascii="Times New Roman" w:cs="Times New Roman" w:eastAsia="Times New Roman" w:hAnsi="Times New Roman"/>
          <w:color w:val="1F2937"/>
          <w:sz w:val="22"/>
          <w:szCs w:val="22"/>
        </w:rPr>
        <w:t xml:space="preserve">④ Une nuance de l'ANESM perdue. La page caractérise le handicap psychique par « des capacités intellectuelles préservées, même si des troubles cognitifs sont souvent associés » ; la leçon n'avait gardé que « préservées », dans le texte et dans le tableau comparatif. La seconde moitié est rendue aux deux endroits.</w:t>
      </w:r>
    </w:p>
    <w:p>
      <w:pPr>
        <w:spacing w:after="80"/>
      </w:pPr>
      <w:r>
        <w:rPr>
          <w:rFonts w:ascii="Times New Roman" w:cs="Times New Roman" w:eastAsia="Times New Roman" w:hAnsi="Times New Roman"/>
          <w:color w:val="1F2937"/>
          <w:sz w:val="22"/>
          <w:szCs w:val="22"/>
        </w:rPr>
        <w:t xml:space="preserve">⑤ Deux attributions déplacées. « Souvent un traitement médicamenteux » était mis au compte de l'ANESM : la page ANESM dit « suivi médical régulier », c'est Unafam qui écrit « la prise de médicaments est le plus souvent indispensable ». Et la règle de prudence clinique était dite « pratique clinique basée sur l'expérience (INSERM 2016) » : la phrase de l'INSERM porte sur l'identification des symptômes, pas sur cette règle. Les deux sont réattribuées.</w:t>
      </w:r>
    </w:p>
    <w:p>
      <w:pPr>
        <w:spacing w:after="80"/>
      </w:pPr>
      <w:r>
        <w:rPr>
          <w:rFonts w:ascii="Times New Roman" w:cs="Times New Roman" w:eastAsia="Times New Roman" w:hAnsi="Times New Roman"/>
          <w:color w:val="1F2937"/>
          <w:sz w:val="22"/>
          <w:szCs w:val="22"/>
        </w:rPr>
        <w:t xml:space="preserve">⑥ Une négation qui affirmait plus que ce qui avait été cherché. « Il n'existe pas, à ma connaissance, de définition officielle de rang 1 » du surhandicap devient « aucune des sources ouvertes pour cette leçon n'emploie ni ne définit ce terme » — ce qui a été vérifié (règle B6).</w:t>
      </w:r>
    </w:p>
    <w:p>
      <w:pPr>
        <w:spacing w:after="80"/>
      </w:pPr>
      <w:r>
        <w:rPr>
          <w:rFonts w:ascii="Times New Roman" w:cs="Times New Roman" w:eastAsia="Times New Roman" w:hAnsi="Times New Roman"/>
          <w:color w:val="1F2937"/>
          <w:sz w:val="22"/>
          <w:szCs w:val="22"/>
        </w:rPr>
        <w:t xml:space="preserve">⑦ Le volet 2 du guide HAS TDI (validé le 16/09/2025, en ligne le 18/11/2025 — scolarité, travail, loisirs) est ajouté au pont pro et aux ressources : la première vignette de la leçon est un travailleur d'ESAT. Formulations d'origine conservées ci-dessus, en ①, ②, ③ et ⑥.</w:t>
      </w:r>
    </w:p>
    <w:p>
      <w:pPr>
        <w:pStyle w:val="Heading2"/>
        <w:spacing w:after="100" w:before="280"/>
      </w:pPr>
      <w:r>
        <w:rPr>
          <w:rFonts w:ascii="Times New Roman" w:cs="Times New Roman" w:eastAsia="Times New Roman" w:hAnsi="Times New Roman"/>
          <w:b/>
          <w:bCs/>
          <w:color w:val="1B3A6B"/>
          <w:sz w:val="28"/>
          <w:szCs w:val="28"/>
        </w:rPr>
        <w:t xml:space="preserve">📝 Journal des corrections — 21 septembre 2026</w:t>
      </w:r>
    </w:p>
    <w:p>
      <w:pPr>
        <w:spacing w:after="60" w:before="60"/>
      </w:pPr>
      <w:r>
        <w:rPr>
          <w:rFonts w:ascii="Times New Roman" w:cs="Times New Roman" w:eastAsia="Times New Roman" w:hAnsi="Times New Roman"/>
          <w:i/>
          <w:iCs/>
          <w:color w:val="6B7280"/>
          <w:sz w:val="20"/>
          <w:szCs w:val="20"/>
        </w:rPr>
        <w:t xml:space="preserve">Relecture du 21/09/2026 : les PDF des deux recommandations HAS citées — la RBPP Anesm 2016 (160 pages) et la synthèse du volet 2 TDI (7 pages, adoptée le 16 septembre 2025) — sont lus et liés à côté des notices. Ce que la leçon leur prêtait (capacités intellectuelles préservées avec troubles cognitifs associés, suivi médical régulier, champ schizophrénie / troubles bipolaires sévères, titre et date du volet 2) est dans les documents ou sur leurs notices. Aucune formulation ne change.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Ressources : seules les notices HAS des deux recommandations étaient liées ; les documents (PDF) ne l'étaient pas et n'avaient pas été 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hkefyfux2-t4brurwz" Type="http://schemas.openxmlformats.org/officeDocument/2006/relationships/hyperlink" Target="https://www.has-sante.fr/upload/docs/application/pdf/2022-09/08_tdi_guide.pdf" TargetMode="External"/><Relationship Id="rIdde0vcdfcigexnhzfvd1df" Type="http://schemas.openxmlformats.org/officeDocument/2006/relationships/hyperlink" Target="https://www.has-sante.fr/jcms/c_2835191/fr/specificites-de-l-accompagnement-des-adultes-handicapes-psychiques" TargetMode="External"/><Relationship Id="rIdgnsjxdzpstpjbr3ttewpy" Type="http://schemas.openxmlformats.org/officeDocument/2006/relationships/hyperlink" Target="https://ipubli.inserm.fr/bitstream/handle/10608/6816/Chapitre_7.html" TargetMode="External"/><Relationship Id="rIdkovo4ynrit832zv3mafyn" Type="http://schemas.openxmlformats.org/officeDocument/2006/relationships/hyperlink" Target="https://www.psycom.org/situations-de-handicap/handicap-psychique/" TargetMode="External"/><Relationship Id="rId1_u21gbrootcthql2507j" Type="http://schemas.openxmlformats.org/officeDocument/2006/relationships/hyperlink" Target="https://www.unafam.org/troubles-et-handicap-psy/handicap-psychique" TargetMode="External"/><Relationship Id="rIdbwu5dwgbt3doa3ci0ucab" Type="http://schemas.openxmlformats.org/officeDocument/2006/relationships/hyperlink" Target="https://handiconnect.fr/fiches-conseils/definition-et-particularites-des-troubles-du-developpement-intellectuel-tdi" TargetMode="External"/><Relationship Id="rIdhhfvkyqgdruzgsh4_zohu" Type="http://schemas.openxmlformats.org/officeDocument/2006/relationships/hyperlink" Target="https://fr.wikipedia.org/wiki/D%C3%A9ficience_intellectuelle" TargetMode="External"/><Relationship Id="rIdfn3ux8teg9-np6dq-h4n6" Type="http://schemas.openxmlformats.org/officeDocument/2006/relationships/hyperlink" Target="https://icd.who.int/browse/2024-01/mms/en" TargetMode="External"/><Relationship Id="rIdiiog02vavmw14p5xs3wv3" Type="http://schemas.openxmlformats.org/officeDocument/2006/relationships/hyperlink" Target="https://www.psychiatry.org/psychiatrists/practice/dsm" TargetMode="External"/><Relationship Id="rId8jzijsenjvkzeqphoqz6a" Type="http://schemas.openxmlformats.org/officeDocument/2006/relationships/hyperlink" Target="https://apps.who.int/classifications/icd10/browse/2019/en" TargetMode="External"/><Relationship Id="rId17" Type="http://schemas.openxmlformats.org/officeDocument/2006/relationships/fontTable" Target="fontTable.xml"/><Relationship Id="rIdcorr1409v2" Type="http://schemas.openxmlformats.org/officeDocument/2006/relationships/hyperlink" Target="https://www.has-sante.fr/jcms/p_3741239/fr/l-accompagnement-de-la-personne-presentant-un-trouble-du-developpement-intellectuel-tdi-volet-2" TargetMode="External"/><Relationship Id="rIdPdfHp2016" Type="http://schemas.openxmlformats.org/officeDocument/2006/relationships/hyperlink" Target="https://www.has-sante.fr/upload/docs/application/pdf/2018-03/anesm_1__rbpp_accompagnement_adultes_handicapes_psychiques_2016.pdf" TargetMode="External"/><Relationship Id="rIdPdfTdi2Synth" Type="http://schemas.openxmlformats.org/officeDocument/2006/relationships/hyperlink" Target="https://www.has-sante.fr/upload/docs/application/pdf/2025-11/dir7/synthese_rbpp_tdi_volet2.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2026-09-14T06:14:43.338Z</dcterms:created>
  <dcterms:modified xsi:type="dcterms:W3CDTF">2026-09-14T06:14:43.344Z</dcterms:modified>
</cp:coreProperties>
</file>

<file path=docProps/custom.xml><?xml version="1.0" encoding="utf-8"?>
<Properties xmlns="http://schemas.openxmlformats.org/officeDocument/2006/custom-properties" xmlns:vt="http://schemas.openxmlformats.org/officeDocument/2006/docPropsVTypes"/>
</file>