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A6B"/>
          <w:sz w:val="32"/>
          <w:szCs w:val="32"/>
        </w:rPr>
        <w:t xml:space="preserve">Veille SERAFIN-PH — Synthèse hebdomadaire</w:t>
      </w:r>
    </w:p>
    <w:p>
      <w:pPr>
        <w:spacing w:after="80"/>
      </w:pPr>
      <w:r>
        <w:rPr>
          <w:rFonts w:ascii="Calibri" w:cs="Calibri" w:eastAsia="Calibri" w:hAnsi="Calibri"/>
          <w:color w:val="1F2937"/>
          <w:sz w:val="20"/>
          <w:szCs w:val="20"/>
        </w:rPr>
        <w:t xml:space="preserve">Date de production : 23 septembre 2026   |   Fenêtre de veille : 16 – 23 septembre 2026</w:t>
      </w:r>
    </w:p>
    <w:p>
      <w:pPr>
        <w:spacing w:after="60" w:before="60"/>
      </w:pPr>
      <w:r>
        <w:rPr>
          <w:rFonts w:ascii="Calibri" w:cs="Calibri" w:eastAsia="Calibri" w:hAnsi="Calibri"/>
          <w:i/>
          <w:iCs/>
          <w:color w:val="1F2937"/>
          <w:sz w:val="22"/>
          <w:szCs w:val="22"/>
        </w:rPr>
        <w:t xml:space="preserve">⚠️ SEMAINE CREUSE — Aucune publication SERAFIN-PH identifiée dans la fenêtre du 16 au 23 septembre 2026. La note contient les rappels de contexte les plus récents.</w:t>
      </w:r>
    </w:p>
    <w:p>
      <w:pPr>
        <w:spacing w:after="80" w:before="80"/>
      </w:pPr>
    </w:p>
    <w:p>
      <w:pPr>
        <w:spacing w:after="80" w:before="240"/>
      </w:pPr>
      <w:r>
        <w:rPr>
          <w:rFonts w:ascii="Calibri" w:cs="Calibri" w:eastAsia="Calibri" w:hAnsi="Calibri"/>
          <w:b/>
          <w:bCs/>
          <w:color w:val="1B3A6B"/>
          <w:sz w:val="24"/>
          <w:szCs w:val="24"/>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5%"/>
            <w:gridSpan w:val="1"/>
            <w:shd w:fill="1B3A6B" w:val="solid"/>
          </w:tcPr>
          <w:p>
            <w:pPr>
              <w:jc w:val="left"/>
            </w:pPr>
            <w:r>
              <w:rPr>
                <w:rFonts w:ascii="Calibri" w:cs="Calibri" w:eastAsia="Calibri" w:hAnsi="Calibri"/>
                <w:b/>
                <w:bCs/>
                <w:color w:val="FFFFFF"/>
                <w:sz w:val="20"/>
                <w:szCs w:val="20"/>
              </w:rPr>
              <w:t xml:space="preserve">Source documentaire</w:t>
            </w:r>
          </w:p>
        </w:tc>
        <w:tc>
          <w:tcPr>
            <w:tcW w:type="pct" w:w="30%"/>
            <w:gridSpan w:val="1"/>
            <w:shd w:fill="1B3A6B" w:val="solid"/>
          </w:tcPr>
          <w:p>
            <w:pPr>
              <w:jc w:val="left"/>
            </w:pPr>
            <w:r>
              <w:rPr>
                <w:rFonts w:ascii="Calibri" w:cs="Calibri" w:eastAsia="Calibri" w:hAnsi="Calibri"/>
                <w:b/>
                <w:bCs/>
                <w:color w:val="FFFFFF"/>
                <w:sz w:val="20"/>
                <w:szCs w:val="20"/>
              </w:rPr>
              <w:t xml:space="preserve">URL (lien cliquable)</w:t>
            </w:r>
          </w:p>
        </w:tc>
        <w:tc>
          <w:tcPr>
            <w:tcW w:type="pct" w:w="15%"/>
            <w:gridSpan w:val="1"/>
            <w:shd w:fill="1B3A6B" w:val="solid"/>
          </w:tcPr>
          <w:p>
            <w:pPr>
              <w:jc w:val="left"/>
            </w:pPr>
            <w:r>
              <w:rPr>
                <w:rFonts w:ascii="Calibri" w:cs="Calibri" w:eastAsia="Calibri" w:hAnsi="Calibri"/>
                <w:b/>
                <w:bCs/>
                <w:color w:val="FFFFFF"/>
                <w:sz w:val="20"/>
                <w:szCs w:val="20"/>
              </w:rPr>
              <w:t xml:space="preserve">Statut</w:t>
            </w:r>
          </w:p>
        </w:tc>
      </w:tr>
      <w:tr>
        <w:tc>
          <w:p>
            <w:r>
              <w:rPr>
                <w:rFonts w:ascii="Calibri" w:cs="Calibri" w:eastAsia="Calibri" w:hAnsi="Calibri"/>
                <w:b w:val="false"/>
                <w:bCs w:val="false"/>
                <w:color w:val="1F2937"/>
                <w:sz w:val="20"/>
                <w:szCs w:val="20"/>
              </w:rPr>
              <w:t xml:space="preserve">handicap.gouv.fr — 14e comité stratégique SERAFIN-PH (23 mars 2026)</w:t>
            </w:r>
          </w:p>
        </w:tc>
        <w:tc>
          <w:p>
            <w:hyperlink w:history="1" r:id="rIddd-shmdxsjshqamscanf6">
              <w:r>
                <w:rPr>
                  <w:rStyle w:val="Hyperlink"/>
                  <w:rFonts w:ascii="Calibri" w:cs="Calibri" w:eastAsia="Calibri" w:hAnsi="Calibri"/>
                  <w:color w:val="1155CC"/>
                  <w:sz w:val="22"/>
                  <w:szCs w:val="22"/>
                  <w:u w:val="single"/>
                </w:rPr>
                <w:t xml:space="preserve">https://handicap.gouv.fr/reforme-tarifaire-des-esms-serafin-ph-14e-reunion-du-comite-strategique</w:t>
              </w:r>
            </w:hyperlink>
          </w:p>
        </w:tc>
        <w:tc>
          <w:p>
            <w:r>
              <w:rPr>
                <w:rFonts w:ascii="Calibri" w:cs="Calibri" w:eastAsia="Calibri" w:hAnsi="Calibri"/>
                <w:b w:val="false"/>
                <w:bCs w:val="false"/>
                <w:color w:val="1F2937"/>
                <w:sz w:val="20"/>
                <w:szCs w:val="20"/>
              </w:rPr>
              <w:t xml:space="preserve">✅ Consultée — contenu repris</w:t>
            </w:r>
          </w:p>
        </w:tc>
      </w:tr>
      <w:tr>
        <w:tc>
          <w:tcPr>
            <w:shd w:fill="EEF2F7" w:val="solid"/>
          </w:tcPr>
          <w:p>
            <w:r>
              <w:rPr>
                <w:rFonts w:ascii="Calibri" w:cs="Calibri" w:eastAsia="Calibri" w:hAnsi="Calibri"/>
                <w:b w:val="false"/>
                <w:bCs w:val="false"/>
                <w:color w:val="1F2937"/>
                <w:sz w:val="20"/>
                <w:szCs w:val="20"/>
              </w:rPr>
              <w:t xml:space="preserve">CNSA.fr — Page SERAFIN-PH (budget et financement)</w:t>
            </w:r>
          </w:p>
        </w:tc>
        <w:tc>
          <w:tcPr>
            <w:shd w:fill="EEF2F7" w:val="solid"/>
          </w:tcPr>
          <w:p>
            <w:hyperlink w:history="1" r:id="rId4ktuwwho-jb1fzv74f1r3">
              <w:r>
                <w:rPr>
                  <w:rStyle w:val="Hyperlink"/>
                  <w:rFonts w:ascii="Calibri" w:cs="Calibri" w:eastAsia="Calibri" w:hAnsi="Calibri"/>
                  <w:color w:val="1155CC"/>
                  <w:sz w:val="22"/>
                  <w:szCs w:val="22"/>
                  <w:u w:val="single"/>
                </w:rPr>
                <w:t xml:space="preserve">https://www.cnsa.fr/budget-et-financement/serafin-PH</w:t>
              </w:r>
            </w:hyperlink>
          </w:p>
        </w:tc>
        <w:tc>
          <w:tcPr>
            <w:shd w:fill="EEF2F7" w:val="solid"/>
          </w:tcPr>
          <w:p>
            <w:r>
              <w:rPr>
                <w:rFonts w:ascii="Calibri" w:cs="Calibri" w:eastAsia="Calibri" w:hAnsi="Calibri"/>
                <w:b w:val="false"/>
                <w:bCs w:val="false"/>
                <w:color w:val="1F2937"/>
                <w:sz w:val="20"/>
                <w:szCs w:val="20"/>
              </w:rPr>
              <w:t xml:space="preserve">✅ Consultée — contenu repris</w:t>
            </w:r>
          </w:p>
        </w:tc>
      </w:tr>
      <w:tr>
        <w:tc>
          <w:p>
            <w:r>
              <w:rPr>
                <w:rFonts w:ascii="Calibri" w:cs="Calibri" w:eastAsia="Calibri" w:hAnsi="Calibri"/>
                <w:b w:val="false"/>
                <w:bCs w:val="false"/>
                <w:color w:val="1F2937"/>
                <w:sz w:val="20"/>
                <w:szCs w:val="20"/>
              </w:rPr>
              <w:t xml:space="preserve">CNSA.fr — Préparation recueil PH 2026 (publiée le 17/12/2025)</w:t>
            </w:r>
          </w:p>
        </w:tc>
        <w:tc>
          <w:p>
            <w:hyperlink w:history="1" r:id="rIdcxpnaybw0nfmebk8ipaxv">
              <w:r>
                <w:rPr>
                  <w:rStyle w:val="Hyperlink"/>
                  <w:rFonts w:ascii="Calibri" w:cs="Calibri" w:eastAsia="Calibri" w:hAnsi="Calibri"/>
                  <w:color w:val="1155CC"/>
                  <w:sz w:val="22"/>
                  <w:szCs w:val="22"/>
                  <w:u w:val="single"/>
                </w:rPr>
                <w:t xml:space="preserve">https://www.cnsa.fr/actualites/serafin-ph-preparation-du-recueil-dinformations-ph-2026-en-vue-du-deploiement-du-futur</w:t>
              </w:r>
            </w:hyperlink>
          </w:p>
        </w:tc>
        <w:tc>
          <w:p>
            <w:r>
              <w:rPr>
                <w:rFonts w:ascii="Calibri" w:cs="Calibri" w:eastAsia="Calibri" w:hAnsi="Calibri"/>
                <w:b w:val="false"/>
                <w:bCs w:val="false"/>
                <w:color w:val="1F2937"/>
                <w:sz w:val="20"/>
                <w:szCs w:val="20"/>
              </w:rPr>
              <w:t xml:space="preserve">⚠️ HTTP 200 — non ouverte directement, fond documentaire</w:t>
            </w:r>
          </w:p>
        </w:tc>
      </w:tr>
      <w:tr>
        <w:tc>
          <w:tcPr>
            <w:shd w:fill="EEF2F7" w:val="solid"/>
          </w:tcPr>
          <w:p>
            <w:r>
              <w:rPr>
                <w:rFonts w:ascii="Calibri" w:cs="Calibri" w:eastAsia="Calibri" w:hAnsi="Calibri"/>
                <w:b w:val="false"/>
                <w:bCs w:val="false"/>
                <w:color w:val="1F2937"/>
                <w:sz w:val="20"/>
                <w:szCs w:val="20"/>
              </w:rPr>
              <w:t xml:space="preserve">ATIH — Recueil national PH 2025</w:t>
            </w:r>
          </w:p>
        </w:tc>
        <w:tc>
          <w:tcPr>
            <w:shd w:fill="EEF2F7" w:val="solid"/>
          </w:tcPr>
          <w:p>
            <w:hyperlink w:history="1" r:id="rIdichyatjmjx7ziht88eqve">
              <w:r>
                <w:rPr>
                  <w:rStyle w:val="Hyperlink"/>
                  <w:rFonts w:ascii="Calibri" w:cs="Calibri" w:eastAsia="Calibri" w:hAnsi="Calibri"/>
                  <w:color w:val="1155CC"/>
                  <w:sz w:val="22"/>
                  <w:szCs w:val="22"/>
                  <w:u w:val="single"/>
                </w:rPr>
                <w:t xml:space="preserve">https://www.atih.sante.fr/recueil-national-ph-2025</w:t>
              </w:r>
            </w:hyperlink>
          </w:p>
        </w:tc>
        <w:tc>
          <w:tcPr>
            <w:shd w:fill="EEF2F7" w:val="solid"/>
          </w:tcPr>
          <w:p>
            <w:r>
              <w:rPr>
                <w:rFonts w:ascii="Calibri" w:cs="Calibri" w:eastAsia="Calibri" w:hAnsi="Calibri"/>
                <w:b w:val="false"/>
                <w:bCs w:val="false"/>
                <w:color w:val="1F2937"/>
                <w:sz w:val="20"/>
                <w:szCs w:val="20"/>
              </w:rPr>
              <w:t xml:space="preserve">✅ Consultée — fond documentaire</w:t>
            </w:r>
          </w:p>
        </w:tc>
      </w:tr>
      <w:tr>
        <w:tc>
          <w:p>
            <w:r>
              <w:rPr>
                <w:rFonts w:ascii="Calibri" w:cs="Calibri" w:eastAsia="Calibri" w:hAnsi="Calibri"/>
                <w:b w:val="false"/>
                <w:bCs w:val="false"/>
                <w:color w:val="1F2937"/>
                <w:sz w:val="20"/>
                <w:szCs w:val="20"/>
              </w:rPr>
              <w:t xml:space="preserve">Légifrance — Décret n° 2026-376 du 13 mai 2026</w:t>
            </w:r>
          </w:p>
        </w:tc>
        <w:tc>
          <w:p>
            <w:hyperlink w:history="1" r:id="rIdopby8c1sursebuynzk_kb">
              <w:r>
                <w:rPr>
                  <w:rStyle w:val="Hyperlink"/>
                  <w:rFonts w:ascii="Calibri" w:cs="Calibri" w:eastAsia="Calibri" w:hAnsi="Calibri"/>
                  <w:color w:val="1155CC"/>
                  <w:sz w:val="22"/>
                  <w:szCs w:val="22"/>
                  <w:u w:val="single"/>
                </w:rPr>
                <w:t xml:space="preserve">https://www.legifrance.gouv.fr/jorf/id/JORFTEXT000054103861</w:t>
              </w:r>
            </w:hyperlink>
          </w:p>
        </w:tc>
        <w:tc>
          <w:p>
            <w:r>
              <w:rPr>
                <w:rFonts w:ascii="Calibri" w:cs="Calibri" w:eastAsia="Calibri" w:hAnsi="Calibri"/>
                <w:b w:val="false"/>
                <w:bCs w:val="false"/>
                <w:color w:val="1F2937"/>
                <w:sz w:val="20"/>
                <w:szCs w:val="20"/>
              </w:rPr>
              <w:t xml:space="preserve">⚠️ 403 blocage anti-robot — URL vérifiée via Légifrance.gouv.fr</w:t>
            </w:r>
          </w:p>
        </w:tc>
      </w:tr>
    </w:tbl>
    <w:p>
      <w:pPr>
        <w:spacing w:after="60" w:before="60"/>
      </w:pPr>
      <w:r>
        <w:rPr>
          <w:rFonts w:ascii="Calibri" w:cs="Calibri" w:eastAsia="Calibri" w:hAnsi="Calibri"/>
          <w:color w:val="1F2937"/>
          <w:sz w:val="22"/>
          <w:szCs w:val="22"/>
        </w:rPr>
        <w:t xml:space="preserve">Décompte : 3 sources ✅ (contenu repris dans le corps) | 1 source ⚠️ HTTP 200 (non ouverte directement) | 1 source ⚠️ 403 anti-robot (URL vérifiée via Légifrance). Outils WebSearch / WebFetch / curl non comptabilisés comme sources.</w:t>
      </w:r>
    </w:p>
    <w:p>
      <w:pPr>
        <w:spacing w:after="80" w:before="80"/>
      </w:pPr>
    </w:p>
    <w:p>
      <w:pPr>
        <w:spacing w:after="120" w:before="300"/>
      </w:pPr>
      <w:r>
        <w:rPr>
          <w:rFonts w:ascii="Calibri" w:cs="Calibri" w:eastAsia="Calibri" w:hAnsi="Calibri"/>
          <w:b/>
          <w:bCs/>
          <w:color w:val="1B3A6B"/>
          <w:sz w:val="28"/>
          <w:szCs w:val="28"/>
        </w:rPr>
        <w:t xml:space="preserve">🔵 En bref — Tableau de 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gridSpan w:val="1"/>
            <w:shd w:fill="1B3A6B" w:val="solid"/>
          </w:tcPr>
          <w:p>
            <w:pPr>
              <w:jc w:val="left"/>
            </w:pPr>
            <w:r>
              <w:rPr>
                <w:rFonts w:ascii="Calibri" w:cs="Calibri" w:eastAsia="Calibri" w:hAnsi="Calibri"/>
                <w:b/>
                <w:bCs/>
                <w:color w:val="FFFFFF"/>
                <w:sz w:val="20"/>
                <w:szCs w:val="20"/>
              </w:rPr>
              <w:t xml:space="preserve">Thème</w:t>
            </w:r>
          </w:p>
        </w:tc>
        <w:tc>
          <w:tcPr>
            <w:tcW w:type="pct" w:w="55%"/>
            <w:gridSpan w:val="1"/>
            <w:shd w:fill="1B3A6B" w:val="solid"/>
          </w:tcPr>
          <w:p>
            <w:pPr>
              <w:jc w:val="left"/>
            </w:pPr>
            <w:r>
              <w:rPr>
                <w:rFonts w:ascii="Calibri" w:cs="Calibri" w:eastAsia="Calibri" w:hAnsi="Calibri"/>
                <w:b/>
                <w:bCs/>
                <w:color w:val="FFFFFF"/>
                <w:sz w:val="20"/>
                <w:szCs w:val="20"/>
              </w:rPr>
              <w:t xml:space="preserve">Statut</w:t>
            </w:r>
          </w:p>
        </w:tc>
        <w:tc>
          <w:tcPr>
            <w:tcW w:type="pct" w:w="20%"/>
            <w:gridSpan w:val="1"/>
            <w:shd w:fill="1B3A6B" w:val="solid"/>
          </w:tcPr>
          <w:p>
            <w:pPr>
              <w:jc w:val="left"/>
            </w:pPr>
            <w:r>
              <w:rPr>
                <w:rFonts w:ascii="Calibri" w:cs="Calibri" w:eastAsia="Calibri" w:hAnsi="Calibri"/>
                <w:b/>
                <w:bCs/>
                <w:color w:val="FFFFFF"/>
                <w:sz w:val="20"/>
                <w:szCs w:val="20"/>
              </w:rPr>
              <w:t xml:space="preserve">Échéance</w:t>
            </w:r>
          </w:p>
        </w:tc>
      </w:tr>
      <w:tr>
        <w:tc>
          <w:p>
            <w:r>
              <w:rPr>
                <w:rFonts w:ascii="Calibri" w:cs="Calibri" w:eastAsia="Calibri" w:hAnsi="Calibri"/>
                <w:b/>
                <w:bCs/>
                <w:color w:val="1F2937"/>
                <w:sz w:val="20"/>
                <w:szCs w:val="20"/>
              </w:rPr>
              <w:t xml:space="preserve">Semaine de veille</w:t>
            </w:r>
          </w:p>
        </w:tc>
        <w:tc>
          <w:p>
            <w:r>
              <w:rPr>
                <w:rFonts w:ascii="Calibri" w:cs="Calibri" w:eastAsia="Calibri" w:hAnsi="Calibri"/>
                <w:b w:val="false"/>
                <w:bCs w:val="false"/>
                <w:color w:val="1F2937"/>
                <w:sz w:val="20"/>
                <w:szCs w:val="20"/>
              </w:rPr>
              <w:t xml:space="preserve">Creuse — aucune publication SERAFIN-PH du 16 au 23/09/2026</w:t>
            </w:r>
          </w:p>
        </w:tc>
        <w:tc>
          <w:p>
            <w:r>
              <w:rPr>
                <w:rFonts w:ascii="Calibri" w:cs="Calibri" w:eastAsia="Calibri" w:hAnsi="Calibri"/>
                <w:b w:val="false"/>
                <w:bCs w:val="false"/>
                <w:color w:val="1F2937"/>
                <w:sz w:val="20"/>
                <w:szCs w:val="20"/>
              </w:rPr>
              <w:t xml:space="preserve">—</w:t>
            </w:r>
          </w:p>
        </w:tc>
      </w:tr>
      <w:tr>
        <w:tc>
          <w:tcPr>
            <w:shd w:fill="EEF2F7" w:val="solid"/>
          </w:tcPr>
          <w:p>
            <w:r>
              <w:rPr>
                <w:rFonts w:ascii="Calibri" w:cs="Calibri" w:eastAsia="Calibri" w:hAnsi="Calibri"/>
                <w:b/>
                <w:bCs/>
                <w:color w:val="1F2937"/>
                <w:sz w:val="20"/>
                <w:szCs w:val="20"/>
              </w:rPr>
              <w:t xml:space="preserve">Déploiement réforme</w:t>
            </w:r>
          </w:p>
        </w:tc>
        <w:tc>
          <w:tcPr>
            <w:shd w:fill="EEF2F7" w:val="solid"/>
          </w:tcPr>
          <w:p>
            <w:r>
              <w:rPr>
                <w:rFonts w:ascii="Calibri" w:cs="Calibri" w:eastAsia="Calibri" w:hAnsi="Calibri"/>
                <w:b w:val="false"/>
                <w:bCs w:val="false"/>
                <w:color w:val="1F2937"/>
                <w:sz w:val="20"/>
                <w:szCs w:val="20"/>
              </w:rPr>
              <w:t xml:space="preserve">Confirmé — mise en œuvre au 1er janvier 2027 (secteur enfance)</w:t>
            </w:r>
          </w:p>
        </w:tc>
        <w:tc>
          <w:tcPr>
            <w:shd w:fill="EEF2F7" w:val="solid"/>
          </w:tcPr>
          <w:p>
            <w:r>
              <w:rPr>
                <w:rFonts w:ascii="Calibri" w:cs="Calibri" w:eastAsia="Calibri" w:hAnsi="Calibri"/>
                <w:b w:val="false"/>
                <w:bCs w:val="false"/>
                <w:color w:val="1F2937"/>
                <w:sz w:val="20"/>
                <w:szCs w:val="20"/>
              </w:rPr>
              <w:t xml:space="preserve">1er jan. 2027</w:t>
            </w:r>
          </w:p>
        </w:tc>
      </w:tr>
      <w:tr>
        <w:tc>
          <w:p>
            <w:r>
              <w:rPr>
                <w:rFonts w:ascii="Calibri" w:cs="Calibri" w:eastAsia="Calibri" w:hAnsi="Calibri"/>
                <w:b/>
                <w:bCs/>
                <w:color w:val="1F2937"/>
                <w:sz w:val="20"/>
                <w:szCs w:val="20"/>
              </w:rPr>
              <w:t xml:space="preserve">Simulations individuelles</w:t>
            </w:r>
          </w:p>
        </w:tc>
        <w:tc>
          <w:p>
            <w:r>
              <w:rPr>
                <w:rFonts w:ascii="Calibri" w:cs="Calibri" w:eastAsia="Calibri" w:hAnsi="Calibri"/>
                <w:b w:val="false"/>
                <w:bCs w:val="false"/>
                <w:color w:val="1F2937"/>
                <w:sz w:val="20"/>
                <w:szCs w:val="20"/>
              </w:rPr>
              <w:t xml:space="preserve">En cours — envoi aux ESMS prévu automne 2026</w:t>
            </w:r>
          </w:p>
        </w:tc>
        <w:tc>
          <w:p>
            <w:r>
              <w:rPr>
                <w:rFonts w:ascii="Calibri" w:cs="Calibri" w:eastAsia="Calibri" w:hAnsi="Calibri"/>
                <w:b w:val="false"/>
                <w:bCs w:val="false"/>
                <w:color w:val="1F2937"/>
                <w:sz w:val="20"/>
                <w:szCs w:val="20"/>
              </w:rPr>
              <w:t xml:space="preserve">Automne 2026</w:t>
            </w:r>
          </w:p>
        </w:tc>
      </w:tr>
      <w:tr>
        <w:tc>
          <w:tcPr>
            <w:shd w:fill="EEF2F7" w:val="solid"/>
          </w:tcPr>
          <w:p>
            <w:r>
              <w:rPr>
                <w:rFonts w:ascii="Calibri" w:cs="Calibri" w:eastAsia="Calibri" w:hAnsi="Calibri"/>
                <w:b/>
                <w:bCs/>
                <w:color w:val="1F2937"/>
                <w:sz w:val="20"/>
                <w:szCs w:val="20"/>
              </w:rPr>
              <w:t xml:space="preserve">Recueil SIDOBA 2026</w:t>
            </w:r>
          </w:p>
        </w:tc>
        <w:tc>
          <w:tcPr>
            <w:shd w:fill="EEF2F7" w:val="solid"/>
          </w:tcPr>
          <w:p>
            <w:r>
              <w:rPr>
                <w:rFonts w:ascii="Calibri" w:cs="Calibri" w:eastAsia="Calibri" w:hAnsi="Calibri"/>
                <w:b w:val="false"/>
                <w:bCs w:val="false"/>
                <w:color w:val="1F2937"/>
                <w:sz w:val="20"/>
                <w:szCs w:val="20"/>
              </w:rPr>
              <w:t xml:space="preserve">Terminé — phases 1 et 2 conduites mars – juillet 2026</w:t>
            </w:r>
          </w:p>
        </w:tc>
        <w:tc>
          <w:tcPr>
            <w:shd w:fill="EEF2F7" w:val="solid"/>
          </w:tcPr>
          <w:p>
            <w:r>
              <w:rPr>
                <w:rFonts w:ascii="Calibri" w:cs="Calibri" w:eastAsia="Calibri" w:hAnsi="Calibri"/>
                <w:b w:val="false"/>
                <w:bCs w:val="false"/>
                <w:color w:val="1F2937"/>
                <w:sz w:val="20"/>
                <w:szCs w:val="20"/>
              </w:rPr>
              <w:t xml:space="preserve">Clôturé</w:t>
            </w:r>
          </w:p>
        </w:tc>
      </w:tr>
      <w:tr>
        <w:tc>
          <w:p>
            <w:r>
              <w:rPr>
                <w:rFonts w:ascii="Calibri" w:cs="Calibri" w:eastAsia="Calibri" w:hAnsi="Calibri"/>
                <w:b/>
                <w:bCs/>
                <w:color w:val="1F2937"/>
                <w:sz w:val="20"/>
                <w:szCs w:val="20"/>
              </w:rPr>
              <w:t xml:space="preserve">Décret n° 2026-376</w:t>
            </w:r>
          </w:p>
        </w:tc>
        <w:tc>
          <w:p>
            <w:r>
              <w:rPr>
                <w:rFonts w:ascii="Calibri" w:cs="Calibri" w:eastAsia="Calibri" w:hAnsi="Calibri"/>
                <w:b w:val="false"/>
                <w:bCs w:val="false"/>
                <w:color w:val="1F2937"/>
                <w:sz w:val="20"/>
                <w:szCs w:val="20"/>
              </w:rPr>
              <w:t xml:space="preserve">Publié au JORF le 13 mai 2026 — conditions de transmission des données</w:t>
            </w:r>
          </w:p>
        </w:tc>
        <w:tc>
          <w:p>
            <w:r>
              <w:rPr>
                <w:rFonts w:ascii="Calibri" w:cs="Calibri" w:eastAsia="Calibri" w:hAnsi="Calibri"/>
                <w:b w:val="false"/>
                <w:bCs w:val="false"/>
                <w:color w:val="1F2937"/>
                <w:sz w:val="20"/>
                <w:szCs w:val="20"/>
              </w:rPr>
              <w:t xml:space="preserve">13 mai 2026</w:t>
            </w:r>
          </w:p>
        </w:tc>
      </w:tr>
    </w:tbl>
    <w:p>
      <w:pPr>
        <w:spacing w:after="80" w:before="80"/>
      </w:pPr>
    </w:p>
    <w:p>
      <w:pPr>
        <w:spacing w:after="120" w:before="300"/>
      </w:pPr>
      <w:r>
        <w:rPr>
          <w:rFonts w:ascii="Calibri" w:cs="Calibri" w:eastAsia="Calibri" w:hAnsi="Calibri"/>
          <w:b/>
          <w:bCs/>
          <w:color w:val="1B3A6B"/>
          <w:sz w:val="28"/>
          <w:szCs w:val="28"/>
        </w:rPr>
        <w:t xml:space="preserve">Actualités de la semaine (16 – 23 sept. 2026)</w:t>
      </w:r>
    </w:p>
    <w:p>
      <w:pPr>
        <w:spacing w:after="60" w:before="60"/>
      </w:pPr>
      <w:r>
        <w:rPr>
          <w:rFonts w:ascii="Calibri" w:cs="Calibri" w:eastAsia="Calibri" w:hAnsi="Calibri"/>
          <w:color w:val="1F2937"/>
          <w:sz w:val="22"/>
          <w:szCs w:val="22"/>
        </w:rPr>
        <w:t xml:space="preserve">Aucune publication SERAFIN-PH identifiée sur les sources institutionnelles (handicap.gouv.fr, cnsa.fr, atih.sante.fr) pour la fenêtre annoncée.</w:t>
      </w:r>
    </w:p>
    <w:p>
      <w:pPr>
        <w:spacing w:after="60" w:before="60"/>
      </w:pPr>
      <w:r>
        <w:rPr>
          <w:rFonts w:ascii="Calibri" w:cs="Calibri" w:eastAsia="Calibri" w:hAnsi="Calibri"/>
          <w:color w:val="1F2937"/>
          <w:sz w:val="22"/>
          <w:szCs w:val="22"/>
        </w:rPr>
        <w:t xml:space="preserve">Déclaration honnête — voir la rubrique « Rappel / Contexte » ci-dessous pour les éléments les plus récents.</w:t>
      </w:r>
    </w:p>
    <w:p>
      <w:pPr>
        <w:spacing w:after="80" w:before="80"/>
      </w:pPr>
    </w:p>
    <w:p>
      <w:pPr>
        <w:spacing w:after="120" w:before="300"/>
      </w:pPr>
      <w:r>
        <w:rPr>
          <w:rFonts w:ascii="Calibri" w:cs="Calibri" w:eastAsia="Calibri" w:hAnsi="Calibri"/>
          <w:b/>
          <w:bCs/>
          <w:color w:val="1B3A6B"/>
          <w:sz w:val="28"/>
          <w:szCs w:val="28"/>
        </w:rPr>
        <w:t xml:space="preserve">Rappel / Contexte (événements récents hors fenêtre)</w:t>
      </w:r>
    </w:p>
    <w:p>
      <w:pPr>
        <w:spacing w:after="60" w:before="60"/>
      </w:pPr>
      <w:r>
        <w:rPr>
          <w:rFonts w:ascii="Calibri" w:cs="Calibri" w:eastAsia="Calibri" w:hAnsi="Calibri"/>
          <w:color w:val="1F2937"/>
          <w:sz w:val="22"/>
          <w:szCs w:val="22"/>
        </w:rPr>
        <w:t xml:space="preserve">Les éléments ci-dessous sont antérieurs à la fenêtre de veille (16–23 sept. 2026) mais constituent le contexte institutionnel le plus récent disponible.</w:t>
      </w:r>
    </w:p>
    <w:p>
      <w:pPr>
        <w:spacing w:after="80" w:before="80"/>
      </w:pPr>
    </w:p>
    <w:p>
      <w:pPr>
        <w:spacing w:after="80" w:before="80"/>
      </w:pPr>
      <w:r>
        <w:rPr>
          <w:rFonts w:ascii="Calibri" w:cs="Calibri" w:eastAsia="Calibri" w:hAnsi="Calibri"/>
          <w:color w:val="1F2937"/>
          <w:sz w:val="22"/>
          <w:szCs w:val="22"/>
        </w:rPr>
        <w:t xml:space="preserve">23 mars 2026 — 14e comité stratégique (</w:t>
      </w:r>
      <w:hyperlink w:history="1" r:id="rId_xdny-bcdzb38nwzx41fr">
        <w:r>
          <w:rPr>
            <w:rStyle w:val="Hyperlink"/>
            <w:rFonts w:ascii="Calibri" w:cs="Calibri" w:eastAsia="Calibri" w:hAnsi="Calibri"/>
            <w:color w:val="1155CC"/>
            <w:sz w:val="22"/>
            <w:szCs w:val="22"/>
            <w:u w:val="single"/>
          </w:rPr>
          <w:t xml:space="preserve">source</w:t>
        </w:r>
      </w:hyperlink>
      <w:r>
        <w:rPr>
          <w:rFonts w:ascii="Calibri" w:cs="Calibri" w:eastAsia="Calibri" w:hAnsi="Calibri"/>
          <w:color w:val="1F2937"/>
          <w:sz w:val="22"/>
          <w:szCs w:val="22"/>
        </w:rPr>
        <w:t xml:space="preserve">) : Camille Galliard-Minier, « ministre chargée de l'Autonomie et des Personnes handicapées », confirme la mise en œuvre opérationnelle de la réforme tarifaire au 1er janvier 2027 pour les ESMS enfants. Lancement du recueil de données le 30 mars 2026 via SIDOBA. Chaque ESMS recevra une simulation de l'impact de la réforme sur son financement. Mobilisation des ESMS et ARS jusqu'en automne 2026 pour vérifier la fiabilité des données.</w:t>
      </w:r>
    </w:p>
    <w:p>
      <w:pPr>
        <w:spacing w:after="80" w:before="80"/>
      </w:pPr>
      <w:r>
        <w:rPr>
          <w:rFonts w:ascii="Calibri" w:cs="Calibri" w:eastAsia="Calibri" w:hAnsi="Calibri"/>
          <w:color w:val="1F2937"/>
          <w:sz w:val="22"/>
          <w:szCs w:val="22"/>
        </w:rPr>
        <w:t xml:space="preserve">13 mai 2026 — Décret n° 2026-376 (</w:t>
      </w:r>
      <w:hyperlink w:history="1" r:id="rIdxzidt2odk7jtl0z08mcy5">
        <w:r>
          <w:rPr>
            <w:rStyle w:val="Hyperlink"/>
            <w:rFonts w:ascii="Calibri" w:cs="Calibri" w:eastAsia="Calibri" w:hAnsi="Calibri"/>
            <w:color w:val="1155CC"/>
            <w:sz w:val="22"/>
            <w:szCs w:val="22"/>
            <w:u w:val="single"/>
          </w:rPr>
          <w:t xml:space="preserve">Légifrance ⚠️ 403 blocage anti-robot</w:t>
        </w:r>
      </w:hyperlink>
      <w:r>
        <w:rPr>
          <w:rFonts w:ascii="Calibri" w:cs="Calibri" w:eastAsia="Calibri" w:hAnsi="Calibri"/>
          <w:color w:val="1F2937"/>
          <w:sz w:val="22"/>
          <w:szCs w:val="22"/>
        </w:rPr>
        <w:t xml:space="preserve">) : fixe les conditions de transmission des données nécessaires au calcul de la dotation globale de financement (art. 90 de la LFSS 2026). Collecte réalisée entre juin et début juillet 2026 pour les ESMS enfants/jeunes adultes — données non individuelles, portant sur l'activité globale.</w:t>
      </w:r>
    </w:p>
    <w:p>
      <w:pPr>
        <w:spacing w:after="80" w:before="80"/>
      </w:pPr>
      <w:r>
        <w:rPr>
          <w:rFonts w:ascii="Calibri" w:cs="Calibri" w:eastAsia="Calibri" w:hAnsi="Calibri"/>
          <w:color w:val="1F2937"/>
          <w:sz w:val="22"/>
          <w:szCs w:val="22"/>
        </w:rPr>
        <w:t xml:space="preserve">Mars–juillet 2026 — Recueil ciblé SIDOBA (</w:t>
      </w:r>
      <w:hyperlink w:history="1" r:id="rIdn28cbphvhumfbytmxeey1">
        <w:r>
          <w:rPr>
            <w:rStyle w:val="Hyperlink"/>
            <w:rFonts w:ascii="Calibri" w:cs="Calibri" w:eastAsia="Calibri" w:hAnsi="Calibri"/>
            <w:color w:val="1155CC"/>
            <w:sz w:val="22"/>
            <w:szCs w:val="22"/>
            <w:u w:val="single"/>
          </w:rPr>
          <w:t xml:space="preserve">CNSA</w:t>
        </w:r>
      </w:hyperlink>
      <w:r>
        <w:rPr>
          <w:rFonts w:ascii="Calibri" w:cs="Calibri" w:eastAsia="Calibri" w:hAnsi="Calibri"/>
          <w:color w:val="1F2937"/>
          <w:sz w:val="22"/>
          <w:szCs w:val="22"/>
        </w:rPr>
        <w:t xml:space="preserve">) : deux phases — phase 1 (mars 2026) : caractéristiques des places ; phase 2 (mai 2026) : indicateurs activité (~10 variables) et dotation complémentaire (6 variables). Recueil terminé.</w:t>
      </w:r>
    </w:p>
    <w:p>
      <w:pPr>
        <w:spacing w:after="80" w:before="80"/>
      </w:pPr>
      <w:r>
        <w:rPr>
          <w:rFonts w:ascii="Calibri" w:cs="Calibri" w:eastAsia="Calibri" w:hAnsi="Calibri"/>
          <w:i/>
          <w:iCs/>
          <w:color w:val="1F2937"/>
          <w:sz w:val="22"/>
          <w:szCs w:val="22"/>
        </w:rPr>
        <w:t xml:space="preserve">Automne 2026 (en cours) — Simulations théoriques : chaque ESMS concerné recevra la projection de son enveloppe dans le nouveau modèle, base de préparation pour la transition au 1er janvier 2027.</w:t>
      </w:r>
    </w:p>
    <w:p>
      <w:pPr>
        <w:spacing w:after="80" w:before="80"/>
      </w:pPr>
    </w:p>
    <w:p>
      <w:pPr>
        <w:spacing w:after="120" w:before="300"/>
      </w:pPr>
      <w:r>
        <w:rPr>
          <w:rFonts w:ascii="Calibri" w:cs="Calibri" w:eastAsia="Calibri" w:hAnsi="Calibri"/>
          <w:b/>
          <w:bCs/>
          <w:color w:val="1B3A6B"/>
          <w:sz w:val="28"/>
          <w:szCs w:val="28"/>
        </w:rPr>
        <w:t xml:space="preserve">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gridSpan w:val="1"/>
            <w:shd w:fill="1B3A6B" w:val="solid"/>
          </w:tcPr>
          <w:p>
            <w:pPr>
              <w:jc w:val="left"/>
            </w:pPr>
            <w:r>
              <w:rPr>
                <w:rFonts w:ascii="Calibri" w:cs="Calibri" w:eastAsia="Calibri" w:hAnsi="Calibri"/>
                <w:b/>
                <w:bCs/>
                <w:color w:val="FFFFFF"/>
                <w:sz w:val="20"/>
                <w:szCs w:val="20"/>
              </w:rPr>
              <w:t xml:space="preserve">⚠️ Point de vigilance</w:t>
            </w:r>
          </w:p>
        </w:tc>
        <w:tc>
          <w:tcPr>
            <w:tcW w:type="pct" w:w="70%"/>
            <w:gridSpan w:val="1"/>
            <w:shd w:fill="1B3A6B" w:val="solid"/>
          </w:tcPr>
          <w:p>
            <w:pPr>
              <w:jc w:val="left"/>
            </w:pPr>
            <w:r>
              <w:rPr>
                <w:rFonts w:ascii="Calibri" w:cs="Calibri" w:eastAsia="Calibri" w:hAnsi="Calibri"/>
                <w:b/>
                <w:bCs/>
                <w:color w:val="FFFFFF"/>
                <w:sz w:val="20"/>
                <w:szCs w:val="20"/>
              </w:rPr>
              <w:t xml:space="preserve">Détail pratique</w:t>
            </w:r>
          </w:p>
        </w:tc>
      </w:tr>
      <w:tr>
        <w:tc>
          <w:p>
            <w:r>
              <w:rPr>
                <w:rFonts w:ascii="Calibri" w:cs="Calibri" w:eastAsia="Calibri" w:hAnsi="Calibri"/>
                <w:b/>
                <w:bCs/>
                <w:color w:val="1F2937"/>
                <w:sz w:val="20"/>
                <w:szCs w:val="20"/>
              </w:rPr>
              <w:t xml:space="preserve">⚠️ Simulations individuelles imminentes</w:t>
            </w:r>
          </w:p>
        </w:tc>
        <w:tc>
          <w:p>
            <w:r>
              <w:rPr>
                <w:rFonts w:ascii="Calibri" w:cs="Calibri" w:eastAsia="Calibri" w:hAnsi="Calibri"/>
                <w:b w:val="false"/>
                <w:bCs w:val="false"/>
                <w:color w:val="1F2937"/>
                <w:sz w:val="20"/>
                <w:szCs w:val="20"/>
              </w:rPr>
              <w:t xml:space="preserve">Chaque ESMS enfants concerné recevra à l'automne 2026 sa simulation financière. Anticiper l'analyse avec le CA et le CVS ; préparer les questions sur la dotation complémentaire.</w:t>
            </w:r>
          </w:p>
        </w:tc>
      </w:tr>
      <w:tr>
        <w:tc>
          <w:tcPr>
            <w:shd w:fill="EEF2F7" w:val="solid"/>
          </w:tcPr>
          <w:p>
            <w:r>
              <w:rPr>
                <w:rFonts w:ascii="Calibri" w:cs="Calibri" w:eastAsia="Calibri" w:hAnsi="Calibri"/>
                <w:b/>
                <w:bCs/>
                <w:color w:val="1F2937"/>
                <w:sz w:val="20"/>
                <w:szCs w:val="20"/>
              </w:rPr>
              <w:t xml:space="preserve">⚠️ Dotation complémentaire — 6 critères</w:t>
            </w:r>
          </w:p>
        </w:tc>
        <w:tc>
          <w:tcPr>
            <w:shd w:fill="EEF2F7" w:val="solid"/>
          </w:tcPr>
          <w:p>
            <w:r>
              <w:rPr>
                <w:rFonts w:ascii="Calibri" w:cs="Calibri" w:eastAsia="Calibri" w:hAnsi="Calibri"/>
                <w:b w:val="false"/>
                <w:bCs w:val="false"/>
                <w:color w:val="1F2937"/>
                <w:sz w:val="20"/>
                <w:szCs w:val="20"/>
              </w:rPr>
              <w:t xml:space="preserve">Complexité de situation, scolarisation en milieu ordinaire, coopération, soutien en environnement ordinaire, autodétermination, usage du numérique. Vérifier comment l'ESMS se positionne sur chaque critère.</w:t>
            </w:r>
          </w:p>
        </w:tc>
      </w:tr>
      <w:tr>
        <w:tc>
          <w:p>
            <w:r>
              <w:rPr>
                <w:rFonts w:ascii="Calibri" w:cs="Calibri" w:eastAsia="Calibri" w:hAnsi="Calibri"/>
                <w:b/>
                <w:bCs/>
                <w:color w:val="1F2937"/>
                <w:sz w:val="20"/>
                <w:szCs w:val="20"/>
              </w:rPr>
              <w:t xml:space="preserve">⚠️ Périmètre 2027 : secteur enfance uniquement</w:t>
            </w:r>
          </w:p>
        </w:tc>
        <w:tc>
          <w:p>
            <w:r>
              <w:rPr>
                <w:rFonts w:ascii="Calibri" w:cs="Calibri" w:eastAsia="Calibri" w:hAnsi="Calibri"/>
                <w:b w:val="false"/>
                <w:bCs w:val="false"/>
                <w:color w:val="1F2937"/>
                <w:sz w:val="20"/>
                <w:szCs w:val="20"/>
              </w:rPr>
              <w:t xml:space="preserve">Le déploiement au 1er janvier 2027 ne concerne que les ESMS accompagnant des enfants, adolescents et jeunes adultes en situation de handicap. Les ESMS adultes ne sont PAS concernés par cette première phase.</w:t>
            </w:r>
          </w:p>
        </w:tc>
      </w:tr>
      <w:tr>
        <w:tc>
          <w:tcPr>
            <w:shd w:fill="EEF2F7" w:val="solid"/>
          </w:tcPr>
          <w:p>
            <w:r>
              <w:rPr>
                <w:rFonts w:ascii="Calibri" w:cs="Calibri" w:eastAsia="Calibri" w:hAnsi="Calibri"/>
                <w:b/>
                <w:bCs/>
                <w:color w:val="1F2937"/>
                <w:sz w:val="20"/>
                <w:szCs w:val="20"/>
              </w:rPr>
              <w:t xml:space="preserve">⚠️ SIDOBA ouverte depuis le 30 mars 2026</w:t>
            </w:r>
          </w:p>
        </w:tc>
        <w:tc>
          <w:tcPr>
            <w:shd w:fill="EEF2F7" w:val="solid"/>
          </w:tcPr>
          <w:p>
            <w:r>
              <w:rPr>
                <w:rFonts w:ascii="Calibri" w:cs="Calibri" w:eastAsia="Calibri" w:hAnsi="Calibri"/>
                <w:b w:val="false"/>
                <w:bCs w:val="false"/>
                <w:color w:val="1F2937"/>
                <w:sz w:val="20"/>
                <w:szCs w:val="20"/>
              </w:rPr>
              <w:t xml:space="preserve">L'application SIDOBA SERAFIN est ouverte aux ESMS et aux ARS depuis le lancement du recueil. Ce n'est pas « à venir » : le recueil 2026 est terminé depuis juillet 2026.</w:t>
            </w:r>
          </w:p>
        </w:tc>
      </w:tr>
      <w:tr>
        <w:tc>
          <w:p>
            <w:r>
              <w:rPr>
                <w:rFonts w:ascii="Calibri" w:cs="Calibri" w:eastAsia="Calibri" w:hAnsi="Calibri"/>
                <w:b/>
                <w:bCs/>
                <w:color w:val="1F2937"/>
                <w:sz w:val="20"/>
                <w:szCs w:val="20"/>
              </w:rPr>
              <w:t xml:space="preserve">⚠️ Trajectoire de convergence 8 ans (2027-2034)</w:t>
            </w:r>
          </w:p>
        </w:tc>
        <w:tc>
          <w:p>
            <w:r>
              <w:rPr>
                <w:rFonts w:ascii="Calibri" w:cs="Calibri" w:eastAsia="Calibri" w:hAnsi="Calibri"/>
                <w:b w:val="false"/>
                <w:bCs w:val="false"/>
                <w:color w:val="1F2937"/>
                <w:sz w:val="20"/>
                <w:szCs w:val="20"/>
              </w:rPr>
              <w:t xml:space="preserve">La réforme s'applique progressivement. Un gap peut exister entre la simulation de l'automne et l'impact réel sur les premières années. La direction doit scénariser les évolutions de financement dès maintenant.</w:t>
            </w:r>
          </w:p>
        </w:tc>
      </w:tr>
    </w:tbl>
    <w:p>
      <w:pPr>
        <w:spacing w:after="80" w:before="80"/>
      </w:pPr>
    </w:p>
    <w:p>
      <w:pPr>
        <w:spacing w:after="120" w:before="300"/>
      </w:pPr>
      <w:r>
        <w:rPr>
          <w:rFonts w:ascii="Calibri" w:cs="Calibri" w:eastAsia="Calibri" w:hAnsi="Calibri"/>
          <w:b/>
          <w:bCs/>
          <w:color w:val="1B3A6B"/>
          <w:sz w:val="28"/>
          <w:szCs w:val="28"/>
        </w:rPr>
        <w:t xml:space="preserve">Agenda — Prochains rendez-vous</w:t>
      </w:r>
    </w:p>
    <w:p>
      <w:pPr>
        <w:spacing w:after="60" w:before="60"/>
      </w:pPr>
      <w:r>
        <w:rPr>
          <w:rFonts w:ascii="Calibri" w:cs="Calibri" w:eastAsia="Calibri" w:hAnsi="Calibri"/>
          <w:color w:val="1F2937"/>
          <w:sz w:val="22"/>
          <w:szCs w:val="22"/>
        </w:rPr>
        <w:t xml:space="preserve">[ ] Automne 2026 — Réception des simulations théoriques individuelles par les ESMS enfants (source : comité stratégique 23 mars 2026, confirmé CNSA)</w:t>
      </w:r>
    </w:p>
    <w:p>
      <w:pPr>
        <w:spacing w:after="60" w:before="60"/>
      </w:pPr>
      <w:r>
        <w:rPr>
          <w:rFonts w:ascii="Calibri" w:cs="Calibri" w:eastAsia="Calibri" w:hAnsi="Calibri"/>
          <w:color w:val="1F2937"/>
          <w:sz w:val="22"/>
          <w:szCs w:val="22"/>
        </w:rPr>
        <w:t xml:space="preserve">[ ] 1er janvier 2027 — Déploiement opérationnel SERAFIN-PH, secteur enfance — dotation globale de financement en vigueur</w:t>
      </w:r>
    </w:p>
    <w:p>
      <w:pPr>
        <w:spacing w:after="60" w:before="60"/>
      </w:pPr>
      <w:r>
        <w:rPr>
          <w:rFonts w:ascii="Calibri" w:cs="Calibri" w:eastAsia="Calibri" w:hAnsi="Calibri"/>
          <w:color w:val="1F2937"/>
          <w:sz w:val="22"/>
          <w:szCs w:val="22"/>
        </w:rPr>
        <w:t xml:space="preserve">[ ] 2027-2034 — Trajectoire de convergence tarifaire progressive sur 8 ans</w:t>
      </w:r>
    </w:p>
    <w:p>
      <w:pPr>
        <w:spacing w:after="80" w:before="80"/>
      </w:pPr>
    </w:p>
    <w:p>
      <w:pPr>
        <w:spacing w:after="120" w:before="300"/>
      </w:pPr>
      <w:r>
        <w:rPr>
          <w:rFonts w:ascii="Calibri" w:cs="Calibri" w:eastAsia="Calibri" w:hAnsi="Calibri"/>
          <w:b/>
          <w:bCs/>
          <w:color w:val="1B3A6B"/>
          <w:sz w:val="28"/>
          <w:szCs w:val="28"/>
        </w:rPr>
        <w:t xml:space="preserve">Rappel SERAFIN-PH — Rôle de chaque 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gridSpan w:val="1"/>
            <w:shd w:fill="1B3A6B" w:val="solid"/>
          </w:tcPr>
          <w:p>
            <w:pPr>
              <w:jc w:val="left"/>
            </w:pPr>
            <w:r>
              <w:rPr>
                <w:rFonts w:ascii="Calibri" w:cs="Calibri" w:eastAsia="Calibri" w:hAnsi="Calibri"/>
                <w:b/>
                <w:bCs/>
                <w:color w:val="FFFFFF"/>
                <w:sz w:val="20"/>
                <w:szCs w:val="20"/>
              </w:rPr>
              <w:t xml:space="preserve">Acteur</w:t>
            </w:r>
          </w:p>
        </w:tc>
        <w:tc>
          <w:tcPr>
            <w:tcW w:type="pct" w:w="75%"/>
            <w:gridSpan w:val="1"/>
            <w:shd w:fill="1B3A6B" w:val="solid"/>
          </w:tcPr>
          <w:p>
            <w:pPr>
              <w:jc w:val="left"/>
            </w:pPr>
            <w:r>
              <w:rPr>
                <w:rFonts w:ascii="Calibri" w:cs="Calibri" w:eastAsia="Calibri" w:hAnsi="Calibri"/>
                <w:b/>
                <w:bCs/>
                <w:color w:val="FFFFFF"/>
                <w:sz w:val="20"/>
                <w:szCs w:val="20"/>
              </w:rPr>
              <w:t xml:space="preserve">Rôle dans la réforme SERAFIN-PH</w:t>
            </w:r>
          </w:p>
        </w:tc>
      </w:tr>
      <w:tr>
        <w:tc>
          <w:p>
            <w:r>
              <w:rPr>
                <w:rFonts w:ascii="Calibri" w:cs="Calibri" w:eastAsia="Calibri" w:hAnsi="Calibri"/>
                <w:b/>
                <w:bCs/>
                <w:color w:val="1F2937"/>
                <w:sz w:val="20"/>
                <w:szCs w:val="20"/>
              </w:rPr>
              <w:t xml:space="preserve">DGCS
(Direction générale de la cohésion sociale)</w:t>
            </w:r>
          </w:p>
        </w:tc>
        <w:tc>
          <w:p>
            <w:r>
              <w:rPr>
                <w:rFonts w:ascii="Calibri" w:cs="Calibri" w:eastAsia="Calibri" w:hAnsi="Calibri"/>
                <w:b w:val="false"/>
                <w:bCs w:val="false"/>
                <w:color w:val="1F2937"/>
                <w:sz w:val="20"/>
                <w:szCs w:val="20"/>
              </w:rPr>
              <w:t xml:space="preserve">Pilotage national de la réforme ; co-construction du modèle avec la CNSA ; publication des textes réglementaires (décrets, arrêtés).</w:t>
            </w:r>
          </w:p>
        </w:tc>
      </w:tr>
      <w:tr>
        <w:tc>
          <w:tcPr>
            <w:shd w:fill="EEF2F7" w:val="solid"/>
          </w:tcPr>
          <w:p>
            <w:r>
              <w:rPr>
                <w:rFonts w:ascii="Calibri" w:cs="Calibri" w:eastAsia="Calibri" w:hAnsi="Calibri"/>
                <w:b/>
                <w:bCs/>
                <w:color w:val="1F2937"/>
                <w:sz w:val="20"/>
                <w:szCs w:val="20"/>
              </w:rPr>
              <w:t xml:space="preserve">CNSA
(Caisse nationale de solidarité pour l'autonomie)</w:t>
            </w:r>
          </w:p>
        </w:tc>
        <w:tc>
          <w:tcPr>
            <w:shd w:fill="EEF2F7" w:val="solid"/>
          </w:tcPr>
          <w:p>
            <w:r>
              <w:rPr>
                <w:rFonts w:ascii="Calibri" w:cs="Calibri" w:eastAsia="Calibri" w:hAnsi="Calibri"/>
                <w:b w:val="false"/>
                <w:bCs w:val="false"/>
                <w:color w:val="1F2937"/>
                <w:sz w:val="20"/>
                <w:szCs w:val="20"/>
              </w:rPr>
              <w:t xml:space="preserve">Co-pilotage ; gestion du système d'information SIDOBA pour le recueil et le calcul des dotations ; simulations individuelles ; appui technique aux ARS et ESMS.</w:t>
            </w:r>
          </w:p>
        </w:tc>
      </w:tr>
      <w:tr>
        <w:tc>
          <w:p>
            <w:r>
              <w:rPr>
                <w:rFonts w:ascii="Calibri" w:cs="Calibri" w:eastAsia="Calibri" w:hAnsi="Calibri"/>
                <w:b/>
                <w:bCs/>
                <w:color w:val="1F2937"/>
                <w:sz w:val="20"/>
                <w:szCs w:val="20"/>
              </w:rPr>
              <w:t xml:space="preserve">ATIH
(Agence technique de l'information sur l'hospitalisation)</w:t>
            </w:r>
          </w:p>
        </w:tc>
        <w:tc>
          <w:p>
            <w:r>
              <w:rPr>
                <w:rFonts w:ascii="Calibri" w:cs="Calibri" w:eastAsia="Calibri" w:hAnsi="Calibri"/>
                <w:b w:val="false"/>
                <w:bCs w:val="false"/>
                <w:color w:val="1F2937"/>
                <w:sz w:val="20"/>
                <w:szCs w:val="20"/>
              </w:rPr>
              <w:t xml:space="preserve">Collecte des données nationales via RAMSECE-PH (recueil PH 2025) ; expertise sur les nomenclatures et les indicateurs d'activité.</w:t>
            </w:r>
          </w:p>
        </w:tc>
      </w:tr>
      <w:tr>
        <w:tc>
          <w:tcPr>
            <w:shd w:fill="EEF2F7" w:val="solid"/>
          </w:tcPr>
          <w:p>
            <w:r>
              <w:rPr>
                <w:rFonts w:ascii="Calibri" w:cs="Calibri" w:eastAsia="Calibri" w:hAnsi="Calibri"/>
                <w:b/>
                <w:bCs/>
                <w:color w:val="1F2937"/>
                <w:sz w:val="20"/>
                <w:szCs w:val="20"/>
              </w:rPr>
              <w:t xml:space="preserve">ARS
(Agences régionales de santé)</w:t>
            </w:r>
          </w:p>
        </w:tc>
        <w:tc>
          <w:tcPr>
            <w:shd w:fill="EEF2F7" w:val="solid"/>
          </w:tcPr>
          <w:p>
            <w:r>
              <w:rPr>
                <w:rFonts w:ascii="Calibri" w:cs="Calibri" w:eastAsia="Calibri" w:hAnsi="Calibri"/>
                <w:b w:val="false"/>
                <w:bCs w:val="false"/>
                <w:color w:val="1F2937"/>
                <w:sz w:val="20"/>
                <w:szCs w:val="20"/>
              </w:rPr>
              <w:t xml:space="preserve">Interlocuteur régional des ESMS ; vérification de la fiabilité des données jusqu'en automne 2026 ; transmission à la CNSA.</w:t>
            </w:r>
          </w:p>
        </w:tc>
      </w:tr>
      <w:tr>
        <w:tc>
          <w:p>
            <w:r>
              <w:rPr>
                <w:rFonts w:ascii="Calibri" w:cs="Calibri" w:eastAsia="Calibri" w:hAnsi="Calibri"/>
                <w:b/>
                <w:bCs/>
                <w:color w:val="1F2937"/>
                <w:sz w:val="20"/>
                <w:szCs w:val="20"/>
              </w:rPr>
              <w:t xml:space="preserve">Comité stratégique SERAFIN-PH</w:t>
            </w:r>
          </w:p>
        </w:tc>
        <w:tc>
          <w:p>
            <w:r>
              <w:rPr>
                <w:rFonts w:ascii="Calibri" w:cs="Calibri" w:eastAsia="Calibri" w:hAnsi="Calibri"/>
                <w:b w:val="false"/>
                <w:bCs w:val="false"/>
                <w:color w:val="1F2937"/>
                <w:sz w:val="20"/>
                <w:szCs w:val="20"/>
              </w:rPr>
              <w:t xml:space="preserve">Instance décisionnelle présidée par la ministre chargée de l'Autonomie et des Personnes handicapées (Camille Galliard-Minier, depuis la 14e réunion du 23 mars 2026). Co-piloté par la DGCS et la CNSA.</w:t>
            </w:r>
          </w:p>
        </w:tc>
      </w:tr>
    </w:tbl>
    <w:p>
      <w:pPr>
        <w:spacing w:after="80" w:before="80"/>
      </w:pPr>
    </w:p>
    <w:p>
      <w:pPr>
        <w:spacing w:after="80" w:before="240"/>
      </w:pPr>
      <w:r>
        <w:rPr>
          <w:rFonts w:ascii="Calibri" w:cs="Calibri" w:eastAsia="Calibri" w:hAnsi="Calibri"/>
          <w:b/>
          <w:bCs/>
          <w:color w:val="1B3A6B"/>
          <w:sz w:val="24"/>
          <w:szCs w:val="24"/>
        </w:rPr>
        <w:t xml:space="preserve">Informations de production</w:t>
      </w:r>
    </w:p>
    <w:p>
      <w:pPr>
        <w:spacing w:after="60" w:before="60"/>
      </w:pPr>
      <w:r>
        <w:rPr>
          <w:rFonts w:ascii="Calibri" w:cs="Calibri" w:eastAsia="Calibri" w:hAnsi="Calibri"/>
          <w:color w:val="1F2937"/>
          <w:sz w:val="22"/>
          <w:szCs w:val="22"/>
        </w:rPr>
        <w:t xml:space="preserve">Date de production : 23 septembre 2026</w:t>
      </w:r>
    </w:p>
    <w:p>
      <w:pPr>
        <w:spacing w:after="60" w:before="60"/>
      </w:pPr>
      <w:r>
        <w:rPr>
          <w:rFonts w:ascii="Calibri" w:cs="Calibri" w:eastAsia="Calibri" w:hAnsi="Calibri"/>
          <w:color w:val="1F2937"/>
          <w:sz w:val="22"/>
          <w:szCs w:val="22"/>
        </w:rPr>
        <w:t xml:space="preserve">Fenêtre couverte : 16 – 23 septembre 2026</w:t>
      </w:r>
    </w:p>
    <w:p>
      <w:pPr>
        <w:spacing w:after="60" w:before="60"/>
      </w:pPr>
      <w:r>
        <w:rPr>
          <w:rFonts w:ascii="Calibri" w:cs="Calibri" w:eastAsia="Calibri" w:hAnsi="Calibri"/>
          <w:b/>
          <w:bCs/>
          <w:color w:val="1F2937"/>
          <w:sz w:val="20"/>
          <w:szCs w:val="20"/>
        </w:rPr>
        <w:t xml:space="preserve">Sources accessibles (✅) : </w:t>
      </w:r>
      <w:r>
        <w:rPr>
          <w:rFonts w:ascii="Calibri" w:cs="Calibri" w:eastAsia="Calibri" w:hAnsi="Calibri"/>
          <w:color w:val="1F2937"/>
          <w:sz w:val="20"/>
          <w:szCs w:val="20"/>
        </w:rPr>
        <w:t xml:space="preserve">3 — handicap.gouv.fr (14e comité), cnsa.fr (page SERAFIN-PH), atih.sante.fr (recueil PH 2025)</w:t>
      </w:r>
    </w:p>
    <w:p>
      <w:pPr>
        <w:spacing w:after="60" w:before="60"/>
      </w:pPr>
      <w:r>
        <w:rPr>
          <w:rFonts w:ascii="Calibri" w:cs="Calibri" w:eastAsia="Calibri" w:hAnsi="Calibri"/>
          <w:color w:val="1F2937"/>
          <w:sz w:val="22"/>
          <w:szCs w:val="22"/>
        </w:rPr>
        <w:t xml:space="preserve">Sources ⚠️ : 2 — CNSA article PH 2026 (HTTP 200, non ouverte directement), Légifrance Décret 2026-376 (403 blocage anti-robot, URL vérifiée)</w:t>
      </w:r>
    </w:p>
    <w:p>
      <w:pPr>
        <w:spacing w:after="60" w:before="60"/>
      </w:pPr>
      <w:r>
        <w:rPr>
          <w:rFonts w:ascii="Calibri" w:cs="Calibri" w:eastAsia="Calibri" w:hAnsi="Calibri"/>
          <w:color w:val="1F2937"/>
          <w:sz w:val="22"/>
          <w:szCs w:val="22"/>
        </w:rPr>
        <w:t xml:space="preserve">Aucun fait d'actualité de mémoire utilisé. Aucune citation entre guillemets non vérifiable mot pour mot.</w:t>
      </w:r>
    </w:p>
    <w:sectPr>
      <w:pgSz w:w="11906" w:h="16838" w:orient="portrait"/>
      <w:pgMar w:top="793" w:right="1020" w:bottom="793"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shmdxsjshqamscanf6" Type="http://schemas.openxmlformats.org/officeDocument/2006/relationships/hyperlink" Target="https://handicap.gouv.fr/reforme-tarifaire-des-esms-serafin-ph-14e-reunion-du-comite-strategique" TargetMode="External"/><Relationship Id="rId4ktuwwho-jb1fzv74f1r3" Type="http://schemas.openxmlformats.org/officeDocument/2006/relationships/hyperlink" Target="https://www.cnsa.fr/budget-et-financement/serafin-PH" TargetMode="External"/><Relationship Id="rIdcxpnaybw0nfmebk8ipaxv" Type="http://schemas.openxmlformats.org/officeDocument/2006/relationships/hyperlink" Target="https://www.cnsa.fr/actualites/serafin-ph-preparation-du-recueil-dinformations-ph-2026-en-vue-du-deploiement-du-futur" TargetMode="External"/><Relationship Id="rIdichyatjmjx7ziht88eqve" Type="http://schemas.openxmlformats.org/officeDocument/2006/relationships/hyperlink" Target="https://www.atih.sante.fr/recueil-national-ph-2025" TargetMode="External"/><Relationship Id="rIdopby8c1sursebuynzk_kb" Type="http://schemas.openxmlformats.org/officeDocument/2006/relationships/hyperlink" Target="https://www.legifrance.gouv.fr/jorf/id/JORFTEXT000054103861" TargetMode="External"/><Relationship Id="rId_xdny-bcdzb38nwzx41fr" Type="http://schemas.openxmlformats.org/officeDocument/2006/relationships/hyperlink" Target="https://handicap.gouv.fr/reforme-tarifaire-des-esms-serafin-ph-14e-reunion-du-comite-strategique" TargetMode="External"/><Relationship Id="rIdxzidt2odk7jtl0z08mcy5" Type="http://schemas.openxmlformats.org/officeDocument/2006/relationships/hyperlink" Target="https://www.legifrance.gouv.fr/jorf/id/JORFTEXT000054103861" TargetMode="External"/><Relationship Id="rIdn28cbphvhumfbytmxeey1" Type="http://schemas.openxmlformats.org/officeDocument/2006/relationships/hyperlink" Target="https://www.cnsa.fr/budget-et-financement/serafin-PH"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2026-09-23T06:08:23.881Z</dcterms:created>
  <dcterms:modified xsi:type="dcterms:W3CDTF">2026-09-23T06:08:23.883Z</dcterms:modified>
</cp:coreProperties>
</file>

<file path=docProps/custom.xml><?xml version="1.0" encoding="utf-8"?>
<Properties xmlns="http://schemas.openxmlformats.org/officeDocument/2006/custom-properties" xmlns:vt="http://schemas.openxmlformats.org/officeDocument/2006/docPropsVTypes"/>
</file>