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color w:val="1B3A6B"/>
          <w:sz w:val="52"/>
          <w:szCs w:val="52"/>
        </w:rPr>
        <w:t xml:space="preserve">Leçon Stoïcisme n°17 — Stoïcisme et christianisme : emprunts, divergences, postérité</w:t>
      </w:r>
    </w:p>
    <w:p>
      <w:pPr>
        <w:spacing w:after="80"/>
        <w:jc w:val="center"/>
      </w:pPr>
      <w:r>
        <w:rPr>
          <w:rFonts w:ascii="Times New Roman" w:cs="Times New Roman" w:eastAsia="Times New Roman" w:hAnsi="Times New Roman"/>
          <w:i/>
          <w:iCs/>
          <w:color w:val="1F2937"/>
          <w:sz w:val="22"/>
          <w:szCs w:val="22"/>
        </w:rPr>
        <w:t xml:space="preserve">1er octobre 2026  ·  Leçon 17 / 20</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b w:val="false"/>
          <w:bCs w:val="false"/>
          <w:i w:val="false"/>
          <w:iCs w:val="false"/>
          <w:color w:val="1F2937"/>
          <w:sz w:val="22"/>
          <w:szCs w:val="22"/>
        </w:rPr>
        <w:t xml:space="preserve">À la fin de cette leçon, tu sauras identifier les cinq principaux emprunts du christianisme au stoïcisme, articuler les cinq divergences irréductibles entre les deux traditions, et situer le néo-stoïcisme (XVIe s.) comme moment de synthèse consciente. Tu seras capable d'expliquer pourquoi le logos stoïcien a fasciné les premiers chrétiens tout en restant philosophiquement irréconciliable avec le Dieu personnel du christianisme.</w:t>
      </w:r>
    </w:p>
    <w:p>
      <w:pPr>
        <w:spacing w:after="120"/>
      </w:pPr>
      <w:r>
        <w:rPr>
          <w:rFonts w:ascii="Times New Roman" w:cs="Times New Roman" w:eastAsia="Times New Roman" w:hAnsi="Times New Roman"/>
          <w:b/>
          <w:bCs/>
          <w:i w:val="false"/>
          <w:iCs w:val="false"/>
          <w:color w:val="1F2937"/>
          <w:sz w:val="22"/>
          <w:szCs w:val="22"/>
        </w:rPr>
        <w:t xml:space="preserve">Continuité : </w:t>
      </w:r>
      <w:r>
        <w:rPr>
          <w:rFonts w:ascii="Times New Roman" w:cs="Times New Roman" w:eastAsia="Times New Roman" w:hAnsi="Times New Roman"/>
          <w:b w:val="false"/>
          <w:bCs w:val="false"/>
          <w:i w:val="false"/>
          <w:iCs w:val="false"/>
          <w:color w:val="1F2937"/>
          <w:sz w:val="22"/>
          <w:szCs w:val="22"/>
        </w:rPr>
        <w:t xml:space="preserve">La leçon 16 a exploré les exercices spirituels chez Pierre Hadot, qui montre comment la pratique stoïcienne a irrigué la spiritualité occidentale, chrétienne comprise. Cette leçon prolonge ce fil : au lieu de regarder la pratique, nous regardons la doctrine — et les lieux où le dialogue s'est noué, puis rompu.</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Théorie (20 %)</w:t>
      </w:r>
    </w:p>
    <w:p>
      <w:pPr>
        <w:pStyle w:val="Heading3"/>
        <w:spacing w:after="80" w:before="180"/>
      </w:pPr>
      <w:r>
        <w:rPr>
          <w:rFonts w:ascii="Times New Roman" w:cs="Times New Roman" w:eastAsia="Times New Roman" w:hAnsi="Times New Roman"/>
          <w:b/>
          <w:bCs/>
          <w:color w:val="1F2937"/>
          <w:sz w:val="26"/>
          <w:szCs w:val="26"/>
        </w:rPr>
        <w:t xml:space="preserve">1. Deux mondes contemporains</w:t>
      </w:r>
    </w:p>
    <w:p>
      <w:pPr>
        <w:spacing w:after="120"/>
      </w:pPr>
      <w:r>
        <w:rPr>
          <w:rFonts w:ascii="Times New Roman" w:cs="Times New Roman" w:eastAsia="Times New Roman" w:hAnsi="Times New Roman"/>
          <w:b w:val="false"/>
          <w:bCs w:val="false"/>
          <w:i w:val="false"/>
          <w:iCs w:val="false"/>
          <w:color w:val="1F2937"/>
          <w:sz w:val="22"/>
          <w:szCs w:val="22"/>
        </w:rPr>
        <w:t xml:space="preserve">Le stoïcisme impérial et le christianisme primitif sont contemporains : Sénèque meurt en 65 apr. J.-C., Paul de Tarse circule dans le monde romain au même moment. Les deux traditions naissent dans le même bain culturel hellénistique, s'adressent aux mêmes classes urbaines, et proposent toutes deux une philosophie de vie face à la souffrance, à la mort et à l'injustice. Une correspondance apocryphe entre Paul et Sénèque circule dès l'Antiquité — mentionnée par Jérôme et Augustin — ; son inauthenticité n'empêche pas qu'elle témoigne de la conviction, partagée très tôt, que les deux hommes avaient beaucoup à se dire (d'après Durand, Shogry et Baltzly, Stanford Encyclopedia of Philosophy, « Stoicism », 2023).</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2. Les cinq emprunts majeurs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Logos : le concept stoïcien de raison universelle qui gouverne le cosmos est repris dans le prologue de l'Évangile de Jean (Jean 1:1), où l'auteur identifie d'emblée le Verbe (Logos) à Dieu et au principe de toute création. C'est le point de contact le plus important. Justin Martyr (IIe s.) reconnaîtra explicitement la filiation stoïcienne tout en affirmant que le Logos s'est pleinement incarné dans le Christ.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droit naturel : selon Durand, Shogry et Baltzly (SEP), la tradition des théories du droit naturel en éthique semble découlter directement du stoïcisme. La chaîne va du kathêkon et de l'oikeiôsis stoïciens à Cicéron, puis à Thomas d'Aquin (Summa Theologica II, 2, q. 94) et aux juristes modernes comme Hugo Grotius.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La fraternité universelle : l'oikeiôsis stoïcienne (sentiment naturel d'appartenance à l'humanité) résonne avec le concept chrétien d'imago Dei — chaque être humain porte l'image divine, base de sa dignité absolue.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La Providence : la pronoia stoïcienne (raison divine guidant le cosmos) est réinterprétée en providence chrétienne personnelle — non plus une loi immanente, mais un Dieu qui veille sur chaque individu.</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L'Enchiridion adapté : selon Samuli Siikavirta (Univ. Cambridge), dont la recension du livre « Stoicism in Early Christianity » figure en ressources, des théologiens chrétiens ont adapté l'Enchiridion d'Épictète à trois reprises pour le monachisme, remplaçant les références à Zeus et au Logos par des références à Dieu. Là où le texte passait, le système théologique sous-jacent, lui, ne passait pas toujours.</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3. Les Pères de l'Église et le stoïcisme</w:t>
      </w:r>
    </w:p>
    <w:p>
      <w:pPr>
        <w:spacing w:after="120"/>
      </w:pPr>
      <w:r>
        <w:rPr>
          <w:rFonts w:ascii="Times New Roman" w:cs="Times New Roman" w:eastAsia="Times New Roman" w:hAnsi="Times New Roman"/>
          <w:b w:val="false"/>
          <w:bCs w:val="false"/>
          <w:i w:val="false"/>
          <w:iCs w:val="false"/>
          <w:color w:val="1F2937"/>
          <w:sz w:val="22"/>
          <w:szCs w:val="22"/>
        </w:rPr>
        <w:t xml:space="preserve">Plusieurs Pères de l'Église entretiennent un rapport explicitement positif au stoïcisme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Tertullien (160-220) : qualifie Sénèque de penseur proche de la vérité chrétienne (De Anima, 20.1), inaugurant une longue tradition de lecture chrétienne de Sénèque.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Clément d'Alexandrie (150-215) : voit dans la raison stoïcienne une préparation évangélique — le logos philosophique annonçant le Logos incarné.</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Ambroise de Milan (340-397) : rédige le De Officiis Ministrorum directement calqué sur le De Officiis de Cicéron (lui-même fortement stoïcien), pour les devoirs du clergé chrétien.</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Augustin (354-430) : position nuancée. Il adopte certaines positions stoïciennes sur le droit naturel, la philosophie du langage et le statut moral des animaux (La Cité de Dieu, 1.20 ; Épître 153.4) — mais rejette fermement le matérialisme stoïcien et la prétention à l'autosuffisance de la raison.</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4. Les cinq divergences irréductibles</w:t>
      </w:r>
    </w:p>
    <w:p>
      <w:pPr>
        <w:spacing w:after="120"/>
      </w:pPr>
      <w:r>
        <w:rPr>
          <w:rFonts w:ascii="Times New Roman" w:cs="Times New Roman" w:eastAsia="Times New Roman" w:hAnsi="Times New Roman"/>
          <w:b w:val="false"/>
          <w:bCs w:val="false"/>
          <w:i w:val="false"/>
          <w:iCs w:val="false"/>
          <w:color w:val="1F2937"/>
          <w:sz w:val="22"/>
          <w:szCs w:val="22"/>
        </w:rPr>
        <w:t xml:space="preserve">Comme le souligne Massimo Pigliucci (IEP, « Stoicism ») : le christianisme était bien plus favorable au stoïcisme qu'à son grand rival, l'épicurisme. Mais cette proximité relative ne doit pas masquer les fractures profondes :</w:t>
      </w:r>
    </w:p>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Domaine</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Stoïcisme</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Christianisme</w:t>
            </w:r>
          </w:p>
        </w:tc>
      </w:tr>
      <w:tr>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Nature de Dieu</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Panthéisme : Dieu = cosmos (logos immanent)</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Dieu transcendant, créateur distinct de sa création</w:t>
            </w:r>
          </w:p>
        </w:tc>
      </w:tr>
      <w:tr>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Condition humaine</w:t>
            </w:r>
          </w:p>
        </w:tc>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La raison est suffisante pour la vertu</w:t>
            </w:r>
          </w:p>
        </w:tc>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L'homme est pécheur ; la grâce divine est nécessaire</w:t>
            </w:r>
          </w:p>
        </w:tc>
      </w:tr>
      <w:tr>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Les passions</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Apatheia : les passions sont des erreurs de jugement à extirper</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L'amour, le deuil, la compassion sont des vertus positives</w:t>
            </w:r>
          </w:p>
        </w:tc>
      </w:tr>
      <w:tr>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Le suicide</w:t>
            </w:r>
          </w:p>
        </w:tc>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Peut être l'acte du sage vertueux (Caton, Sénèque)</w:t>
            </w:r>
          </w:p>
        </w:tc>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Interdit : la vie est don de Dieu</w:t>
            </w:r>
          </w:p>
        </w:tc>
      </w:tr>
      <w:tr>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Le destin</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Heimarmenê déterministe : tout suit le logos universel</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Providence aimante + libre arbitre humain</w:t>
            </w:r>
          </w:p>
        </w:tc>
      </w:tr>
    </w:tbl>
    <w:p>
      <w:pPr>
        <w:spacing w:after="100"/>
      </w:pPr>
      <w:r>
        <w:t xml:space="preserve"/>
      </w:r>
    </w:p>
    <w:p>
      <w:pPr>
        <w:spacing w:after="120"/>
      </w:pPr>
      <w:r>
        <w:rPr>
          <w:rFonts w:ascii="Times New Roman" w:cs="Times New Roman" w:eastAsia="Times New Roman" w:hAnsi="Times New Roman"/>
          <w:b w:val="false"/>
          <w:bCs w:val="false"/>
          <w:i w:val="false"/>
          <w:iCs w:val="false"/>
          <w:color w:val="1F2937"/>
          <w:sz w:val="22"/>
          <w:szCs w:val="22"/>
        </w:rPr>
        <w:t xml:space="preserve">Ces cinq divergences ne sont pas des nuances : elles touchent à la structure même de chaque système. Un stoïcien et un chrétien peuvent pratiquer ensemble la modération, le courage ou la justice — mais ils ne parleront pas du même Dieu, ne théoriseront pas la même faiblesse humaine, et ne s'accorderont pas sur la valeur des larmes.</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5. Le Néo-stoïcisme (XVIe-XVIIe siècle) : la synthèse revendiquée</w:t>
      </w:r>
    </w:p>
    <w:p>
      <w:pPr>
        <w:spacing w:after="120"/>
      </w:pPr>
      <w:r>
        <w:rPr>
          <w:rFonts w:ascii="Times New Roman" w:cs="Times New Roman" w:eastAsia="Times New Roman" w:hAnsi="Times New Roman"/>
          <w:b w:val="false"/>
          <w:bCs w:val="false"/>
          <w:i w:val="false"/>
          <w:iCs w:val="false"/>
          <w:color w:val="1F2937"/>
          <w:sz w:val="22"/>
          <w:szCs w:val="22"/>
        </w:rPr>
        <w:t xml:space="preserve">Justus Lipsius (1547-1606), humaniste flamand, est l'architecte du néo-stoïcisme. Son opus majeur, le De Constantia (1584), argumente que les chrétiens peuvent puiser dans les ressources stoïciennes en temps de troubles — notamment la patience, l'équanimité et la maîtrise des émotions — tout en identifiant explicitement les points d'incompatibilité doctrinale. Il publie également des éditions critiques de Sénèque et Tacite qui renouvellent l'accès aux textes.</w:t>
      </w:r>
    </w:p>
    <w:p>
      <w:pPr>
        <w:spacing w:after="120"/>
      </w:pPr>
      <w:r>
        <w:rPr>
          <w:rFonts w:ascii="Times New Roman" w:cs="Times New Roman" w:eastAsia="Times New Roman" w:hAnsi="Times New Roman"/>
          <w:b w:val="false"/>
          <w:bCs w:val="false"/>
          <w:i w:val="false"/>
          <w:iCs w:val="false"/>
          <w:color w:val="1F2937"/>
          <w:sz w:val="22"/>
          <w:szCs w:val="22"/>
        </w:rPr>
        <w:t xml:space="preserve">Ses contemporains néo-stoïciens : le juriste et homme d'État Guillaume Du Vair, le théologien Pierre Charron, l'écrivain espagnol Francisco de Quevedo, et surtout Michel de Montaigne, qui consacre un essai à la défense de Sénèque — selon Massimo Pigliucci (IEP).</w:t>
      </w:r>
    </w:p>
    <w:p>
      <w:pPr>
        <w:spacing w:after="120"/>
      </w:pPr>
      <w:r>
        <w:rPr>
          <w:rFonts w:ascii="Times New Roman" w:cs="Times New Roman" w:eastAsia="Times New Roman" w:hAnsi="Times New Roman"/>
          <w:b w:val="false"/>
          <w:bCs w:val="false"/>
          <w:i w:val="false"/>
          <w:iCs w:val="false"/>
          <w:color w:val="1F2937"/>
          <w:sz w:val="22"/>
          <w:szCs w:val="22"/>
        </w:rPr>
        <w:t xml:space="preserve">La postérité intellectuelle est considérable : selon Durand, Shogry et Baltzly (SEP), l'influence du stoïcisme sur Descartes, Spinoza, Leibniz et Kant est diffuse et largement méconnue de ceux qui en sont les héritiers. La notion kantienne de devoir (impératif catégorique) doit beaucoup au kathêkon stoïcien — même si Kant ne s'en réclame pas.</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Pratique (80 %)</w:t>
      </w:r>
    </w:p>
    <w:p>
      <w:pPr>
        <w:pStyle w:val="Heading3"/>
        <w:spacing w:after="80" w:before="180"/>
      </w:pPr>
      <w:r>
        <w:rPr>
          <w:rFonts w:ascii="Times New Roman" w:cs="Times New Roman" w:eastAsia="Times New Roman" w:hAnsi="Times New Roman"/>
          <w:b/>
          <w:bCs/>
          <w:color w:val="1F2937"/>
          <w:sz w:val="26"/>
          <w:szCs w:val="26"/>
        </w:rPr>
        <w:t xml:space="preserve">Exercice 1 — Carte des emprunts et des rejets</w:t>
      </w:r>
    </w:p>
    <w:p>
      <w:pPr>
        <w:spacing w:after="120"/>
      </w:pPr>
      <w:r>
        <w:rPr>
          <w:rFonts w:ascii="Times New Roman" w:cs="Times New Roman" w:eastAsia="Times New Roman" w:hAnsi="Times New Roman"/>
          <w:b w:val="false"/>
          <w:bCs w:val="false"/>
          <w:i w:val="false"/>
          <w:iCs w:val="false"/>
          <w:color w:val="1F2937"/>
          <w:sz w:val="22"/>
          <w:szCs w:val="22"/>
        </w:rPr>
        <w:t xml:space="preserve">Durée estimée : 25 min.</w:t>
      </w:r>
    </w:p>
    <w:p>
      <w:pPr>
        <w:spacing w:after="120"/>
      </w:pPr>
      <w:r>
        <w:rPr>
          <w:rFonts w:ascii="Times New Roman" w:cs="Times New Roman" w:eastAsia="Times New Roman" w:hAnsi="Times New Roman"/>
          <w:b w:val="false"/>
          <w:bCs w:val="false"/>
          <w:i w:val="false"/>
          <w:iCs w:val="false"/>
          <w:color w:val="1F2937"/>
          <w:sz w:val="22"/>
          <w:szCs w:val="22"/>
        </w:rPr>
        <w:t xml:space="preserve">Construis un tableau à trois colonnes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Colonne 1 : Concept stoïcien (avec sa définition en une phrase)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Colonne 2 : Ce que le christianisme en a retenu (à quelle condition, avec quels ajustements)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Colonne 3 : Ce que le christianisme en a rejeté (pour quelle raison doctrinale)</w:t>
      </w:r>
    </w:p>
    <w:p>
      <w:pPr>
        <w:spacing w:after="120"/>
      </w:pPr>
      <w:r>
        <w:rPr>
          <w:rFonts w:ascii="Times New Roman" w:cs="Times New Roman" w:eastAsia="Times New Roman" w:hAnsi="Times New Roman"/>
          <w:b w:val="false"/>
          <w:bCs w:val="false"/>
          <w:i w:val="false"/>
          <w:iCs w:val="false"/>
          <w:color w:val="1F2937"/>
          <w:sz w:val="22"/>
          <w:szCs w:val="22"/>
        </w:rPr>
        <w:t xml:space="preserve">Travaille sur au moins cinq concepts : Logos, droit naturel, apatheia, providence, oikeiôsis. Pour chacun, cite au moins un texte ou un auteur chrétien qui illustre l'emprunt ou le rejet. Appuie-toi sur les leçons 2 à 7 de ce parcours et sur les ressources ci-dessous.</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Exercice 2 — Dialogue imaginaire Paul et Sénèque (journal stoïcien)</w:t>
      </w:r>
    </w:p>
    <w:p>
      <w:pPr>
        <w:spacing w:after="120"/>
      </w:pPr>
      <w:r>
        <w:rPr>
          <w:rFonts w:ascii="Times New Roman" w:cs="Times New Roman" w:eastAsia="Times New Roman" w:hAnsi="Times New Roman"/>
          <w:b w:val="false"/>
          <w:bCs w:val="false"/>
          <w:i w:val="false"/>
          <w:iCs w:val="false"/>
          <w:color w:val="1F2937"/>
          <w:sz w:val="22"/>
          <w:szCs w:val="22"/>
        </w:rPr>
        <w:t xml:space="preserve">Durée estimée : 35 min.</w:t>
      </w:r>
    </w:p>
    <w:p>
      <w:pPr>
        <w:spacing w:after="120"/>
      </w:pPr>
      <w:r>
        <w:rPr>
          <w:rFonts w:ascii="Times New Roman" w:cs="Times New Roman" w:eastAsia="Times New Roman" w:hAnsi="Times New Roman"/>
          <w:b w:val="false"/>
          <w:bCs w:val="false"/>
          <w:i w:val="false"/>
          <w:iCs w:val="false"/>
          <w:color w:val="1F2937"/>
          <w:sz w:val="22"/>
          <w:szCs w:val="22"/>
        </w:rPr>
        <w:t xml:space="preserve">Paul de Tarse et Sénèque sont contemporains (Paul à Rome vers 57-60 apr. J.-C., Sénèque précepteur de Néron jusqu'en 62). Une correspondance apocryphe entre eux circule depuis l'Antiquité — signe que leurs contemporains trouvaient la rencontre intellectuellement plausible.</w:t>
      </w:r>
    </w:p>
    <w:p>
      <w:pPr>
        <w:spacing w:after="120"/>
      </w:pPr>
      <w:r>
        <w:rPr>
          <w:rFonts w:ascii="Times New Roman" w:cs="Times New Roman" w:eastAsia="Times New Roman" w:hAnsi="Times New Roman"/>
          <w:b w:val="false"/>
          <w:bCs w:val="false"/>
          <w:i w:val="false"/>
          <w:iCs w:val="false"/>
          <w:color w:val="1F2937"/>
          <w:sz w:val="22"/>
          <w:szCs w:val="22"/>
        </w:rPr>
        <w:t xml:space="preserve">Écris un échange de deux lettres (une de chacun) autour de cette question : « Que faire des passions ?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Paul : s'appuie sur l'idée chrétienne que les passions peuvent être orientées vers Dieu (l'amour, la tristesse du péché, la joie spirituelle sont des vertus)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Sénèque : défend l'apatheia stoïcienne — les passions ne sont pas à orienter mais à éradiquer, car elles sont des erreurs de jugement</w:t>
      </w:r>
    </w:p>
    <w:p>
      <w:pPr>
        <w:spacing w:after="120"/>
      </w:pPr>
      <w:r>
        <w:rPr>
          <w:rFonts w:ascii="Times New Roman" w:cs="Times New Roman" w:eastAsia="Times New Roman" w:hAnsi="Times New Roman"/>
          <w:b w:val="false"/>
          <w:bCs w:val="false"/>
          <w:i w:val="false"/>
          <w:iCs w:val="false"/>
          <w:color w:val="1F2937"/>
          <w:sz w:val="22"/>
          <w:szCs w:val="22"/>
        </w:rPr>
        <w:t xml:space="preserve">Consigne : reste fidèle à ce que tu sais de chacun (Sénèque via les leçons 6 et 7, Paul via sa propre culture hellénistique). Après l'échange, écris trois lignes : qui t'a semblé le plus convaincant, et pourquoi ?</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Exercice 3 — Les divergences dans ma vie</w:t>
      </w:r>
    </w:p>
    <w:p>
      <w:pPr>
        <w:spacing w:after="120"/>
      </w:pPr>
      <w:r>
        <w:rPr>
          <w:rFonts w:ascii="Times New Roman" w:cs="Times New Roman" w:eastAsia="Times New Roman" w:hAnsi="Times New Roman"/>
          <w:b w:val="false"/>
          <w:bCs w:val="false"/>
          <w:i w:val="false"/>
          <w:iCs w:val="false"/>
          <w:color w:val="1F2937"/>
          <w:sz w:val="22"/>
          <w:szCs w:val="22"/>
        </w:rPr>
        <w:t xml:space="preserve">Durée estimée : 20 min.</w:t>
      </w:r>
    </w:p>
    <w:p>
      <w:pPr>
        <w:spacing w:after="120"/>
      </w:pPr>
      <w:r>
        <w:rPr>
          <w:rFonts w:ascii="Times New Roman" w:cs="Times New Roman" w:eastAsia="Times New Roman" w:hAnsi="Times New Roman"/>
          <w:b w:val="false"/>
          <w:bCs w:val="false"/>
          <w:i w:val="false"/>
          <w:iCs w:val="false"/>
          <w:color w:val="1F2937"/>
          <w:sz w:val="22"/>
          <w:szCs w:val="22"/>
        </w:rPr>
        <w:t xml:space="preserve">Pour chacune des cinq divergences du tableau ci-dessus, note une situation personnelle récente (ou un scénario plausible) où les deux approches auraient conduit à des attitudes différentes.</w:t>
      </w:r>
    </w:p>
    <w:p>
      <w:pPr>
        <w:spacing w:after="120"/>
      </w:pPr>
      <w:r>
        <w:rPr>
          <w:rFonts w:ascii="Times New Roman" w:cs="Times New Roman" w:eastAsia="Times New Roman" w:hAnsi="Times New Roman"/>
          <w:b w:val="false"/>
          <w:bCs w:val="false"/>
          <w:i w:val="false"/>
          <w:iCs w:val="false"/>
          <w:color w:val="1F2937"/>
          <w:sz w:val="22"/>
          <w:szCs w:val="22"/>
        </w:rPr>
        <w:t xml:space="preserve">Format : une ligne par divergence.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Nature de Dieu : face à un événement qui m'échappe totalement, l'attitude stoïcienne est…  L'attitude chrétienne (ou celle d'une tradition qui pose un Dieu personnel) est…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Condition humaine : quand je comets une erreur grave, l'explication stoïcienne est…  l'explication chrétienne est…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Les passions : face au deuil d'un proche, la posture stoïcienne idéale est… La posture chrétienne est…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suicide : comment chaque tradition aborde-t-elle la souffrance insupportable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destin : comment lis-tu un enchaînement d'événements sur lequel tu n'as eu aucune prise ?</w:t>
      </w:r>
    </w:p>
    <w:p>
      <w:pPr>
        <w:spacing w:after="120"/>
      </w:pPr>
      <w:r>
        <w:rPr>
          <w:rFonts w:ascii="Times New Roman" w:cs="Times New Roman" w:eastAsia="Times New Roman" w:hAnsi="Times New Roman"/>
          <w:b w:val="false"/>
          <w:bCs w:val="false"/>
          <w:i w:val="false"/>
          <w:iCs w:val="false"/>
          <w:color w:val="1F2937"/>
          <w:sz w:val="22"/>
          <w:szCs w:val="22"/>
        </w:rPr>
        <w:t xml:space="preserve">Conclus par : quelle divergence te semble la plus pertinente pour ta pratique personnelle ? Pourquoi ?</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Challenge — L'Enchiridion christianisé</w:t>
      </w:r>
    </w:p>
    <w:p>
      <w:pPr>
        <w:spacing w:after="120"/>
      </w:pPr>
      <w:r>
        <w:rPr>
          <w:rFonts w:ascii="Times New Roman" w:cs="Times New Roman" w:eastAsia="Times New Roman" w:hAnsi="Times New Roman"/>
          <w:b w:val="false"/>
          <w:bCs w:val="false"/>
          <w:i w:val="false"/>
          <w:iCs w:val="false"/>
          <w:color w:val="1F2937"/>
          <w:sz w:val="22"/>
          <w:szCs w:val="22"/>
        </w:rPr>
        <w:t xml:space="preserve">Durée estimée : 40 min.</w:t>
      </w:r>
    </w:p>
    <w:p>
      <w:pPr>
        <w:spacing w:after="120"/>
      </w:pPr>
      <w:r>
        <w:rPr>
          <w:rFonts w:ascii="Times New Roman" w:cs="Times New Roman" w:eastAsia="Times New Roman" w:hAnsi="Times New Roman"/>
          <w:b w:val="false"/>
          <w:bCs w:val="false"/>
          <w:i w:val="false"/>
          <w:iCs w:val="false"/>
          <w:color w:val="1F2937"/>
          <w:sz w:val="22"/>
          <w:szCs w:val="22"/>
        </w:rPr>
        <w:t xml:space="preserve">L'Enchiridion d'Épictète a été adapté à trois reprises pour le monachisme chrétien. L'exercice de cette synthèse est lui-même instructif.</w:t>
      </w:r>
    </w:p>
    <w:p>
      <w:pPr>
        <w:spacing w:after="120"/>
      </w:pPr>
      <w:r>
        <w:rPr>
          <w:rFonts w:ascii="Times New Roman" w:cs="Times New Roman" w:eastAsia="Times New Roman" w:hAnsi="Times New Roman"/>
          <w:b w:val="false"/>
          <w:bCs w:val="false"/>
          <w:i w:val="false"/>
          <w:iCs w:val="false"/>
          <w:color w:val="1F2937"/>
          <w:sz w:val="22"/>
          <w:szCs w:val="22"/>
        </w:rPr>
        <w:t xml:space="preserve">Reprends trois maximes de l'Enchiridion (texte en leçon 4 et accessible sur </w:t>
      </w:r>
    </w:p>
    <w:p>
      <w:pPr>
        <w:spacing w:after="120"/>
      </w:pPr>
      <w:r>
        <w:rPr>
          <w:rFonts w:ascii="Times New Roman" w:cs="Times New Roman" w:eastAsia="Times New Roman" w:hAnsi="Times New Roman"/>
          <w:b w:val="false"/>
          <w:bCs w:val="false"/>
          <w:i w:val="false"/>
          <w:iCs w:val="false"/>
          <w:color w:val="1F2937"/>
          <w:sz w:val="22"/>
          <w:szCs w:val="22"/>
        </w:rPr>
        <w:t xml:space="preserve">le </w:t>
      </w:r>
      <w:hyperlink w:history="1" r:id="rIdafdqsrgmv1xrnq8cgw2wf">
        <w:r>
          <w:rPr>
            <w:rFonts w:ascii="Times New Roman" w:cs="Times New Roman" w:eastAsia="Times New Roman" w:hAnsi="Times New Roman"/>
            <w:color w:val="1155CC"/>
            <w:sz w:val="22"/>
            <w:szCs w:val="22"/>
            <w:u w:val="single"/>
          </w:rPr>
          <w:t xml:space="preserve">texte intégral MIT</w:t>
        </w:r>
      </w:hyperlink>
      <w:r>
        <w:rPr>
          <w:rFonts w:ascii="Times New Roman" w:cs="Times New Roman" w:eastAsia="Times New Roman" w:hAnsi="Times New Roman"/>
          <w:b w:val="false"/>
          <w:bCs w:val="false"/>
          <w:i w:val="false"/>
          <w:iCs w:val="false"/>
          <w:color w:val="1F2937"/>
          <w:sz w:val="22"/>
          <w:szCs w:val="22"/>
        </w:rPr>
        <w:t xml:space="preserve">) et propose pour chacune une version christianisée.</w:t>
      </w:r>
    </w:p>
    <w:p>
      <w:pPr>
        <w:spacing w:after="120"/>
      </w:pPr>
      <w:r>
        <w:rPr>
          <w:rFonts w:ascii="Times New Roman" w:cs="Times New Roman" w:eastAsia="Times New Roman" w:hAnsi="Times New Roman"/>
          <w:b w:val="false"/>
          <w:bCs w:val="false"/>
          <w:i w:val="false"/>
          <w:iCs w:val="false"/>
          <w:color w:val="1F2937"/>
          <w:sz w:val="22"/>
          <w:szCs w:val="22"/>
        </w:rPr>
        <w:t xml:space="preserve">Méthode : remplace « Zeus », « le dieu », « la Nature » ou « le Logos » par « Dieu » ou « le Christ ». Ajuste les formulations qui en découlent.</w:t>
      </w:r>
    </w:p>
    <w:p>
      <w:pPr>
        <w:spacing w:after="120"/>
      </w:pPr>
      <w:r>
        <w:rPr>
          <w:rFonts w:ascii="Times New Roman" w:cs="Times New Roman" w:eastAsia="Times New Roman" w:hAnsi="Times New Roman"/>
          <w:b w:val="false"/>
          <w:bCs w:val="false"/>
          <w:i w:val="false"/>
          <w:iCs w:val="false"/>
          <w:color w:val="1F2937"/>
          <w:sz w:val="22"/>
          <w:szCs w:val="22"/>
        </w:rPr>
        <w:t xml:space="preserve">Puis analyse, pour chaque maxime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La substitution passe-t-elle sans problème ? Pourquoi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Ou bute-t-elle sur une incompatibilité doctrinale (matérialisme, autosuffisance, absence de grâce) ? Laquelle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Qu'est-ce que cet exercice t'apprend sur ce que le stoïcisme et le christianisme partagent vraiment — et sur ce qui les sépare en profondeur ?</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Pont pro</w:t>
      </w:r>
    </w:p>
    <w:p>
      <w:pPr>
        <w:spacing w:after="120"/>
      </w:pPr>
      <w:r>
        <w:rPr>
          <w:rFonts w:ascii="Times New Roman" w:cs="Times New Roman" w:eastAsia="Times New Roman" w:hAnsi="Times New Roman"/>
          <w:b w:val="false"/>
          <w:bCs w:val="false"/>
          <w:i w:val="false"/>
          <w:iCs w:val="false"/>
          <w:color w:val="1F2937"/>
          <w:sz w:val="22"/>
          <w:szCs w:val="22"/>
        </w:rPr>
        <w:t xml:space="preserve">Les valeurs que tu mobilises dans ton travail de chef de service — équanimité, sens du devoir, attention à l'essentiel — ont une longue histoire dans la culture occidentale, souvent mêlée à des traditions religieuses qui restent vivantes dans les familles des personnes accompagnées. Cette leçon n'appelle pas à prendre position sur aucune d'elles : elle permet simplement de comprendre d'où viennent certaines références implicites, et d'éviter les contresens dans les échanges avec des familles ou des collègues dont le cadre de référence est différent. La formation au stoïcisme que tu construis ici est une ressource personnelle, pas un contenu à transmettre en équipe ni une grille à appliquer sur des projets institutionnels.</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Ressources</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qk7pr753gyukq4y8n26ru">
        <w:r>
          <w:rPr>
            <w:rFonts w:ascii="Times New Roman" w:cs="Times New Roman" w:eastAsia="Times New Roman" w:hAnsi="Times New Roman"/>
            <w:color w:val="1155CC"/>
            <w:sz w:val="22"/>
            <w:szCs w:val="22"/>
            <w:u w:val="single"/>
          </w:rPr>
          <w:t xml:space="preserve">Durand, Shogry et Baltzly — « Stoicism », Stanford Encyclopedia of Philosophy (2023)</w:t>
        </w:r>
      </w:hyperlink>
      <w:r>
        <w:rPr>
          <w:rFonts w:ascii="Times New Roman" w:cs="Times New Roman" w:eastAsia="Times New Roman" w:hAnsi="Times New Roman"/>
          <w:b w:val="false"/>
          <w:bCs w:val="false"/>
          <w:i w:val="false"/>
          <w:iCs w:val="false"/>
          <w:color w:val="1F2937"/>
          <w:sz w:val="22"/>
          <w:szCs w:val="22"/>
        </w:rPr>
        <w:t xml:space="preserve"> — Source principale pour la correspondance apocryphe Paul-Sénèque, la tradition du droit naturel, et la postérité sur Descartes/Kant.</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rjp0gjkpkk5-bbt7blebz">
        <w:r>
          <w:rPr>
            <w:rFonts w:ascii="Times New Roman" w:cs="Times New Roman" w:eastAsia="Times New Roman" w:hAnsi="Times New Roman"/>
            <w:color w:val="1155CC"/>
            <w:sz w:val="22"/>
            <w:szCs w:val="22"/>
            <w:u w:val="single"/>
          </w:rPr>
          <w:t xml:space="preserve">Massimo Pigliucci — « Stoicism », Internet Encyclopedia of Philosophy</w:t>
        </w:r>
      </w:hyperlink>
      <w:r>
        <w:rPr>
          <w:rFonts w:ascii="Times New Roman" w:cs="Times New Roman" w:eastAsia="Times New Roman" w:hAnsi="Times New Roman"/>
          <w:b w:val="false"/>
          <w:bCs w:val="false"/>
          <w:i w:val="false"/>
          <w:iCs w:val="false"/>
          <w:color w:val="1F2937"/>
          <w:sz w:val="22"/>
          <w:szCs w:val="22"/>
        </w:rPr>
        <w:t xml:space="preserve"> — Comparaison christianisme/épicurisme, figures médiévales (Augustin, Abélard, Jean de Salisbury), Justus Lipsius et néo-stoïcisme, postérité philosophique moderne.</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_jaofbqgmti_pnymmlyb3">
        <w:r>
          <w:rPr>
            <w:rFonts w:ascii="Times New Roman" w:cs="Times New Roman" w:eastAsia="Times New Roman" w:hAnsi="Times New Roman"/>
            <w:color w:val="1155CC"/>
            <w:sz w:val="22"/>
            <w:szCs w:val="22"/>
            <w:u w:val="single"/>
          </w:rPr>
          <w:t xml:space="preserve">Stoicism — Wikipedia</w:t>
        </w:r>
      </w:hyperlink>
      <w:r>
        <w:rPr>
          <w:rFonts w:ascii="Times New Roman" w:cs="Times New Roman" w:eastAsia="Times New Roman" w:hAnsi="Times New Roman"/>
          <w:b w:val="false"/>
          <w:bCs w:val="false"/>
          <w:i w:val="false"/>
          <w:iCs w:val="false"/>
          <w:color w:val="1F2937"/>
          <w:sz w:val="22"/>
          <w:szCs w:val="22"/>
        </w:rPr>
        <w:t xml:space="preserve"> — Principaux Pères de l'Église influencés (Tertullien, Ambroise, Clément), divergences théologiques fondamentales, néo-stoïcisme. Lecture d'appui.</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_efaq0iqo3exvb1i0b1wd">
        <w:r>
          <w:rPr>
            <w:rFonts w:ascii="Times New Roman" w:cs="Times New Roman" w:eastAsia="Times New Roman" w:hAnsi="Times New Roman"/>
            <w:color w:val="1155CC"/>
            <w:sz w:val="22"/>
            <w:szCs w:val="22"/>
            <w:u w:val="single"/>
          </w:rPr>
          <w:t xml:space="preserve">Elizabeth Agnew Cochran — « Stoicism and Christian Ethics », St Andrews Encyclopaedia of Theology</w:t>
        </w:r>
      </w:hyperlink>
      <w:r>
        <w:rPr>
          <w:rFonts w:ascii="Times New Roman" w:cs="Times New Roman" w:eastAsia="Times New Roman" w:hAnsi="Times New Roman"/>
          <w:b w:val="false"/>
          <w:bCs w:val="false"/>
          <w:i w:val="false"/>
          <w:iCs w:val="false"/>
          <w:color w:val="1F2937"/>
          <w:sz w:val="22"/>
          <w:szCs w:val="22"/>
        </w:rPr>
        <w:t xml:space="preserve"> — Analyse comparative approfondie : vertus partagées, Augustin, Calvin, Luther, Jonathan Edwards, et l'héritage stoïcien dans la théologie protestante écossaise et les Lumières.</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rxudslzal_mvnusuccuxr">
        <w:r>
          <w:rPr>
            <w:rFonts w:ascii="Times New Roman" w:cs="Times New Roman" w:eastAsia="Times New Roman" w:hAnsi="Times New Roman"/>
            <w:color w:val="1155CC"/>
            <w:sz w:val="22"/>
            <w:szCs w:val="22"/>
            <w:u w:val="single"/>
          </w:rPr>
          <w:t xml:space="preserve">Samuli Siikavirta (Univ. Cambridge) — Recension de « Stoicism in Early Christianity » (éd. Rasimus, Engberg-Pedersen, Dunderberg, Baker Academic, 2010)</w:t>
        </w:r>
      </w:hyperlink>
      <w:r>
        <w:rPr>
          <w:rFonts w:ascii="Times New Roman" w:cs="Times New Roman" w:eastAsia="Times New Roman" w:hAnsi="Times New Roman"/>
          <w:b w:val="false"/>
          <w:bCs w:val="false"/>
          <w:i w:val="false"/>
          <w:iCs w:val="false"/>
          <w:color w:val="1F2937"/>
          <w:sz w:val="22"/>
          <w:szCs w:val="22"/>
        </w:rPr>
        <w:t xml:space="preserve"> — Détails sur l'influence stoïcienne dans les textes pauliniens (Romains 12-15), le modèle du sage-enseignant dans les Évangiles, et les trois adaptations chrétiennes de l'Enchiridion.</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qo6i3icga-kdac35m8ra0">
        <w:r>
          <w:rPr>
            <w:rFonts w:ascii="Times New Roman" w:cs="Times New Roman" w:eastAsia="Times New Roman" w:hAnsi="Times New Roman"/>
            <w:color w:val="1155CC"/>
            <w:sz w:val="22"/>
            <w:szCs w:val="22"/>
            <w:u w:val="single"/>
          </w:rPr>
          <w:t xml:space="preserve">Daily Stoic — « Stoicism and Christianity »</w:t>
        </w:r>
      </w:hyperlink>
      <w:r>
        <w:rPr>
          <w:rFonts w:ascii="Times New Roman" w:cs="Times New Roman" w:eastAsia="Times New Roman" w:hAnsi="Times New Roman"/>
          <w:b w:val="false"/>
          <w:bCs w:val="false"/>
          <w:i w:val="false"/>
          <w:iCs w:val="false"/>
          <w:color w:val="1F2937"/>
          <w:sz w:val="22"/>
          <w:szCs w:val="22"/>
        </w:rPr>
        <w:t xml:space="preserve"> — Présentation accessible des similitudes (Logos, soumission au divin, libération de la peur) et des différences majeures (nature divine, prière, péché originel, afterlife).</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b w:val="false"/>
          <w:bCs w:val="false"/>
          <w:i w:val="false"/>
          <w:iCs w:val="false"/>
          <w:color w:val="1F2937"/>
          <w:sz w:val="22"/>
          <w:szCs w:val="22"/>
        </w:rPr>
        <w:t xml:space="preserve">Leçon 18 : Stoïcisme et thérapies cognitives — une filiation revendiquée, et ce qu'elle vaut</w:t>
      </w:r>
    </w:p>
    <w:p>
      <w:pPr>
        <w:spacing w:after="120"/>
      </w:pPr>
      <w:r>
        <w:rPr>
          <w:rFonts w:ascii="Times New Roman" w:cs="Times New Roman" w:eastAsia="Times New Roman" w:hAnsi="Times New Roman"/>
          <w:b w:val="false"/>
          <w:bCs w:val="false"/>
          <w:i w:val="false"/>
          <w:iCs w:val="false"/>
          <w:color w:val="1F2937"/>
          <w:sz w:val="22"/>
          <w:szCs w:val="22"/>
        </w:rPr>
        <w:t xml:space="preserve">Albert Ellis (REBT) et Aaron Beck (TCC) se sont explicitement réclamés d'Épictète. Mais que reste-t-il vraiment du stoïcisme dans la TCC ? Quelles ressemblances sont de vraies continuités, et lesquelles sont des convergences superficielles ? Et où la psychothérapie diverge-t-elle radicalement d'une philosophie de vie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fdqsrgmv1xrnq8cgw2wf" Type="http://schemas.openxmlformats.org/officeDocument/2006/relationships/hyperlink" Target="https://classics.mit.edu/Epictetus/epicench.html" TargetMode="External"/><Relationship Id="rIdqk7pr753gyukq4y8n26ru" Type="http://schemas.openxmlformats.org/officeDocument/2006/relationships/hyperlink" Target="https://plato.stanford.edu/entries/stoicism/" TargetMode="External"/><Relationship Id="rIdrjp0gjkpkk5-bbt7blebz" Type="http://schemas.openxmlformats.org/officeDocument/2006/relationships/hyperlink" Target="https://iep.utm.edu/stoicism/" TargetMode="External"/><Relationship Id="rId_jaofbqgmti_pnymmlyb3" Type="http://schemas.openxmlformats.org/officeDocument/2006/relationships/hyperlink" Target="https://en.wikipedia.org/wiki/Stoicism" TargetMode="External"/><Relationship Id="rId_efaq0iqo3exvb1i0b1wd" Type="http://schemas.openxmlformats.org/officeDocument/2006/relationships/hyperlink" Target="https://www.saet.ac.uk/Christianity/StoicismandChristianEthics" TargetMode="External"/><Relationship Id="rIdrxudslzal_mvnusuccuxr" Type="http://schemas.openxmlformats.org/officeDocument/2006/relationships/hyperlink" Target="https://rbecs.org/2013/08/01/sec/" TargetMode="External"/><Relationship Id="rIdqo6i3icga-kdac35m8ra0" Type="http://schemas.openxmlformats.org/officeDocument/2006/relationships/hyperlink" Target="https://dailystoic.com/stoicism-and-christianity/"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2026-10-01T06:11:04.509Z</dcterms:created>
  <dcterms:modified xsi:type="dcterms:W3CDTF">2026-10-01T06:11:04.510Z</dcterms:modified>
</cp:coreProperties>
</file>

<file path=docProps/custom.xml><?xml version="1.0" encoding="utf-8"?>
<Properties xmlns="http://schemas.openxmlformats.org/officeDocument/2006/custom-properties" xmlns:vt="http://schemas.openxmlformats.org/officeDocument/2006/docPropsVTypes"/>
</file>