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RGPD — Compte-rendu quotidien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2026-06-13  •  Règlement UE 2016/679 (RGPD) &amp; loi Informatique et Libertés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🟡 Niveau d'alerte du jour : À SURVEILLER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Mode : CR COMPLET  •  Sources consultées : 6/7 ✅  •  </w:t>
      </w:r>
      <w:hyperlink w:history="1" r:id="rIdsite0_2026">
        <w:r>
          <w:rPr>
            <w:rFonts w:ascii="Calibri" w:cs="Calibri" w:eastAsia="Calibri" w:hAnsi="Calibri"/>
            <w:sz w:val="20"/>
            <w:szCs w:val="20"/>
            <w:color w:val="1155CC"/>
            <w:u w:val="single"/>
          </w:rPr>
          <w:t xml:space="preserve">village-justice.com</w:t>
        </w:r>
      </w:hyperlink>
      <w:r>
        <w:rPr>
          <w:rFonts w:ascii="Calibri" w:cs="Calibri" w:eastAsia="Calibri" w:hAnsi="Calibri"/>
          <w:color w:val="6B7280"/>
          <w:sz w:val="20"/>
          <w:szCs w:val="20"/>
        </w:rPr>
        <w:t xml:space="preserve"> ⛔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 du jour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🆕 EDPB — Template commun de notification de violations de données adopté (10/06) : modèle standardisé art. 33 RGPD, consultation publique ouverte jusqu'au 5 août 2026.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🆕 EDPB — Extension du Comité de supervision coordonnée (CSC) à Eurodac (12/06) : élargissement du périmètre de supervision aux données biométriques des demandeurs d'asile.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🆕 CNIL — Guide sur les communications électroniques aux prospects (10/06) : règles de base légale (consentement préalable vs intérêt légitime) pour emails et SMS clients/prospects.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IQVIA Operations France sanctionnée 5 M€ par la CNIL (28/05) : réutilisation insuffisamment transparente de données de santé — impact direct sur les prestataires manipulant des données usagers.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Bilan 8 ans RGPD : 7,1 Md€ d'amendes toutes autorités UE (dont 40 % en appel). CNIL France : 649 M€ recouvrés, +343 % de contrôles depuis 2017.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Sanctions &amp; jurisprudence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IQVIA Operations France — CNIL — 5 M€ (28 mai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Motif : réutilisation de données de santé de patients sans information suffisante, absence de garanties adaptées au risque.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: le responsable de traitement répond des conditions de traitement de ses sous-traitants. Toute réutilisation de données santé hors finalité initiale sans information préalable engage la responsabilité.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FREE MOBILE + FREE — CNIL — 42 M€ (27 + 15 M€, 13 jan.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Motif : faille de sécurité (24 M comptes exposés), défaut de notification dans les 72h, durées de rétention excessives.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: l'obligation de notification immédiate en cas de violation de données (art. 33-34 RGPD) est non négociable.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Finlande — Annulation d'une amende RGPD de 1,1 M€ contre un organisme public (2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Rappel art. 83(7) RGPD : les États membres peuvent exempter les organismes publics de sanctions pécuniaires — mais pas d'injonctions correctives.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pour ESSMS : même en cas d'exemption de sanction financière, les injonctions de mise en conformité s'appliquent et peuvent être contraignantes.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Irlande — High Court valide l'enquête DPC sur Meta (juin 2026, jusqu'à 430 M€ potentiels)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Confirmation qu'une seule plainte peut déclencher une enquête systémique sur des pratiques structurelles.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Doctrine &amp; lignes directrices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EDPB — Template commun notification de violations de données (10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L'EDPB a adopté un modèle standardisé de notification des violations de données (art. 33 RGPD) pour harmoniser les pratiques entre États membres de l'UE.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Consultation publique ouverte jusqu'au 5 août 2026. Date à intégrer dans le calendrier de conformité.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Action attendue : vérifier que la procédure interne de notification (72h, registre violations, chaîne DPO) est opérationnelle et préparer l'adaptation au template EDPB.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mdpinjodkpktvs8yrnju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— Communiqué officiel (10/06/2026)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EDPB — Extension CSC à Eurodac (12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Comité de supervision coordonnée (CSC) élargit son périmètre au système Eurodac (données biométriques des demandeurs d'asile).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Impact indirect ESSMS : renforcement général de la supervision des systèmes d'information traitant des données sensibles — signal pour les DUI hébergés et les échanges partenariaux.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twdm7x6wxqwyttthbwjn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— CSC Eurodac (12/06/2026)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Guide communications électroniques aux prospects (10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CNIL clarifie les règles applicables aux communications commerciales : distinction entre consentement préalable (email prospects non-clients) et intérêt légitime (email clients dans la relation contractuelle).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Pertinent pour les ESSMS qui envoient des communications aux familles, aidants ou partenaires.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2lbhzietkkv7ub8hmxxd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Communication électronique aux prospects (10/06/2026)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EDPS — Débat "From Omnibus to Opportunity" (8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EDPS, BfDI et BayLfD interrogent l'impact des propositions Omnibus de la Commission européenne sur les obligations RGPD (dont AIPD).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Risque identifié : allègements potentiels du régime d'obligation d'AIPD pour certains traitements — à surveiller pour adapter la démarche qualité.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🏥 Focus santé / médico-social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× HAS — Partenariat numérique en santé (11 mars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CNIL et la HAS s'engagent conjointement pour renforcer les bonnes pratiques de protection des données dans le numérique en santé.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Convergence des deux référentiels à suivre de près : évaluation HAS et conformité RGPD seront de plus en plus interconnectées.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grhmphejp5_-jhtgcdxg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CNIL-HAS — Engagement numérique en santé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MR-001 et MR-003 — Mise à jour CNIL (26 mai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Extension du champ des méthodologies de référence pour la recherche en santé. Impact : les établissements menant des études internes (évaluation de pratiques, suivi thérapeutique) doivent vérifier leur conformité.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ucpw7yrkfx5_e1ajq4w3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Mise à jour MR-001/MR-003 (26/05/2026)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Italie — Garante bloque plugin IA d'analyse du stress au travail (30 mai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Blocage d'outils d'inférence d'émotions sur les communications des salariés — RGPD (données de santé art. 9) + AI Act combinés.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Signal fort pour le secteur : tout outil d'IA RH mesurant des indicateurs de bien-être ou d'engagement relève des données de santé et nécessite une AIPD + base légale adaptée.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Points de vigilance concrets pour un foyer d'hébergement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DUI et sous-traitants HDS — La sanction IQVIA rappelle : exiger contractuellement des garanties auprès de tout prestataire traitant des données usagers (Imago, hébergeur HDS, logiciels métier). Mettre à jour les clauses sous-traitance dans le registre des traitements.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Notification de violations (72h) — Anticiper l'adoption du template EDPB (consultation jusqu'au 5 août) : s'assurer que la chaîne d'alerte interne (équipe → direction → DPO → CNIL) est documentée et testée.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Communications aux familles/partenaires — Le guide CNIL prospects (10/06) s'applique : distinguer la base légale selon le type de destinataire (famille dans le cadre contractuel vs prospect). Documenter les bases légales dans le registre.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Droits d'accès et rectification des personnes accompagnées — La jurisprudence CJUE C-526/24 (déjà citée) renforce l'obligation de réponse documentée. Vérifier la procédure de traitement des demandes RGPD dans le DUI.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Registre des traitements — Guide CNIL cloud (28/05) : qualifier explicitement le rôle (responsable de traitement / co-responsable / sous-traitant) pour chaque outil SaaS utilisé.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IA RH — Signal Garante Italie : tout outil évaluant le bien-être ou les émotions des salariés nécessite AIPD. Applicable si l'établissement envisage des outils d'analyse QVT numériques.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Partenariat CNIL × HAS — Préparer la convergence évaluation HAS / conformité RGPD dans la démarche qualité 2026.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6uqav0m3t1lheribm7b7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Actualités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eqsyaie9v-wwtza4lugw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Santé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obsbvcdob1n-jundmmnc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— News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0wutlw1awnndpiqh862d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EDPS — News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gvgnp4osjx0fko4pbvs-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donneespersonnelles.fr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site0_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village-justice.com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⛔  (404 — rendu JS côté client)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WebSearch CNIL + RGPD actualité juin 2026  ✅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août 2026 — Fin de consultation EDPB template notification violations (art. 33 RGPD) : préparer la contribution ou l'adaptation interne.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23-26 juin 2026 — G7 Data Protection Authorities à Paris (présidence CNIL) : orientations internationales à surveiller.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24 juin 2026 — Privacy Research Day CNIL (cadre G7).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Propositions Omnibus CE : suivi de l'évolution du RGPD (risque d'allégement AIPD), débat EDPS en cours.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Enquête DPC / Meta (Irlande) : décision potentielle jusqu'à 430 M€ — jurisprudence à suivre sur les pratiques structurelles.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EDPB — Décision NOYB Belgique (plaintes cookies représentatives) : clarification attendue sur la recevabilité des plaintes associatives.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Produit le 2026-06-13  •  Job rgpd-veille (Claude_Travail)  •  Sources : 6/7 ✅  •  </w:t>
      </w:r>
      <w:hyperlink w:history="1" r:id="rIdsite0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village-justice.com</w:t>
        </w:r>
      </w:hyperlink>
      <w:r>
        <w:rPr>
          <w:rFonts w:ascii="Calibri" w:cs="Calibri" w:eastAsia="Calibri" w:hAnsi="Calibri"/>
          <w:color w:val="9CA3AF"/>
          <w:sz w:val="18"/>
          <w:szCs w:val="18"/>
        </w:rPr>
        <w:t xml:space="preserve"> ⛔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13/06/2026,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est antérieure aux règles de lien des prompts : elle nommait ses sources sans adresse — le lecteur ne pouvait en ouvrir aucune. Liens posés le 12/09/2026 sur chaque mention, vers la page que la note décrit : village-justice.com — page de listage des articles (3 occurrences). Chaque page répond 200 à un navigateur le 12/09/2026.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village-justice.com était marquée ⛔ (page de listage rendue en JavaScript, illisible pour l'agent) : la page répond 200 à un navigateur ; le lien est posé, le statut ⛔ de ce jour-là est conservé.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dpinjodkpktvs8yrnju_" Type="http://schemas.openxmlformats.org/officeDocument/2006/relationships/hyperlink" Target="https://www.edpb.europa.eu/news/news/2026/edpb-meets-eu-commissioner-mcgrath-and-adopts-common-data-breach-notification_en" TargetMode="External"/><Relationship Id="rIdtwdm7x6wxqwyttthbwjn-" Type="http://schemas.openxmlformats.org/officeDocument/2006/relationships/hyperlink" Target="https://www.edpb.europa.eu/news/news/2026/coordinated-supervision-committee-extends-scope-include-eurodac_en" TargetMode="External"/><Relationship Id="rId2lbhzietkkv7ub8hmxxdo" Type="http://schemas.openxmlformats.org/officeDocument/2006/relationships/hyperlink" Target="https://www.cnil.fr/fr/communication-electronique-quelles-regles" TargetMode="External"/><Relationship Id="rIdgrhmphejp5_-jhtgcdxge" Type="http://schemas.openxmlformats.org/officeDocument/2006/relationships/hyperlink" Target="https://www.cnil.fr/fr/numerique-en-sante-la-cnil-et-la-has-sengagent" TargetMode="External"/><Relationship Id="rIducpw7yrkfx5_e1ajq4w3v" Type="http://schemas.openxmlformats.org/officeDocument/2006/relationships/hyperlink" Target="https://www.cnil.fr/fr/recherche-en-sante-la-cnil-met-jour-et-elargit-le-champ-des-methodologies-de-reference-001-et-003" TargetMode="External"/><Relationship Id="rId6uqav0m3t1lheribm7b7x" Type="http://schemas.openxmlformats.org/officeDocument/2006/relationships/hyperlink" Target="https://www.cnil.fr/fr/actualites" TargetMode="External"/><Relationship Id="rIdeqsyaie9v-wwtza4lugwp" Type="http://schemas.openxmlformats.org/officeDocument/2006/relationships/hyperlink" Target="https://www.cnil.fr/fr/sante" TargetMode="External"/><Relationship Id="rIdobsbvcdob1n-jundmmnc-" Type="http://schemas.openxmlformats.org/officeDocument/2006/relationships/hyperlink" Target="https://www.edpb.europa.eu/news/news_en" TargetMode="External"/><Relationship Id="rId0wutlw1awnndpiqh862d8" Type="http://schemas.openxmlformats.org/officeDocument/2006/relationships/hyperlink" Target="https://www.edps.europa.eu/press-publications/press-news/news_en" TargetMode="External"/><Relationship Id="rIdgvgnp4osjx0fko4pbvs-n" Type="http://schemas.openxmlformats.org/officeDocument/2006/relationships/hyperlink" Target="https://www.donneespersonnelles.fr/" TargetMode="External"/><Relationship Id="rId17" Type="http://schemas.openxmlformats.org/officeDocument/2006/relationships/fontTable" Target="fontTable.xml"/><Relationship Id="rIdsite0_2026" Type="http://schemas.openxmlformats.org/officeDocument/2006/relationships/hyperlink" Target="https://www.village-justice.com/articles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2026-06-13T05:37:21.044Z</dcterms:created>
  <dcterms:modified xsi:type="dcterms:W3CDTF">2026-06-13T05:37:21.230Z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