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56"/>
          <w:szCs w:val="56"/>
        </w:rPr>
        <w:t xml:space="preserve">Veille RGPD — Compte-rendu hebdomadaire</w:t>
      </w:r>
    </w:p>
    <w:p>
      <w:pPr>
        <w:spacing w:after="80"/>
        <w:jc w:val="center"/>
      </w:pPr>
      <w:r>
        <w:rPr>
          <w:rFonts w:ascii="Calibri" w:cs="Calibri" w:eastAsia="Calibri" w:hAnsi="Calibri"/>
          <w:color w:val="1F2937"/>
          <w:sz w:val="28"/>
          <w:szCs w:val="28"/>
        </w:rPr>
        <w:t xml:space="preserve">Date : 28 juin 2026  |  Sources accessibles : 5/7</w:t>
      </w:r>
    </w:p>
    <w:p>
      <w:pPr>
        <w:spacing w:after="60"/>
        <w:jc w:val="center"/>
      </w:pPr>
      <w:r>
        <w:rPr>
          <w:rFonts w:ascii="Calibri" w:cs="Calibri" w:eastAsia="Calibri" w:hAnsi="Calibri"/>
          <w:b/>
          <w:bCs/>
          <w:color w:val="E67E22"/>
          <w:sz w:val="28"/>
          <w:szCs w:val="28"/>
        </w:rPr>
        <w:t xml:space="preserve">🟡 À SURVEILLER — Niveau d'alerte</w:t>
      </w:r>
    </w:p>
    <w:p>
      <w:pPr>
        <w:spacing w:after="200"/>
        <w:jc w:val="center"/>
      </w:pPr>
      <w:r>
        <w:rPr>
          <w:rFonts w:ascii="Calibri" w:cs="Calibri" w:eastAsia="Calibri" w:hAnsi="Calibri"/>
          <w:i/>
          <w:iCs/>
          <w:color w:val="1F2937"/>
          <w:sz w:val="20"/>
          <w:szCs w:val="20"/>
        </w:rPr>
        <w:t xml:space="preserve">Mode : CR COMPLET — 5 nouveautés identifiées depuis le CR du 21/06/2026</w:t>
      </w:r>
    </w:p>
    <w:p>
      <w:pPr>
        <w:pBdr>
          <w:bottom w:val="single" w:color="1B3A6B" w:sz="6"/>
        </w:pBdr>
        <w:spacing w:after="100" w:before="320"/>
      </w:pPr>
      <w:r>
        <w:rPr>
          <w:rFonts w:ascii="Calibri" w:cs="Calibri" w:eastAsia="Calibri" w:hAnsi="Calibri"/>
          <w:b/>
          <w:bCs/>
          <w:color w:val="1B3A6B"/>
          <w:sz w:val="28"/>
          <w:szCs w:val="28"/>
        </w:rPr>
        <w:t xml:space="preserve">🔵 En bref — Faits marquants de la semaine</w:t>
      </w:r>
    </w:p>
    <w:p>
      <w:pPr>
        <w:spacing w:after="60"/>
      </w:pPr>
      <w:r>
        <w:rPr>
          <w:rFonts w:ascii="Calibri" w:cs="Calibri" w:eastAsia="Calibri" w:hAnsi="Calibri"/>
          <w:color w:val="1F2937"/>
          <w:sz w:val="22"/>
          <w:szCs w:val="22"/>
        </w:rPr>
        <w:t xml:space="preserve">• </w:t>
      </w:r>
      <w:hyperlink w:history="1" r:id="rIdg32qsmradyn84c1syz4rt">
        <w:r>
          <w:rPr>
            <w:rFonts w:ascii="Calibri" w:cs="Calibri" w:eastAsia="Calibri" w:hAnsi="Calibri"/>
            <w:color w:val="1155CC"/>
            <w:sz w:val="22"/>
            <w:szCs w:val="22"/>
            <w:u w:val="single"/>
          </w:rPr>
          <w:t xml:space="preserve">CNIL — G7 DPA Paris : principes protection des mineurs</w:t>
        </w:r>
      </w:hyperlink>
      <w:r>
        <w:rPr>
          <w:rFonts w:ascii="Calibri" w:cs="Calibri" w:eastAsia="Calibri" w:hAnsi="Calibri"/>
          <w:color w:val="1F2937"/>
          <w:sz w:val="22"/>
          <w:szCs w:val="22"/>
        </w:rPr>
        <w:t xml:space="preserve"> — CNIL (26/06) — G7 DPA Paris : publication des principes clés pour la protection des mineurs face aux technologies émergentes (IA, réseaux sociaux, reconnaissance faciale). Premier accord formel des DPA du G7.</w:t>
      </w:r>
    </w:p>
    <w:p>
      <w:pPr>
        <w:spacing w:after="60"/>
      </w:pPr>
      <w:r>
        <w:rPr>
          <w:rFonts w:ascii="Calibri" w:cs="Calibri" w:eastAsia="Calibri" w:hAnsi="Calibri"/>
          <w:color w:val="1F2937"/>
          <w:sz w:val="22"/>
          <w:szCs w:val="22"/>
        </w:rPr>
        <w:t xml:space="preserve">• </w:t>
      </w:r>
      <w:hyperlink w:history="1" r:id="rIdnsywkaii8j7ydkkqvhm0a">
        <w:r>
          <w:rPr>
            <w:rFonts w:ascii="Calibri" w:cs="Calibri" w:eastAsia="Calibri" w:hAnsi="Calibri"/>
            <w:color w:val="1155CC"/>
            <w:sz w:val="22"/>
            <w:szCs w:val="22"/>
            <w:u w:val="single"/>
          </w:rPr>
          <w:t xml:space="preserve">CNIL — Vigilance : accompagnement après violation</w:t>
        </w:r>
      </w:hyperlink>
      <w:r>
        <w:rPr>
          <w:rFonts w:ascii="Calibri" w:cs="Calibri" w:eastAsia="Calibri" w:hAnsi="Calibri"/>
          <w:color w:val="1F2937"/>
          <w:sz w:val="22"/>
          <w:szCs w:val="22"/>
        </w:rPr>
        <w:t xml:space="preserve"> — CNIL (24/06) — Alerte aux victimes de violations de données face aux sollicitations non légitimes proposant de l'aide à la suppression de données. Signal d'une escroquerie secondaire exploitant les brèches.</w:t>
      </w:r>
    </w:p>
    <w:p>
      <w:pPr>
        <w:spacing w:after="60"/>
      </w:pPr>
      <w:r>
        <w:rPr>
          <w:rFonts w:ascii="Calibri" w:cs="Calibri" w:eastAsia="Calibri" w:hAnsi="Calibri"/>
          <w:color w:val="1F2937"/>
          <w:sz w:val="22"/>
          <w:szCs w:val="22"/>
        </w:rPr>
        <w:t xml:space="preserve">• </w:t>
      </w:r>
      <w:hyperlink w:history="1" r:id="rIdr9c1hk4is5hj_mgalxyev">
        <w:r>
          <w:rPr>
            <w:rFonts w:ascii="Calibri" w:cs="Calibri" w:eastAsia="Calibri" w:hAnsi="Calibri"/>
            <w:color w:val="1155CC"/>
            <w:sz w:val="22"/>
            <w:szCs w:val="22"/>
            <w:u w:val="single"/>
          </w:rPr>
          <w:t xml:space="preserve">EDPB — Digest One-Stop-Shop : droits d'opposition et effacement</w:t>
        </w:r>
      </w:hyperlink>
      <w:r>
        <w:rPr>
          <w:rFonts w:ascii="Calibri" w:cs="Calibri" w:eastAsia="Calibri" w:hAnsi="Calibri"/>
          <w:color w:val="1F2937"/>
          <w:sz w:val="22"/>
          <w:szCs w:val="22"/>
        </w:rPr>
        <w:t xml:space="preserve"> — EDPB (25/06) — Mise à jour du digest One-Stop-Shop sur le droit d'opposition (art. 21) et le droit à l'effacement (art. 17) : clarification procédurale pour les cas transfrontaliers.</w:t>
      </w:r>
    </w:p>
    <w:p>
      <w:pPr>
        <w:spacing w:after="60"/>
      </w:pPr>
      <w:r>
        <w:rPr>
          <w:rFonts w:ascii="Calibri" w:cs="Calibri" w:eastAsia="Calibri" w:hAnsi="Calibri"/>
          <w:color w:val="1F2937"/>
          <w:sz w:val="22"/>
          <w:szCs w:val="22"/>
        </w:rPr>
        <w:t xml:space="preserve">• </w:t>
      </w:r>
      <w:hyperlink w:history="1" r:id="rIdeoxyg5gz9ammkieldl2ga">
        <w:r>
          <w:rPr>
            <w:rFonts w:ascii="Calibri" w:cs="Calibri" w:eastAsia="Calibri" w:hAnsi="Calibri"/>
            <w:color w:val="1155CC"/>
            <w:sz w:val="22"/>
            <w:szCs w:val="22"/>
            <w:u w:val="single"/>
          </w:rPr>
          <w:t xml:space="preserve">EDPB — Formulaire cohérence RGPD</w:t>
        </w:r>
      </w:hyperlink>
      <w:r>
        <w:rPr>
          <w:rFonts w:ascii="Calibri" w:cs="Calibri" w:eastAsia="Calibri" w:hAnsi="Calibri"/>
          <w:color w:val="1F2937"/>
          <w:sz w:val="22"/>
          <w:szCs w:val="22"/>
        </w:rPr>
        <w:t xml:space="preserve"> — EDPB (24/06) — Lancement d'un formulaire dédié pour renforcer la cohérence de l'application du RGPD entre États membres (mécanisme de cohérence art. 63 RGPD).</w:t>
      </w:r>
    </w:p>
    <w:p>
      <w:pPr>
        <w:spacing w:after="60"/>
      </w:pPr>
      <w:r>
        <w:rPr>
          <w:rFonts w:ascii="Calibri" w:cs="Calibri" w:eastAsia="Calibri" w:hAnsi="Calibri"/>
          <w:color w:val="1F2937"/>
          <w:sz w:val="22"/>
          <w:szCs w:val="22"/>
        </w:rPr>
        <w:t xml:space="preserve">• </w:t>
      </w:r>
      <w:hyperlink w:history="1" r:id="rIdhxvbeezzhwv3jal6z9lmk">
        <w:r>
          <w:rPr>
            <w:rFonts w:ascii="Calibri" w:cs="Calibri" w:eastAsia="Calibri" w:hAnsi="Calibri"/>
            <w:color w:val="1155CC"/>
            <w:sz w:val="22"/>
            <w:szCs w:val="22"/>
            <w:u w:val="single"/>
          </w:rPr>
          <w:t xml:space="preserve">CNIL — Vote électronique : élections professionnelles</w:t>
        </w:r>
      </w:hyperlink>
      <w:r>
        <w:rPr>
          <w:rFonts w:ascii="Calibri" w:cs="Calibri" w:eastAsia="Calibri" w:hAnsi="Calibri"/>
          <w:color w:val="1F2937"/>
          <w:sz w:val="22"/>
          <w:szCs w:val="22"/>
        </w:rPr>
        <w:t xml:space="preserve"> — CNIL (23/06) — Guidance sur la soumission de rapports d'expertise indépendants pour les systèmes de vote électronique dans la fonction publique.</w:t>
      </w:r>
    </w:p>
    <w:p>
      <w:r>
        <w:t xml:space="preserve"/>
      </w:r>
    </w:p>
    <w:p>
      <w:pPr>
        <w:pBdr>
          <w:bottom w:val="single" w:color="1B3A6B" w:sz="6"/>
        </w:pBdr>
        <w:spacing w:after="100" w:before="320"/>
      </w:pPr>
      <w:r>
        <w:rPr>
          <w:rFonts w:ascii="Calibri" w:cs="Calibri" w:eastAsia="Calibri" w:hAnsi="Calibri"/>
          <w:b/>
          <w:bCs/>
          <w:color w:val="1B3A6B"/>
          <w:sz w:val="28"/>
          <w:szCs w:val="28"/>
        </w:rPr>
        <w:t xml:space="preserve">⚖️ Sanctions &amp; Jurisprudence</w:t>
      </w:r>
    </w:p>
    <w:p>
      <w:pPr>
        <w:spacing w:after="60"/>
      </w:pPr>
      <w:r>
        <w:rPr>
          <w:rFonts w:ascii="Calibri" w:cs="Calibri" w:eastAsia="Calibri" w:hAnsi="Calibri"/>
          <w:b/>
          <w:bCs/>
          <w:color w:val="1F2937"/>
          <w:sz w:val="22"/>
          <w:szCs w:val="22"/>
        </w:rPr>
        <w:t xml:space="preserve">FREE MOBILE &amp; FREE — 42 M€ (13 janvier 2026) — Rappel de référence</w:t>
      </w:r>
    </w:p>
    <w:p>
      <w:pPr>
        <w:spacing w:after="80"/>
      </w:pPr>
      <w:r>
        <w:rPr>
          <w:rFonts w:ascii="Calibri" w:cs="Calibri" w:eastAsia="Calibri" w:hAnsi="Calibri"/>
          <w:color w:val="1F2937"/>
          <w:sz w:val="22"/>
          <w:szCs w:val="22"/>
        </w:rPr>
        <w:t xml:space="preserve">Manquements : sécurité insuffisante (VPN non robuste, détection défaillante), information inadéquate des 24 millions de victimes, conservation excessive de données d'anciens abonnés (données IBAN exposées).</w:t>
      </w:r>
    </w:p>
    <w:p>
      <w:pPr>
        <w:spacing w:after="80"/>
      </w:pPr>
      <w:r>
        <w:rPr>
          <w:rFonts w:ascii="Calibri" w:cs="Calibri" w:eastAsia="Calibri" w:hAnsi="Calibri"/>
          <w:color w:val="1F2937"/>
          <w:sz w:val="22"/>
          <w:szCs w:val="22"/>
        </w:rPr>
        <w:t xml:space="preserve">Enseignement clé : les mesures de sécurité doivent être proportionnées au volume et à la sensibilité des données traitées. La notification aux personnes doit être claire et opérationnelle.</w:t>
      </w:r>
    </w:p>
    <w:p>
      <w:pPr>
        <w:spacing w:after="60"/>
      </w:pPr>
      <w:r>
        <w:rPr>
          <w:rFonts w:ascii="Calibri" w:cs="Calibri" w:eastAsia="Calibri" w:hAnsi="Calibri"/>
          <w:color w:val="1F2937"/>
          <w:sz w:val="22"/>
          <w:szCs w:val="22"/>
        </w:rPr>
        <w:t xml:space="preserve">    → </w:t>
      </w:r>
      <w:hyperlink w:history="1" r:id="rIdrdbt_qtuh3safkejieykk">
        <w:r>
          <w:rPr>
            <w:rFonts w:ascii="Calibri" w:cs="Calibri" w:eastAsia="Calibri" w:hAnsi="Calibri"/>
            <w:color w:val="1155CC"/>
            <w:sz w:val="22"/>
            <w:szCs w:val="22"/>
            <w:u w:val="single"/>
          </w:rPr>
          <w:t xml:space="preserve">CNIL — Sanction FREE MOBILE &amp; FREE (42 M€)</w:t>
        </w:r>
      </w:hyperlink>
    </w:p>
    <w:p>
      <w:r>
        <w:t xml:space="preserve"/>
      </w:r>
    </w:p>
    <w:p>
      <w:pPr>
        <w:spacing w:after="60"/>
      </w:pPr>
      <w:r>
        <w:rPr>
          <w:rFonts w:ascii="Calibri" w:cs="Calibri" w:eastAsia="Calibri" w:hAnsi="Calibri"/>
          <w:b/>
          <w:bCs/>
          <w:color w:val="1F2937"/>
          <w:sz w:val="22"/>
          <w:szCs w:val="22"/>
        </w:rPr>
        <w:t xml:space="preserve">IQVIA Operations France — 5 M€ (26 mai 2026)</w:t>
      </w:r>
    </w:p>
    <w:p>
      <w:pPr>
        <w:spacing w:after="80"/>
      </w:pPr>
      <w:r>
        <w:rPr>
          <w:rFonts w:ascii="Calibri" w:cs="Calibri" w:eastAsia="Calibri" w:hAnsi="Calibri"/>
          <w:color w:val="1F2937"/>
          <w:sz w:val="22"/>
          <w:szCs w:val="22"/>
        </w:rPr>
        <w:t xml:space="preserve">Manquement : réutilisation de données de santé à des fins d'études sans information suffisante des patients (modalités d'information en pharmacie jugées insuffisamment visibles et accessibles). Données pouvant révéler indirectement des pathologies.</w:t>
      </w:r>
    </w:p>
    <w:p>
      <w:pPr>
        <w:spacing w:after="80"/>
      </w:pPr>
      <w:r>
        <w:rPr>
          <w:rFonts w:ascii="Calibri" w:cs="Calibri" w:eastAsia="Calibri" w:hAnsi="Calibri"/>
          <w:color w:val="1F2937"/>
          <w:sz w:val="22"/>
          <w:szCs w:val="22"/>
        </w:rPr>
        <w:t xml:space="preserve">Enseignement clé : l'information (art. 13-14 RGPD) sur la réutilisation de données de santé doit être visible, accessible et compréhensible — particulièrement pour les données sensibles art. 9.</w:t>
      </w:r>
    </w:p>
    <w:p>
      <w:pPr>
        <w:spacing w:after="60"/>
      </w:pPr>
      <w:r>
        <w:rPr>
          <w:rFonts w:ascii="Calibri" w:cs="Calibri" w:eastAsia="Calibri" w:hAnsi="Calibri"/>
          <w:color w:val="1F2937"/>
          <w:sz w:val="22"/>
          <w:szCs w:val="22"/>
        </w:rPr>
        <w:t xml:space="preserve">    → </w:t>
      </w:r>
      <w:hyperlink w:history="1" r:id="rId5z2tc3wujho235d4mnvnx">
        <w:r>
          <w:rPr>
            <w:rFonts w:ascii="Calibri" w:cs="Calibri" w:eastAsia="Calibri" w:hAnsi="Calibri"/>
            <w:color w:val="1155CC"/>
            <w:sz w:val="22"/>
            <w:szCs w:val="22"/>
            <w:u w:val="single"/>
          </w:rPr>
          <w:t xml:space="preserve">donneespersonnelles.fr — IQVIA sanction 5 M€</w:t>
        </w:r>
      </w:hyperlink>
    </w:p>
    <w:p>
      <w:r>
        <w:t xml:space="preserve"/>
      </w:r>
    </w:p>
    <w:p>
      <w:pPr>
        <w:spacing w:after="60"/>
      </w:pPr>
      <w:r>
        <w:rPr>
          <w:rFonts w:ascii="Calibri" w:cs="Calibri" w:eastAsia="Calibri" w:hAnsi="Calibri"/>
          <w:b/>
          <w:bCs/>
          <w:color w:val="1F2937"/>
          <w:sz w:val="22"/>
          <w:szCs w:val="22"/>
        </w:rPr>
        <w:t xml:space="preserve">FRANCE TRAVAIL — 5 M€ (22 janvier 2026)</w:t>
      </w:r>
    </w:p>
    <w:p>
      <w:pPr>
        <w:spacing w:after="80"/>
      </w:pPr>
      <w:r>
        <w:rPr>
          <w:rFonts w:ascii="Calibri" w:cs="Calibri" w:eastAsia="Calibri" w:hAnsi="Calibri"/>
          <w:color w:val="1F2937"/>
          <w:sz w:val="22"/>
          <w:szCs w:val="22"/>
        </w:rPr>
        <w:t xml:space="preserve">Sanction pour défaut de sécurité des données des demandeurs d'emploi. Rappel : les organismes traitant des données sensibles (revenus, situation professionnelle) doivent garantir une sécurité renforcée.</w:t>
      </w:r>
    </w:p>
    <w:p>
      <w:pPr>
        <w:spacing w:after="60"/>
      </w:pPr>
      <w:r>
        <w:rPr>
          <w:rFonts w:ascii="Calibri" w:cs="Calibri" w:eastAsia="Calibri" w:hAnsi="Calibri"/>
          <w:color w:val="1F2937"/>
          <w:sz w:val="22"/>
          <w:szCs w:val="22"/>
        </w:rPr>
        <w:t xml:space="preserve">    → </w:t>
      </w:r>
      <w:hyperlink w:history="1" r:id="rIdkls_yhr_orjm5icmlnjsy">
        <w:r>
          <w:rPr>
            <w:rFonts w:ascii="Calibri" w:cs="Calibri" w:eastAsia="Calibri" w:hAnsi="Calibri"/>
            <w:color w:val="1155CC"/>
            <w:sz w:val="22"/>
            <w:szCs w:val="22"/>
            <w:u w:val="single"/>
          </w:rPr>
          <w:t xml:space="preserve">CNIL — Sanction FRANCE TRAVAIL (5 M€)</w:t>
        </w:r>
      </w:hyperlink>
    </w:p>
    <w:p>
      <w:r>
        <w:t xml:space="preserve"/>
      </w:r>
    </w:p>
    <w:p>
      <w:pPr>
        <w:spacing w:after="60"/>
      </w:pPr>
      <w:r>
        <w:rPr>
          <w:rFonts w:ascii="Calibri" w:cs="Calibri" w:eastAsia="Calibri" w:hAnsi="Calibri"/>
          <w:b/>
          <w:bCs/>
          <w:color w:val="1F2937"/>
          <w:sz w:val="22"/>
          <w:szCs w:val="22"/>
        </w:rPr>
        <w:t xml:space="preserve">Ledger — Sanction non publiée exposée (4 juin 2026)</w:t>
      </w:r>
    </w:p>
    <w:p>
      <w:pPr>
        <w:spacing w:after="80"/>
      </w:pPr>
      <w:r>
        <w:rPr>
          <w:rFonts w:ascii="Calibri" w:cs="Calibri" w:eastAsia="Calibri" w:hAnsi="Calibri"/>
          <w:color w:val="1F2937"/>
          <w:sz w:val="22"/>
          <w:szCs w:val="22"/>
        </w:rPr>
        <w:t xml:space="preserve">Le Tribunal judiciaire de Paris ordonne à Ledger de transmettre la version confidentielle de sa sanction CNIL (750 000 €) dans le cadre d'un contentieux civil. Une décision non publiée reste susceptible d'être divulguée via une procédure judiciaire tierce.</w:t>
      </w:r>
    </w:p>
    <w:p>
      <w:pPr>
        <w:spacing w:after="60"/>
      </w:pPr>
      <w:r>
        <w:rPr>
          <w:rFonts w:ascii="Calibri" w:cs="Calibri" w:eastAsia="Calibri" w:hAnsi="Calibri"/>
          <w:color w:val="1F2937"/>
          <w:sz w:val="22"/>
          <w:szCs w:val="22"/>
        </w:rPr>
        <w:t xml:space="preserve">    → </w:t>
      </w:r>
      <w:hyperlink w:history="1" r:id="rIdteluvhvol1g3nihge8uxq">
        <w:r>
          <w:rPr>
            <w:rFonts w:ascii="Calibri" w:cs="Calibri" w:eastAsia="Calibri" w:hAnsi="Calibri"/>
            <w:color w:val="1155CC"/>
            <w:sz w:val="22"/>
            <w:szCs w:val="22"/>
            <w:u w:val="single"/>
          </w:rPr>
          <w:t xml:space="preserve">donneespersonnelles.fr — Ledger : transmission sanction CNIL</w:t>
        </w:r>
      </w:hyperlink>
    </w:p>
    <w:p>
      <w:r>
        <w:t xml:space="preserve"/>
      </w:r>
    </w:p>
    <w:p>
      <w:pPr>
        <w:spacing w:after="60"/>
      </w:pPr>
      <w:r>
        <w:rPr>
          <w:rFonts w:ascii="Calibri" w:cs="Calibri" w:eastAsia="Calibri" w:hAnsi="Calibri"/>
          <w:b/>
          <w:bCs/>
          <w:color w:val="1F2937"/>
          <w:sz w:val="22"/>
          <w:szCs w:val="22"/>
        </w:rPr>
        <w:t xml:space="preserve">Cour des Comptes — Rapport de gestion CNIL (4 juin 2026)</w:t>
      </w:r>
    </w:p>
    <w:p>
      <w:pPr>
        <w:spacing w:after="80"/>
      </w:pPr>
      <w:r>
        <w:rPr>
          <w:rFonts w:ascii="Calibri" w:cs="Calibri" w:eastAsia="Calibri" w:hAnsi="Calibri"/>
          <w:color w:val="1F2937"/>
          <w:sz w:val="22"/>
          <w:szCs w:val="22"/>
        </w:rPr>
        <w:t xml:space="preserve">La CNIL a recouvré 649 M€ d'amendes depuis 2017, avec +343% de contrôles. Signal fort de l'intensification de l'enforcement RGPD en France.</w:t>
      </w:r>
    </w:p>
    <w:p>
      <w:pPr>
        <w:spacing w:after="60"/>
      </w:pPr>
      <w:r>
        <w:rPr>
          <w:rFonts w:ascii="Calibri" w:cs="Calibri" w:eastAsia="Calibri" w:hAnsi="Calibri"/>
          <w:color w:val="1F2937"/>
          <w:sz w:val="22"/>
          <w:szCs w:val="22"/>
        </w:rPr>
        <w:t xml:space="preserve">    → </w:t>
      </w:r>
      <w:hyperlink w:history="1" r:id="rIdteuu6azdq7albzx9gmsk9">
        <w:r>
          <w:rPr>
            <w:rFonts w:ascii="Calibri" w:cs="Calibri" w:eastAsia="Calibri" w:hAnsi="Calibri"/>
            <w:color w:val="1155CC"/>
            <w:sz w:val="22"/>
            <w:szCs w:val="22"/>
            <w:u w:val="single"/>
          </w:rPr>
          <w:t xml:space="preserve">donneespersonnelles.fr — Cour des Comptes : rapport CNIL</w:t>
        </w:r>
      </w:hyperlink>
    </w:p>
    <w:p>
      <w:r>
        <w:t xml:space="preserve"/>
      </w:r>
    </w:p>
    <w:p>
      <w:pPr>
        <w:pBdr>
          <w:bottom w:val="single" w:color="1B3A6B" w:sz="6"/>
        </w:pBdr>
        <w:spacing w:after="100" w:before="320"/>
      </w:pPr>
      <w:r>
        <w:rPr>
          <w:rFonts w:ascii="Calibri" w:cs="Calibri" w:eastAsia="Calibri" w:hAnsi="Calibri"/>
          <w:b/>
          <w:bCs/>
          <w:color w:val="1B3A6B"/>
          <w:sz w:val="28"/>
          <w:szCs w:val="28"/>
        </w:rPr>
        <w:t xml:space="preserve">🏛️ Doctrine &amp; Lignes directrices</w:t>
      </w:r>
    </w:p>
    <w:p>
      <w:pPr>
        <w:spacing w:after="60"/>
      </w:pPr>
      <w:r>
        <w:rPr>
          <w:rFonts w:ascii="Calibri" w:cs="Calibri" w:eastAsia="Calibri" w:hAnsi="Calibri"/>
          <w:b/>
          <w:bCs/>
          <w:color w:val="1F2937"/>
          <w:sz w:val="22"/>
          <w:szCs w:val="22"/>
        </w:rPr>
        <w:t xml:space="preserve">EDPB — Digest One-Stop-Shop : droits d'opposition et effacement (25 juin 2026)</w:t>
      </w:r>
    </w:p>
    <w:p>
      <w:pPr>
        <w:spacing w:after="80"/>
      </w:pPr>
      <w:r>
        <w:rPr>
          <w:rFonts w:ascii="Calibri" w:cs="Calibri" w:eastAsia="Calibri" w:hAnsi="Calibri"/>
          <w:color w:val="1F2937"/>
          <w:sz w:val="22"/>
          <w:szCs w:val="22"/>
        </w:rPr>
        <w:t xml:space="preserve">Mise à jour du recueil de cas traitant du droit d'opposition (art. 21) et du droit à l'effacement (art. 17 RGPD) dans le cadre du mécanisme guichet unique. Clarification procédurale pour les traitements transfrontaliers.</w:t>
      </w:r>
    </w:p>
    <w:p>
      <w:pPr>
        <w:spacing w:after="60"/>
      </w:pPr>
      <w:r>
        <w:rPr>
          <w:rFonts w:ascii="Calibri" w:cs="Calibri" w:eastAsia="Calibri" w:hAnsi="Calibri"/>
          <w:color w:val="1F2937"/>
          <w:sz w:val="22"/>
          <w:szCs w:val="22"/>
        </w:rPr>
        <w:t xml:space="preserve">    → </w:t>
      </w:r>
      <w:hyperlink w:history="1" r:id="rIdi7cl8qz5l2qj8dmq_ogsw">
        <w:r>
          <w:rPr>
            <w:rFonts w:ascii="Calibri" w:cs="Calibri" w:eastAsia="Calibri" w:hAnsi="Calibri"/>
            <w:color w:val="1155CC"/>
            <w:sz w:val="22"/>
            <w:szCs w:val="22"/>
            <w:u w:val="single"/>
          </w:rPr>
          <w:t xml:space="preserve">EDPB — One-Stop-Shop digest : droit d'opposition et effacement</w:t>
        </w:r>
      </w:hyperlink>
    </w:p>
    <w:p>
      <w:r>
        <w:t xml:space="preserve"/>
      </w:r>
    </w:p>
    <w:p>
      <w:pPr>
        <w:spacing w:after="60"/>
      </w:pPr>
      <w:r>
        <w:rPr>
          <w:rFonts w:ascii="Calibri" w:cs="Calibri" w:eastAsia="Calibri" w:hAnsi="Calibri"/>
          <w:b/>
          <w:bCs/>
          <w:color w:val="1F2937"/>
          <w:sz w:val="22"/>
          <w:szCs w:val="22"/>
        </w:rPr>
        <w:t xml:space="preserve">EDPB — Formulaire cohérence RGPD (24 juin 2026)</w:t>
      </w:r>
    </w:p>
    <w:p>
      <w:pPr>
        <w:spacing w:after="80"/>
      </w:pPr>
      <w:r>
        <w:rPr>
          <w:rFonts w:ascii="Calibri" w:cs="Calibri" w:eastAsia="Calibri" w:hAnsi="Calibri"/>
          <w:color w:val="1F2937"/>
          <w:sz w:val="22"/>
          <w:szCs w:val="22"/>
        </w:rPr>
        <w:t xml:space="preserve">L'EDPB lance un formulaire dédié au mécanisme de cohérence (art. 63 RGPD) pour renforcer l'harmonisation entre autorités nationales. Facilite les demandes d'avis contraignants entre DPA européens.</w:t>
      </w:r>
    </w:p>
    <w:p>
      <w:pPr>
        <w:spacing w:after="60"/>
      </w:pPr>
      <w:r>
        <w:rPr>
          <w:rFonts w:ascii="Calibri" w:cs="Calibri" w:eastAsia="Calibri" w:hAnsi="Calibri"/>
          <w:color w:val="1F2937"/>
          <w:sz w:val="22"/>
          <w:szCs w:val="22"/>
        </w:rPr>
        <w:t xml:space="preserve">    → </w:t>
      </w:r>
      <w:hyperlink w:history="1" r:id="rIdsrfqomg8c5g7s3z8gai4o">
        <w:r>
          <w:rPr>
            <w:rFonts w:ascii="Calibri" w:cs="Calibri" w:eastAsia="Calibri" w:hAnsi="Calibri"/>
            <w:color w:val="1155CC"/>
            <w:sz w:val="22"/>
            <w:szCs w:val="22"/>
            <w:u w:val="single"/>
          </w:rPr>
          <w:t xml:space="preserve">EDPB — Formulaire cohérence RGPD</w:t>
        </w:r>
      </w:hyperlink>
    </w:p>
    <w:p>
      <w:r>
        <w:t xml:space="preserve"/>
      </w:r>
    </w:p>
    <w:p>
      <w:pPr>
        <w:spacing w:after="60"/>
      </w:pPr>
      <w:r>
        <w:rPr>
          <w:rFonts w:ascii="Calibri" w:cs="Calibri" w:eastAsia="Calibri" w:hAnsi="Calibri"/>
          <w:b/>
          <w:bCs/>
          <w:color w:val="1F2937"/>
          <w:sz w:val="22"/>
          <w:szCs w:val="22"/>
        </w:rPr>
        <w:t xml:space="preserve">G7 DPA Paris — Principes clés pour la protection des mineurs (26 juin 2026)</w:t>
      </w:r>
    </w:p>
    <w:p>
      <w:pPr>
        <w:spacing w:after="80"/>
      </w:pPr>
      <w:r>
        <w:rPr>
          <w:rFonts w:ascii="Calibri" w:cs="Calibri" w:eastAsia="Calibri" w:hAnsi="Calibri"/>
          <w:color w:val="1F2937"/>
          <w:sz w:val="22"/>
          <w:szCs w:val="22"/>
        </w:rPr>
        <w:t xml:space="preserve">Les autorités de protection des données des pays du G7, réunies sous présidence CNIL les 25-26 juin 2026, publient des principes communs sur la protection des mineurs face aux technologies émergentes (IA, réseaux sociaux, reconnaissance faciale biométrique).</w:t>
      </w:r>
    </w:p>
    <w:p>
      <w:pPr>
        <w:spacing w:after="60"/>
      </w:pPr>
      <w:r>
        <w:rPr>
          <w:rFonts w:ascii="Calibri" w:cs="Calibri" w:eastAsia="Calibri" w:hAnsi="Calibri"/>
          <w:color w:val="1F2937"/>
          <w:sz w:val="22"/>
          <w:szCs w:val="22"/>
        </w:rPr>
        <w:t xml:space="preserve">    → </w:t>
      </w:r>
      <w:hyperlink w:history="1" r:id="rIdy35ouj4hftxw606uu0evu">
        <w:r>
          <w:rPr>
            <w:rFonts w:ascii="Calibri" w:cs="Calibri" w:eastAsia="Calibri" w:hAnsi="Calibri"/>
            <w:color w:val="1155CC"/>
            <w:sz w:val="22"/>
            <w:szCs w:val="22"/>
            <w:u w:val="single"/>
          </w:rPr>
          <w:t xml:space="preserve">CNIL — G7 DPA : principes protection des mineurs</w:t>
        </w:r>
      </w:hyperlink>
    </w:p>
    <w:p>
      <w:r>
        <w:t xml:space="preserve"/>
      </w:r>
    </w:p>
    <w:p>
      <w:pPr>
        <w:spacing w:after="60"/>
      </w:pPr>
      <w:r>
        <w:rPr>
          <w:rFonts w:ascii="Calibri" w:cs="Calibri" w:eastAsia="Calibri" w:hAnsi="Calibri"/>
          <w:b/>
          <w:bCs/>
          <w:color w:val="1F2937"/>
          <w:sz w:val="22"/>
          <w:szCs w:val="22"/>
        </w:rPr>
        <w:t xml:space="preserve">CNIL &amp; HAS — Numérique en santé : bonnes pratiques (mars 2026)</w:t>
      </w:r>
    </w:p>
    <w:p>
      <w:pPr>
        <w:spacing w:after="80"/>
      </w:pPr>
      <w:r>
        <w:rPr>
          <w:rFonts w:ascii="Calibri" w:cs="Calibri" w:eastAsia="Calibri" w:hAnsi="Calibri"/>
          <w:color w:val="1F2937"/>
          <w:sz w:val="22"/>
          <w:szCs w:val="22"/>
        </w:rPr>
        <w:t xml:space="preserve">La CNIL et la HAS s'engagent conjointement pour renforcer les bonnes pratiques en matière de numérique en santé. Portée : DUI, télésuivi, objets connectés, IA médicale.</w:t>
      </w:r>
    </w:p>
    <w:p>
      <w:pPr>
        <w:spacing w:after="60"/>
      </w:pPr>
      <w:r>
        <w:rPr>
          <w:rFonts w:ascii="Calibri" w:cs="Calibri" w:eastAsia="Calibri" w:hAnsi="Calibri"/>
          <w:color w:val="1F2937"/>
          <w:sz w:val="22"/>
          <w:szCs w:val="22"/>
        </w:rPr>
        <w:t xml:space="preserve">    → </w:t>
      </w:r>
      <w:hyperlink w:history="1" r:id="rIdup8j_n0lppk0i7krvm55q">
        <w:r>
          <w:rPr>
            <w:rFonts w:ascii="Calibri" w:cs="Calibri" w:eastAsia="Calibri" w:hAnsi="Calibri"/>
            <w:color w:val="1155CC"/>
            <w:sz w:val="22"/>
            <w:szCs w:val="22"/>
            <w:u w:val="single"/>
          </w:rPr>
          <w:t xml:space="preserve">CNIL — Numérique en santé : CNIL &amp; HAS</w:t>
        </w:r>
      </w:hyperlink>
    </w:p>
    <w:p>
      <w:r>
        <w:t xml:space="preserve"/>
      </w:r>
    </w:p>
    <w:p>
      <w:pPr>
        <w:spacing w:after="60"/>
      </w:pPr>
      <w:r>
        <w:rPr>
          <w:rFonts w:ascii="Calibri" w:cs="Calibri" w:eastAsia="Calibri" w:hAnsi="Calibri"/>
          <w:b/>
          <w:bCs/>
          <w:color w:val="1F2937"/>
          <w:sz w:val="22"/>
          <w:szCs w:val="22"/>
        </w:rPr>
        <w:t xml:space="preserve">CNIL — Mise à jour MR-001 et MR-003 (26 mai 2026)</w:t>
      </w:r>
    </w:p>
    <w:p>
      <w:pPr>
        <w:spacing w:after="80"/>
      </w:pPr>
      <w:r>
        <w:rPr>
          <w:rFonts w:ascii="Calibri" w:cs="Calibri" w:eastAsia="Calibri" w:hAnsi="Calibri"/>
          <w:color w:val="1F2937"/>
          <w:sz w:val="22"/>
          <w:szCs w:val="22"/>
        </w:rPr>
        <w:t xml:space="preserve">La CNIL étend le champ des méthodologies de référence pour la recherche en santé (MR-001 et MR-003). Impact : organismes médico-sociaux participant à des recherches épidémiologiques ou évaluations médico-économiques.</w:t>
      </w:r>
    </w:p>
    <w:p>
      <w:pPr>
        <w:spacing w:after="60"/>
      </w:pPr>
      <w:r>
        <w:rPr>
          <w:rFonts w:ascii="Calibri" w:cs="Calibri" w:eastAsia="Calibri" w:hAnsi="Calibri"/>
          <w:color w:val="1F2937"/>
          <w:sz w:val="22"/>
          <w:szCs w:val="22"/>
        </w:rPr>
        <w:t xml:space="preserve">    → </w:t>
      </w:r>
      <w:hyperlink w:history="1" r:id="rIda-td5ufknimibvfl4l4aw">
        <w:r>
          <w:rPr>
            <w:rFonts w:ascii="Calibri" w:cs="Calibri" w:eastAsia="Calibri" w:hAnsi="Calibri"/>
            <w:color w:val="1155CC"/>
            <w:sz w:val="22"/>
            <w:szCs w:val="22"/>
            <w:u w:val="single"/>
          </w:rPr>
          <w:t xml:space="preserve">CNIL — MR-001 &amp; MR-003 : mise à jour recherche en santé</w:t>
        </w:r>
      </w:hyperlink>
    </w:p>
    <w:p>
      <w:r>
        <w:t xml:space="preserve"/>
      </w:r>
    </w:p>
    <w:p>
      <w:pPr>
        <w:pBdr>
          <w:bottom w:val="single" w:color="1B3A6B" w:sz="6"/>
        </w:pBdr>
        <w:spacing w:after="100" w:before="320"/>
      </w:pPr>
      <w:r>
        <w:rPr>
          <w:rFonts w:ascii="Calibri" w:cs="Calibri" w:eastAsia="Calibri" w:hAnsi="Calibri"/>
          <w:b/>
          <w:bCs/>
          <w:color w:val="1B3A6B"/>
          <w:sz w:val="28"/>
          <w:szCs w:val="28"/>
        </w:rPr>
        <w:t xml:space="preserve">🏥 Focus santé / médico-social</w:t>
      </w:r>
    </w:p>
    <w:p>
      <w:pPr>
        <w:spacing w:after="60"/>
      </w:pPr>
      <w:r>
        <w:rPr>
          <w:rFonts w:ascii="Calibri" w:cs="Calibri" w:eastAsia="Calibri" w:hAnsi="Calibri"/>
          <w:b/>
          <w:bCs/>
          <w:color w:val="1F2937"/>
          <w:sz w:val="22"/>
          <w:szCs w:val="22"/>
        </w:rPr>
        <w:t xml:space="preserve">CNIL — Données de santé et MR : impact direct ESSMS</w:t>
      </w:r>
    </w:p>
    <w:p>
      <w:pPr>
        <w:spacing w:after="80"/>
      </w:pPr>
      <w:r>
        <w:rPr>
          <w:rFonts w:ascii="Calibri" w:cs="Calibri" w:eastAsia="Calibri" w:hAnsi="Calibri"/>
          <w:color w:val="1F2937"/>
          <w:sz w:val="22"/>
          <w:szCs w:val="22"/>
        </w:rPr>
        <w:t xml:space="preserve">Les mises à jour MR-001/003 clarifient les conditions dans lesquelles les ESSMS peuvent participer à des recherches impliquant des données de santé sans recueillir de nouveau consentement explicite (base : intérêt public + garanties techniques). Vérifier l'alignement du DUI (Imago) avec ces référentiels si participation à des études.</w:t>
      </w:r>
    </w:p>
    <w:p>
      <w:r>
        <w:t xml:space="preserve"/>
      </w:r>
    </w:p>
    <w:p>
      <w:pPr>
        <w:spacing w:after="60"/>
      </w:pPr>
      <w:r>
        <w:rPr>
          <w:rFonts w:ascii="Calibri" w:cs="Calibri" w:eastAsia="Calibri" w:hAnsi="Calibri"/>
          <w:b/>
          <w:bCs/>
          <w:color w:val="1F2937"/>
          <w:sz w:val="22"/>
          <w:szCs w:val="22"/>
        </w:rPr>
        <w:t xml:space="preserve">CNIL &amp; HAS — Numérique en santé et ESSMS</w:t>
      </w:r>
    </w:p>
    <w:p>
      <w:pPr>
        <w:spacing w:after="80"/>
      </w:pPr>
      <w:r>
        <w:rPr>
          <w:rFonts w:ascii="Calibri" w:cs="Calibri" w:eastAsia="Calibri" w:hAnsi="Calibri"/>
          <w:color w:val="1F2937"/>
          <w:sz w:val="22"/>
          <w:szCs w:val="22"/>
        </w:rPr>
        <w:t xml:space="preserve">L'engagement conjoint CNIL-HAS signale un renforcement du cadre normatif pour les DUI, les outils de télésurveillance et les applications de suivi des personnes accompagnées. Les ESSMS doivent anticiper un resserrement des exigences HDS (hébergement de données de santé) et de traçabilité des accès.</w:t>
      </w:r>
    </w:p>
    <w:p>
      <w:r>
        <w:t xml:space="preserve"/>
      </w:r>
    </w:p>
    <w:p>
      <w:pPr>
        <w:spacing w:after="60"/>
      </w:pPr>
      <w:r>
        <w:rPr>
          <w:rFonts w:ascii="Calibri" w:cs="Calibri" w:eastAsia="Calibri" w:hAnsi="Calibri"/>
          <w:b/>
          <w:bCs/>
          <w:color w:val="1F2937"/>
          <w:sz w:val="22"/>
          <w:szCs w:val="22"/>
        </w:rPr>
        <w:t xml:space="preserve">CNIL alerte — Victimes de violations de données (24 juin 2026)</w:t>
      </w:r>
    </w:p>
    <w:p>
      <w:pPr>
        <w:spacing w:after="80"/>
      </w:pPr>
      <w:r>
        <w:rPr>
          <w:rFonts w:ascii="Calibri" w:cs="Calibri" w:eastAsia="Calibri" w:hAnsi="Calibri"/>
          <w:color w:val="1F2937"/>
          <w:sz w:val="22"/>
          <w:szCs w:val="22"/>
        </w:rPr>
        <w:t xml:space="preserve">Des acteurs malveillants exploitent les violations de données pour cibler les victimes avec des offres d'assistance non légitimes (phishing de deuxième niveau). Impact ESSMS : si une violation de données a été notifiée à la CNIL, informer les personnes accompagnées et leurs familles de ce risque secondaire.</w:t>
      </w:r>
    </w:p>
    <w:p>
      <w:pPr>
        <w:spacing w:after="60"/>
      </w:pPr>
      <w:r>
        <w:rPr>
          <w:rFonts w:ascii="Calibri" w:cs="Calibri" w:eastAsia="Calibri" w:hAnsi="Calibri"/>
          <w:color w:val="1F2937"/>
          <w:sz w:val="22"/>
          <w:szCs w:val="22"/>
        </w:rPr>
        <w:t xml:space="preserve">    → </w:t>
      </w:r>
      <w:hyperlink w:history="1" r:id="rIdx6l3vwysqodwapviie5w-">
        <w:r>
          <w:rPr>
            <w:rFonts w:ascii="Calibri" w:cs="Calibri" w:eastAsia="Calibri" w:hAnsi="Calibri"/>
            <w:color w:val="1155CC"/>
            <w:sz w:val="22"/>
            <w:szCs w:val="22"/>
            <w:u w:val="single"/>
          </w:rPr>
          <w:t xml:space="preserve">CNIL — Vigilance après violation de données</w:t>
        </w:r>
      </w:hyperlink>
    </w:p>
    <w:p>
      <w:r>
        <w:t xml:space="preserve"/>
      </w:r>
    </w:p>
    <w:p>
      <w:pPr>
        <w:pBdr>
          <w:bottom w:val="single" w:color="1B3A6B" w:sz="6"/>
        </w:pBdr>
        <w:spacing w:after="100" w:before="320"/>
      </w:pPr>
      <w:r>
        <w:rPr>
          <w:rFonts w:ascii="Calibri" w:cs="Calibri" w:eastAsia="Calibri" w:hAnsi="Calibri"/>
          <w:b/>
          <w:bCs/>
          <w:color w:val="1B3A6B"/>
          <w:sz w:val="28"/>
          <w:szCs w:val="28"/>
        </w:rPr>
        <w:t xml:space="preserve">⚠️ Impacts pour les ESSMS — Points de vigilance</w:t>
      </w:r>
    </w:p>
    <w:p>
      <w:pPr>
        <w:spacing w:after="60"/>
      </w:pPr>
      <w:r>
        <w:rPr>
          <w:rFonts w:ascii="Calibri" w:cs="Calibri" w:eastAsia="Calibri" w:hAnsi="Calibri"/>
          <w:b/>
          <w:bCs/>
          <w:color w:val="1F2937"/>
          <w:sz w:val="22"/>
          <w:szCs w:val="22"/>
        </w:rPr>
        <w:t xml:space="preserve">1. Droits des personnes accompagnées (art. 17 &amp; 21 RGPD) — Priorité</w:t>
      </w:r>
    </w:p>
    <w:p>
      <w:pPr>
        <w:spacing w:after="80"/>
      </w:pPr>
      <w:r>
        <w:rPr>
          <w:rFonts w:ascii="Calibri" w:cs="Calibri" w:eastAsia="Calibri" w:hAnsi="Calibri"/>
          <w:color w:val="1F2937"/>
          <w:sz w:val="22"/>
          <w:szCs w:val="22"/>
        </w:rPr>
        <w:t xml:space="preserve">Le digest EDPB mis à jour (25/06) précise les conditions d'exercice du droit à l'effacement et du droit d'opposition. Pour un foyer d'hébergement : les personnes accompagnées (ou leurs représentants légaux) peuvent exercer ces droits sur le DUI, les données de suivi médical et les fichiers RH. Prévoir une procédure écrite de traitement de ces demandes (délai : 1 mois max, art. 12).</w:t>
      </w:r>
    </w:p>
    <w:p>
      <w:r>
        <w:t xml:space="preserve"/>
      </w:r>
    </w:p>
    <w:p>
      <w:pPr>
        <w:spacing w:after="60"/>
      </w:pPr>
      <w:r>
        <w:rPr>
          <w:rFonts w:ascii="Calibri" w:cs="Calibri" w:eastAsia="Calibri" w:hAnsi="Calibri"/>
          <w:b/>
          <w:bCs/>
          <w:color w:val="1F2937"/>
          <w:sz w:val="22"/>
          <w:szCs w:val="22"/>
        </w:rPr>
        <w:t xml:space="preserve">2. Sécurité des données et violation (art. 32-33-34 RGPD)</w:t>
      </w:r>
    </w:p>
    <w:p>
      <w:pPr>
        <w:spacing w:after="80"/>
      </w:pPr>
      <w:r>
        <w:rPr>
          <w:rFonts w:ascii="Calibri" w:cs="Calibri" w:eastAsia="Calibri" w:hAnsi="Calibri"/>
          <w:color w:val="1F2937"/>
          <w:sz w:val="22"/>
          <w:szCs w:val="22"/>
        </w:rPr>
        <w:t xml:space="preserve">L'alerte CNIL (24/06) et la sanction FRANCE TRAVAIL (5 M€) rappellent l'obligation de sécurisation. Actions concrètes : audit des accès au DUI (Imago), gestion des droits par profil, procédure de notification CNIL sous 72h en cas de violation, registre des incidents de sécurité.</w:t>
      </w:r>
    </w:p>
    <w:p>
      <w:r>
        <w:t xml:space="preserve"/>
      </w:r>
    </w:p>
    <w:p>
      <w:pPr>
        <w:spacing w:after="60"/>
      </w:pPr>
      <w:r>
        <w:rPr>
          <w:rFonts w:ascii="Calibri" w:cs="Calibri" w:eastAsia="Calibri" w:hAnsi="Calibri"/>
          <w:b/>
          <w:bCs/>
          <w:color w:val="1F2937"/>
          <w:sz w:val="22"/>
          <w:szCs w:val="22"/>
        </w:rPr>
        <w:t xml:space="preserve">3. Registre des traitements — Mise à jour obligatoire</w:t>
      </w:r>
    </w:p>
    <w:p>
      <w:pPr>
        <w:spacing w:after="80"/>
      </w:pPr>
      <w:r>
        <w:rPr>
          <w:rFonts w:ascii="Calibri" w:cs="Calibri" w:eastAsia="Calibri" w:hAnsi="Calibri"/>
          <w:color w:val="1F2937"/>
          <w:sz w:val="22"/>
          <w:szCs w:val="22"/>
        </w:rPr>
        <w:t xml:space="preserve">La mise à jour des MR santé et l'engagement CNIL-HAS renforcent l'obligation de documenter précisément les traitements de données de santé (art. 30 RGPD). Vérifier que le DUI Imago, les dossiers médicaux partagés et les outils de suivi figurent dans le registre avec les durées de conservation et les sous-traitants identifiés.</w:t>
      </w:r>
    </w:p>
    <w:p>
      <w:r>
        <w:t xml:space="preserve"/>
      </w:r>
    </w:p>
    <w:p>
      <w:pPr>
        <w:spacing w:after="60"/>
      </w:pPr>
      <w:r>
        <w:rPr>
          <w:rFonts w:ascii="Calibri" w:cs="Calibri" w:eastAsia="Calibri" w:hAnsi="Calibri"/>
          <w:b/>
          <w:bCs/>
          <w:color w:val="1F2937"/>
          <w:sz w:val="22"/>
          <w:szCs w:val="22"/>
        </w:rPr>
        <w:t xml:space="preserve">4. Sous-traitants et hébergeurs HDS</w:t>
      </w:r>
    </w:p>
    <w:p>
      <w:pPr>
        <w:spacing w:after="80"/>
      </w:pPr>
      <w:r>
        <w:rPr>
          <w:rFonts w:ascii="Calibri" w:cs="Calibri" w:eastAsia="Calibri" w:hAnsi="Calibri"/>
          <w:color w:val="1F2937"/>
          <w:sz w:val="22"/>
          <w:szCs w:val="22"/>
        </w:rPr>
        <w:t xml:space="preserve">Les fournisseurs du DUI (Imago), de messagerie sécurisée ou d'outils de télésurveillance doivent être certifiés HDS si leurs services hébergent des données de santé. Vérifier la validité des certifications HDS et les clauses de sous-traitance (art. 28 RGPD) dans les contrats.</w:t>
      </w:r>
    </w:p>
    <w:p>
      <w:r>
        <w:t xml:space="preserve"/>
      </w:r>
    </w:p>
    <w:p>
      <w:pPr>
        <w:spacing w:after="60"/>
      </w:pPr>
      <w:r>
        <w:rPr>
          <w:rFonts w:ascii="Calibri" w:cs="Calibri" w:eastAsia="Calibri" w:hAnsi="Calibri"/>
          <w:b/>
          <w:bCs/>
          <w:color w:val="1F2937"/>
          <w:sz w:val="22"/>
          <w:szCs w:val="22"/>
        </w:rPr>
        <w:t xml:space="preserve">5. DPO — Rôle de veille et d'alerte renforcé</w:t>
      </w:r>
    </w:p>
    <w:p>
      <w:pPr>
        <w:spacing w:after="80"/>
      </w:pPr>
      <w:r>
        <w:rPr>
          <w:rFonts w:ascii="Calibri" w:cs="Calibri" w:eastAsia="Calibri" w:hAnsi="Calibri"/>
          <w:color w:val="1F2937"/>
          <w:sz w:val="22"/>
          <w:szCs w:val="22"/>
        </w:rPr>
        <w:t xml:space="preserve">L'intensification de l'enforcement (649 M€ recouvrés, +343% de contrôles selon la Cour des Comptes) impose un DPO (ou correspondant RGPD) actif. Si votre structure ne dispose pas d'un DPO désigné auprès de la CNIL, c'est une obligation légale pour les traitements à grande échelle de données de santé sensibles (art. 37 RGPD).</w:t>
      </w:r>
    </w:p>
    <w:p>
      <w:r>
        <w:t xml:space="preserve"/>
      </w:r>
    </w:p>
    <w:p>
      <w:pPr>
        <w:spacing w:after="60"/>
      </w:pPr>
      <w:r>
        <w:rPr>
          <w:rFonts w:ascii="Calibri" w:cs="Calibri" w:eastAsia="Calibri" w:hAnsi="Calibri"/>
          <w:b/>
          <w:bCs/>
          <w:color w:val="1F2937"/>
          <w:sz w:val="22"/>
          <w:szCs w:val="22"/>
        </w:rPr>
        <w:t xml:space="preserve">6. Vote électronique et élections professionnelles</w:t>
      </w:r>
    </w:p>
    <w:p>
      <w:pPr>
        <w:spacing w:after="80"/>
      </w:pPr>
      <w:r>
        <w:rPr>
          <w:rFonts w:ascii="Calibri" w:cs="Calibri" w:eastAsia="Calibri" w:hAnsi="Calibri"/>
          <w:color w:val="1F2937"/>
          <w:sz w:val="22"/>
          <w:szCs w:val="22"/>
        </w:rPr>
        <w:t xml:space="preserve">Si votre structure envisage un vote électronique pour les élections CSE, la CNIL exige le dépôt d'un rapport d'expertise indépendant. S'assurer que la plateforme de vote est conforme aux exigences CNIL (traçabilité, anonymat, conservation limitée des données).</w:t>
      </w:r>
    </w:p>
    <w:p>
      <w:r>
        <w:t xml:space="preserve"/>
      </w:r>
    </w:p>
    <w:p>
      <w:pPr>
        <w:pBdr>
          <w:bottom w:val="single" w:color="1B3A6B" w:sz="6"/>
        </w:pBdr>
        <w:spacing w:after="100" w:before="320"/>
      </w:pPr>
      <w:r>
        <w:rPr>
          <w:rFonts w:ascii="Calibri" w:cs="Calibri" w:eastAsia="Calibri" w:hAnsi="Calibri"/>
          <w:b/>
          <w:bCs/>
          <w:color w:val="1B3A6B"/>
          <w:sz w:val="28"/>
          <w:szCs w:val="28"/>
        </w:rPr>
        <w:t xml:space="preserve">📚 Sources consultées</w:t>
      </w:r>
    </w:p>
    <w:p>
      <w:pPr>
        <w:spacing w:after="60"/>
      </w:pPr>
      <w:r>
        <w:rPr>
          <w:rFonts w:ascii="Calibri" w:cs="Calibri" w:eastAsia="Calibri" w:hAnsi="Calibri"/>
          <w:b/>
          <w:bCs/>
          <w:color w:val="1F2937"/>
          <w:sz w:val="22"/>
          <w:szCs w:val="22"/>
        </w:rPr>
        <w:t xml:space="preserve">✅  Source 1 — </w:t>
      </w:r>
      <w:hyperlink w:history="1" r:id="rIdfozmpkkxzfdbenlji4jy9">
        <w:r>
          <w:rPr>
            <w:rFonts w:ascii="Calibri" w:cs="Calibri" w:eastAsia="Calibri" w:hAnsi="Calibri"/>
            <w:color w:val="1155CC"/>
            <w:sz w:val="22"/>
            <w:szCs w:val="22"/>
            <w:u w:val="single"/>
          </w:rPr>
          <w:t xml:space="preserve">CNIL — Actualités</w:t>
        </w:r>
      </w:hyperlink>
    </w:p>
    <w:p>
      <w:pPr>
        <w:spacing w:after="60"/>
      </w:pPr>
      <w:r>
        <w:rPr>
          <w:rFonts w:ascii="Calibri" w:cs="Calibri" w:eastAsia="Calibri" w:hAnsi="Calibri"/>
          <w:b/>
          <w:bCs/>
          <w:color w:val="1F2937"/>
          <w:sz w:val="22"/>
          <w:szCs w:val="22"/>
        </w:rPr>
        <w:t xml:space="preserve">✅  Source 2 — </w:t>
      </w:r>
      <w:hyperlink w:history="1" r:id="rIde8rgxsmx_u4t76kwyjgfk">
        <w:r>
          <w:rPr>
            <w:rFonts w:ascii="Calibri" w:cs="Calibri" w:eastAsia="Calibri" w:hAnsi="Calibri"/>
            <w:color w:val="1155CC"/>
            <w:sz w:val="22"/>
            <w:szCs w:val="22"/>
            <w:u w:val="single"/>
          </w:rPr>
          <w:t xml:space="preserve">CNIL — Secteur Santé</w:t>
        </w:r>
      </w:hyperlink>
    </w:p>
    <w:p>
      <w:pPr>
        <w:spacing w:after="60"/>
      </w:pPr>
      <w:r>
        <w:rPr>
          <w:rFonts w:ascii="Calibri" w:cs="Calibri" w:eastAsia="Calibri" w:hAnsi="Calibri"/>
          <w:b/>
          <w:bCs/>
          <w:color w:val="1F2937"/>
          <w:sz w:val="22"/>
          <w:szCs w:val="22"/>
        </w:rPr>
        <w:t xml:space="preserve">✅  Source 3 — </w:t>
      </w:r>
      <w:hyperlink w:history="1" r:id="rIdizalyvlyqhihl57qdgqzb">
        <w:r>
          <w:rPr>
            <w:rFonts w:ascii="Calibri" w:cs="Calibri" w:eastAsia="Calibri" w:hAnsi="Calibri"/>
            <w:color w:val="1155CC"/>
            <w:sz w:val="22"/>
            <w:szCs w:val="22"/>
            <w:u w:val="single"/>
          </w:rPr>
          <w:t xml:space="preserve">EDPB — Actualités</w:t>
        </w:r>
      </w:hyperlink>
    </w:p>
    <w:p>
      <w:pPr>
        <w:spacing w:after="60"/>
      </w:pPr>
      <w:r>
        <w:rPr>
          <w:rFonts w:ascii="Calibri" w:cs="Calibri" w:eastAsia="Calibri" w:hAnsi="Calibri"/>
          <w:b/>
          <w:bCs/>
          <w:color w:val="C0392B"/>
          <w:sz w:val="22"/>
          <w:szCs w:val="22"/>
        </w:rPr>
        <w:t xml:space="preserve">⛔  Source 4 — </w:t>
      </w:r>
      <w:hyperlink w:history="1" r:id="rIdyfz4cx96akyvgcetzge1f">
        <w:r>
          <w:rPr>
            <w:rFonts w:ascii="Calibri" w:cs="Calibri" w:eastAsia="Calibri" w:hAnsi="Calibri"/>
            <w:color w:val="1155CC"/>
            <w:sz w:val="22"/>
            <w:szCs w:val="22"/>
            <w:u w:val="single"/>
          </w:rPr>
          <w:t xml:space="preserve">EDPS — Actualités (403 inaccessible)</w:t>
        </w:r>
      </w:hyperlink>
    </w:p>
    <w:p>
      <w:pPr>
        <w:spacing w:after="60"/>
      </w:pPr>
      <w:r>
        <w:rPr>
          <w:rFonts w:ascii="Calibri" w:cs="Calibri" w:eastAsia="Calibri" w:hAnsi="Calibri"/>
          <w:b/>
          <w:bCs/>
          <w:color w:val="1F2937"/>
          <w:sz w:val="22"/>
          <w:szCs w:val="22"/>
        </w:rPr>
        <w:t xml:space="preserve">✅  Source 5 — </w:t>
      </w:r>
      <w:hyperlink w:history="1" r:id="rIdifjwtinotfn_lkyfy8w4y">
        <w:r>
          <w:rPr>
            <w:rFonts w:ascii="Calibri" w:cs="Calibri" w:eastAsia="Calibri" w:hAnsi="Calibri"/>
            <w:color w:val="1155CC"/>
            <w:sz w:val="22"/>
            <w:szCs w:val="22"/>
            <w:u w:val="single"/>
          </w:rPr>
          <w:t xml:space="preserve">donneespersonnelles.fr</w:t>
        </w:r>
      </w:hyperlink>
    </w:p>
    <w:p>
      <w:pPr>
        <w:spacing w:after="60"/>
      </w:pPr>
      <w:r>
        <w:rPr>
          <w:rFonts w:ascii="Calibri" w:cs="Calibri" w:eastAsia="Calibri" w:hAnsi="Calibri"/>
          <w:b/>
          <w:bCs/>
          <w:color w:val="C0392B"/>
          <w:sz w:val="22"/>
          <w:szCs w:val="22"/>
        </w:rPr>
        <w:t xml:space="preserve">⛔  Source 6 — </w:t>
      </w:r>
      <w:hyperlink w:history="1" r:id="rIdsite0_2026">
        <w:r>
          <w:rPr>
            <w:rFonts w:ascii="Calibri" w:cs="Calibri" w:eastAsia="Calibri" w:hAnsi="Calibri"/>
            <w:sz w:val="22"/>
            <w:szCs w:val="22"/>
            <w:color w:val="1155CC"/>
            <w:u w:val="single"/>
          </w:rPr>
          <w:t xml:space="preserve">village-justice.com</w:t>
        </w:r>
      </w:hyperlink>
      <w:r>
        <w:rPr>
          <w:rFonts w:ascii="Calibri" w:cs="Calibri" w:eastAsia="Calibri" w:hAnsi="Calibri"/>
          <w:color w:val="1F2937"/>
          <w:sz w:val="22"/>
          <w:szCs w:val="22"/>
        </w:rPr>
        <w:t xml:space="preserve"> (non consultée — WebSearch utilisé en remplacement)</w:t>
      </w:r>
    </w:p>
    <w:p>
      <w:pPr>
        <w:spacing w:after="60"/>
      </w:pPr>
      <w:r>
        <w:rPr>
          <w:rFonts w:ascii="Calibri" w:cs="Calibri" w:eastAsia="Calibri" w:hAnsi="Calibri"/>
          <w:b/>
          <w:bCs/>
          <w:color w:val="1F2937"/>
          <w:sz w:val="22"/>
          <w:szCs w:val="22"/>
        </w:rPr>
        <w:t xml:space="preserve">✅  Source 7 — </w:t>
      </w:r>
      <w:r>
        <w:rPr>
          <w:rFonts w:ascii="Calibri" w:cs="Calibri" w:eastAsia="Calibri" w:hAnsi="Calibri"/>
          <w:color w:val="1F2937"/>
          <w:sz w:val="22"/>
          <w:szCs w:val="22"/>
        </w:rPr>
        <w:t xml:space="preserve">WebSearch cnil.fr + RGPD actualité juin 2026</w:t>
      </w:r>
    </w:p>
    <w:p>
      <w:r>
        <w:t xml:space="preserve"/>
      </w:r>
    </w:p>
    <w:p>
      <w:pPr>
        <w:pBdr>
          <w:bottom w:val="single" w:color="1B3A6B" w:sz="6"/>
        </w:pBdr>
        <w:spacing w:after="100" w:before="320"/>
      </w:pPr>
      <w:r>
        <w:rPr>
          <w:rFonts w:ascii="Calibri" w:cs="Calibri" w:eastAsia="Calibri" w:hAnsi="Calibri"/>
          <w:b/>
          <w:bCs/>
          <w:color w:val="1B3A6B"/>
          <w:sz w:val="28"/>
          <w:szCs w:val="28"/>
        </w:rPr>
        <w:t xml:space="preserve">🔜 À surveiller la semaine prochaine</w:t>
      </w:r>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EDPB — Suivi du formulaire de cohérence RGPD (art. 63) : premiers cas soumis via le nouveau formulaire et décisions des DPA.</w:t>
      </w:r>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G7 DPA — Publication complète des principes IA/mineurs : impact sur les obligations des ESSMS utilisant des outils IA (détection comportementale, télésurveillance).</w:t>
      </w:r>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CNIL — Sanctions procédure simplifiée : poursuite du cycle (16 décisions récentes pour 108 000 € cumulés — vidéosurveillance, prospection sans consentement).</w:t>
      </w:r>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EDPB — Mise à jour possible des Guidelines 1/2026 sur la recherche scientifique après consultation publique (clôture fin juin 2026).</w:t>
      </w:r>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CNIL/HAS — Texte conjoint numérique en santé attendu : surveiller les nouvelles exigences pour les DUI et les outils de suivi médical en ESSMS.</w:t>
      </w:r>
    </w:p>
    <w:p>
      <w:r>
        <w:t xml:space="preserve"/>
      </w:r>
    </w:p>
    <w:p>
      <w:pPr>
        <w:spacing w:before="240"/>
        <w:jc w:val="center"/>
      </w:pPr>
      <w:r>
        <w:rPr>
          <w:rFonts w:ascii="Calibri" w:cs="Calibri" w:eastAsia="Calibri" w:hAnsi="Calibri"/>
          <w:i/>
          <w:iCs/>
          <w:color w:val="6B7280"/>
          <w:sz w:val="18"/>
          <w:szCs w:val="18"/>
        </w:rPr>
        <w:t xml:space="preserve">Document généré automatiquement — Veille RGPD du 28 juin 2026 — Usage interne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28/06/2026, relue le 12/09/2026 au cours d'un contrôle d'attribution des 221 documents du dépôt (règle ⑭ : un site cité comme source sans aucune page listée bloque comme une page). Une correction de forme, aucun contenu modifié.</w:t>
      </w:r>
    </w:p>
    <w:p>
      <w:pPr>
        <w:spacing w:after="80"/>
      </w:pPr>
      <w:r>
        <w:rPr>
          <w:rFonts w:ascii="Calibri" w:cs="Calibri" w:eastAsia="Calibri" w:hAnsi="Calibri"/>
          <w:color w:val="1F2937"/>
          <w:sz w:val="22"/>
          <w:szCs w:val="22"/>
        </w:rPr>
        <w:t xml:space="preserve">Cette note est antérieure aux règles de lien des prompts : elle nommait ses sources sans adresse — le lecteur ne pouvait en ouvrir aucune. Liens posés le 12/09/2026 sur chaque mention, vers la page que la note décrit : village-justice.com — page de listage des articles (1 occurrence). Chaque page répond 200 à un navigateur le 12/09/2026.</w:t>
      </w:r>
    </w:p>
    <w:p>
      <w:pPr>
        <w:spacing w:after="80"/>
      </w:pPr>
      <w:r>
        <w:rPr>
          <w:rFonts w:ascii="Calibri" w:cs="Calibri" w:eastAsia="Calibri" w:hAnsi="Calibri"/>
          <w:color w:val="1F2937"/>
          <w:sz w:val="22"/>
          <w:szCs w:val="22"/>
        </w:rPr>
        <w:t xml:space="preserve">village-justice.com était marquée ⛔ (page de listage rendue en JavaScript, illisible pour l'agent) : la page répond 200 à un navigateur ; le lien est posé, le statut ⛔ de ce jour-là est conservé.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32qsmradyn84c1syz4rt" Type="http://schemas.openxmlformats.org/officeDocument/2006/relationships/hyperlink" Target="https://www.cnil.fr/fr/g7-technologies-protection-mineurs" TargetMode="External"/><Relationship Id="rIdnsywkaii8j7ydkkqvhm0a" Type="http://schemas.openxmlformats.org/officeDocument/2006/relationships/hyperlink" Target="https://www.cnil.fr/fr/vigilance-accompagnement-violation-de-donnees" TargetMode="External"/><Relationship Id="rIdr9c1hk4is5hj_mgalxyev" Type="http://schemas.openxmlformats.org/officeDocument/2006/relationships/hyperlink" Target="https://edpb.europa.eu/news/one-stop-shop-case-digest-on-right-to-object-and-right-to-erasure-updated_en" TargetMode="External"/><Relationship Id="rIdeoxyg5gz9ammkieldl2ga" Type="http://schemas.openxmlformats.org/officeDocument/2006/relationships/hyperlink" Target="https://edpb.europa.eu/news/supporting-gdpr-consistency-edpb-launches-dedicated-form_en" TargetMode="External"/><Relationship Id="rIdhxvbeezzhwv3jal6z9lmk" Type="http://schemas.openxmlformats.org/officeDocument/2006/relationships/hyperlink" Target="https://www.cnil.fr/fr/elections-professionnelles-fonction-publique-vote-electronique" TargetMode="External"/><Relationship Id="rIdrdbt_qtuh3safkejieykk" Type="http://schemas.openxmlformats.org/officeDocument/2006/relationships/hyperlink" Target="https://www.cnil.fr/fr/sanction-free-2026" TargetMode="External"/><Relationship Id="rId5z2tc3wujho235d4mnvnx" Type="http://schemas.openxmlformats.org/officeDocument/2006/relationships/hyperlink" Target="https://www.donneespersonnelles.fr/actualite-rgpd-2026#2026-06-04-ledger-transmission-sanction-cnil-non-publique" TargetMode="External"/><Relationship Id="rIdkls_yhr_orjm5icmlnjsy" Type="http://schemas.openxmlformats.org/officeDocument/2006/relationships/hyperlink" Target="https://www.cnil.fr/fr/violation-de-donnees-sanction-5millions-france-travail" TargetMode="External"/><Relationship Id="rIdteluvhvol1g3nihge8uxq" Type="http://schemas.openxmlformats.org/officeDocument/2006/relationships/hyperlink" Target="https://www.donneespersonnelles.fr/actualite-rgpd-2026#2026-06-04-ledger-transmission-sanction-cnil-non-publique" TargetMode="External"/><Relationship Id="rIdteuu6azdq7albzx9gmsk9" Type="http://schemas.openxmlformats.org/officeDocument/2006/relationships/hyperlink" Target="https://www.donneespersonnelles.fr/actualite-rgpd-2026#2026-06-04-cour-des-comptes-rapport-gestion-cnil" TargetMode="External"/><Relationship Id="rIdi7cl8qz5l2qj8dmq_ogsw" Type="http://schemas.openxmlformats.org/officeDocument/2006/relationships/hyperlink" Target="https://edpb.europa.eu/news/one-stop-shop-case-digest-on-right-to-object-and-right-to-erasure-updated_en" TargetMode="External"/><Relationship Id="rIdsrfqomg8c5g7s3z8gai4o" Type="http://schemas.openxmlformats.org/officeDocument/2006/relationships/hyperlink" Target="https://edpb.europa.eu/news/supporting-gdpr-consistency-edpb-launches-dedicated-form_en" TargetMode="External"/><Relationship Id="rIdy35ouj4hftxw606uu0evu" Type="http://schemas.openxmlformats.org/officeDocument/2006/relationships/hyperlink" Target="https://www.cnil.fr/fr/g7-technologies-protection-mineurs" TargetMode="External"/><Relationship Id="rIdup8j_n0lppk0i7krvm55q" Type="http://schemas.openxmlformats.org/officeDocument/2006/relationships/hyperlink" Target="https://www.cnil.fr/fr/numerique-en-sante-la-cnil-et-la-has-sengagent" TargetMode="External"/><Relationship Id="rIda-td5ufknimibvfl4l4aw" Type="http://schemas.openxmlformats.org/officeDocument/2006/relationships/hyperlink" Target="https://www.cnil.fr/fr/recherche-en-sante-la-cnil-met-jour-et-elargit-le-champ-des-methodologies-de-reference-001-et-003" TargetMode="External"/><Relationship Id="rIdx6l3vwysqodwapviie5w-" Type="http://schemas.openxmlformats.org/officeDocument/2006/relationships/hyperlink" Target="https://www.cnil.fr/fr/vigilance-accompagnement-violation-de-donnees" TargetMode="External"/><Relationship Id="rIdfozmpkkxzfdbenlji4jy9" Type="http://schemas.openxmlformats.org/officeDocument/2006/relationships/hyperlink" Target="https://www.cnil.fr/fr/actualites" TargetMode="External"/><Relationship Id="rIde8rgxsmx_u4t76kwyjgfk" Type="http://schemas.openxmlformats.org/officeDocument/2006/relationships/hyperlink" Target="https://www.cnil.fr/fr/sante" TargetMode="External"/><Relationship Id="rIdizalyvlyqhihl57qdgqzb" Type="http://schemas.openxmlformats.org/officeDocument/2006/relationships/hyperlink" Target="https://www.edpb.europa.eu/news/news_en" TargetMode="External"/><Relationship Id="rIdyfz4cx96akyvgcetzge1f" Type="http://schemas.openxmlformats.org/officeDocument/2006/relationships/hyperlink" Target="https://www.edps.europa.eu/press-publications/press-news/news_en" TargetMode="External"/><Relationship Id="rIdifjwtinotfn_lkyfy8w4y" Type="http://schemas.openxmlformats.org/officeDocument/2006/relationships/hyperlink" Target="https://www.donneespersonnelles.fr/" TargetMode="External"/><Relationship Id="rId28" Type="http://schemas.openxmlformats.org/officeDocument/2006/relationships/fontTable" Target="fontTable.xml"/><Relationship Id="rIdsite0_2026" Type="http://schemas.openxmlformats.org/officeDocument/2006/relationships/hyperlink" Target="https://www.village-justice.com/articl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2026-06-28T05:36:17.319Z</dcterms:created>
  <dcterms:modified xsi:type="dcterms:W3CDTF">2026-06-28T05:36:17.454Z</dcterms:modified>
</cp:coreProperties>
</file>

<file path=docProps/custom.xml><?xml version="1.0" encoding="utf-8"?>
<Properties xmlns="http://schemas.openxmlformats.org/officeDocument/2006/custom-properties" xmlns:vt="http://schemas.openxmlformats.org/officeDocument/2006/docPropsVTypes"/>
</file>