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before="200"/>
        <w:jc w:val="center"/>
      </w:pPr>
      <w:r>
        <w:rPr>
          <w:rFonts w:ascii="Times New Roman" w:cs="Times New Roman" w:eastAsia="Times New Roman" w:hAnsi="Times New Roman"/>
          <w:b/>
          <w:bCs/>
          <w:color w:val="1B3A6B"/>
          <w:sz w:val="52"/>
          <w:szCs w:val="52"/>
        </w:rPr>
        <w:t xml:space="preserve">Leçon Psychopathologie clinique n°12</w:t>
      </w:r>
    </w:p>
    <w:p>
      <w:pPr>
        <w:spacing w:after="120" w:before="60"/>
        <w:jc w:val="center"/>
      </w:pPr>
      <w:r>
        <w:rPr>
          <w:rFonts w:ascii="Times New Roman" w:cs="Times New Roman" w:eastAsia="Times New Roman" w:hAnsi="Times New Roman"/>
          <w:b/>
          <w:bCs/>
          <w:color w:val="1B3A6B"/>
          <w:sz w:val="36"/>
          <w:szCs w:val="36"/>
        </w:rPr>
        <w:t xml:space="preserve">Psychotraumatisme, TSPT et trouble dissociatif</w:t>
      </w:r>
    </w:p>
    <w:p>
      <w:pPr>
        <w:spacing w:after="60" w:before="0"/>
        <w:jc w:val="center"/>
      </w:pPr>
      <w:r>
        <w:rPr>
          <w:rFonts w:ascii="Times New Roman" w:cs="Times New Roman" w:eastAsia="Times New Roman" w:hAnsi="Times New Roman"/>
          <w:color w:val="6B7280"/>
          <w:sz w:val="20"/>
          <w:szCs w:val="20"/>
        </w:rPr>
        <w:t xml:space="preserve">Date : 24 août 2026  •  Leçon 12 / 20</w:t>
      </w:r>
    </w:p>
    <w:p>
      <w:pPr>
        <w:spacing w:after="200" w:before="0"/>
        <w:jc w:val="center"/>
      </w:pPr>
      <w:r>
        <w:rPr>
          <w:rFonts w:ascii="Times New Roman" w:cs="Times New Roman" w:eastAsia="Times New Roman" w:hAnsi="Times New Roman"/>
          <w:i/>
          <w:iCs/>
          <w:color w:val="6B7280"/>
          <w:sz w:val="20"/>
          <w:szCs w:val="20"/>
        </w:rPr>
        <w:t xml:space="preserve">Parcours Psychopathologie clinique — Du fondamental à l'avancé</w:t>
      </w:r>
    </w:p>
    <w:p>
      <w:pPr>
        <w:spacing w:after="160" w:before="160"/>
      </w:pPr>
      <w:r>
        <w:rPr>
          <w:rFonts w:ascii="Times New Roman" w:cs="Times New Roman" w:eastAsia="Times New Roman" w:hAnsi="Times New Roman"/>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Cadre déontologique — rappel de posture</w:t>
      </w:r>
    </w:p>
    <w:p>
      <w:pPr>
        <w:spacing w:after="80" w:before="80"/>
        <w:ind w:left="576"/>
      </w:pPr>
      <w:r>
        <w:rPr>
          <w:rFonts w:ascii="Times New Roman" w:cs="Times New Roman" w:eastAsia="Times New Roman" w:hAnsi="Times New Roman"/>
          <w:i/>
          <w:iCs/>
          <w:color w:val="1B3A6B"/>
          <w:sz w:val="22"/>
          <w:szCs w:val="22"/>
        </w:rPr>
        <w:t xml:space="preserve">Ces leçons visent à COMPRENDRE la psychopathologie pour mieux observer, accompagner et orienter les personnes — en aucun cas à poser un diagnostic, acte réservé aux médecins psychiatres et psychologues cliniciens. L'approche privilégie une posture non stigmatisante, centrée sur la personne et le rétablissement.</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Le psychotraumatisme est un domaine particulièrement sensible : les personnes accompagnées peuvent avoir vécu des traumatismes graves. Cette leçon renforce la capacité à repérer des signes, pas à « diagnostiquer un TSPT ». Toute suspicion de trauma non repéré doit être orientée vers un professionnel de santé habilité.</w:t>
      </w:r>
    </w:p>
    <w:p>
      <w:pPr>
        <w:spacing w:after="160" w:before="160"/>
      </w:pPr>
      <w:r>
        <w:rPr>
          <w:rFonts w:ascii="Times New Roman" w:cs="Times New Roman" w:eastAsia="Times New Roman" w:hAnsi="Times New Roman"/>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Objectif &amp; continuité</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À la fin de cette leçon, vous serez capable de :</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Distinguer le psychotraumatisme simple, le TSPT, le TSPT complexe (C-PTSD) et les troubles dissociatifs associés.</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Identifier les quatre clusters symptomatiques du DSM-5 et la distinction TSPT / TSPT complexe selon la CIM-11.</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Reconnaître les mécanismes dissociatifs (dépersonnalisation, déréalisation, amnésie) et leur lien avec le trauma.</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Connaître les grandes approches thérapeutiques basées sur les preuves (EMDR, TCC centrée trauma, approche par phases).</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
      </w:r>
    </w:p>
    <w:p>
      <w:pPr>
        <w:spacing w:after="80" w:before="80"/>
        <w:ind/>
      </w:pPr>
      <w:r>
        <w:rPr>
          <w:rFonts w:ascii="Times New Roman" w:cs="Times New Roman" w:eastAsia="Times New Roman" w:hAnsi="Times New Roman"/>
          <w:b w:val="false"/>
          <w:bCs w:val="false"/>
          <w:i w:val="false"/>
          <w:iCs w:val="false"/>
          <w:color w:val="1F2937"/>
          <w:sz w:val="22"/>
          <w:szCs w:val="22"/>
        </w:rPr>
        <w:t xml:space="preserve">Lien avec la leçon précédente (n°11 — Addictions et troubles liés à l'usage de substances) : les conduites addictives sont fréquemment associées au psychotraumatisme, dont elles constituent souvent une tentative d'autotraitement. La comorbidité TSPT / trouble addictif est une réalité clinique majeure que cette leçon permet d'éclairer sous un autre angle.</w:t>
      </w:r>
    </w:p>
    <w:p>
      <w:pPr>
        <w:spacing w:after="160" w:before="160"/>
      </w:pPr>
      <w:r>
        <w:rPr>
          <w:rFonts w:ascii="Times New Roman" w:cs="Times New Roman" w:eastAsia="Times New Roman" w:hAnsi="Times New Roman"/>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Théorie (20%) — Psychotraumatisme, TSPT et trouble dissociatif</w:t>
      </w:r>
    </w:p>
    <w:p>
      <w:pPr>
        <w:pStyle w:val="Heading3"/>
        <w:spacing w:after="80" w:before="200"/>
      </w:pPr>
      <w:r>
        <w:rPr>
          <w:rFonts w:ascii="Times New Roman" w:cs="Times New Roman" w:eastAsia="Times New Roman" w:hAnsi="Times New Roman"/>
          <w:b/>
          <w:bCs/>
          <w:color w:val="1F2937"/>
          <w:sz w:val="26"/>
          <w:szCs w:val="26"/>
        </w:rPr>
        <w:t xml:space="preserve">1. Du trauma à la réaction traumatique : concepts fondamentaux</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Un événement traumatique est défini, selon le DSM-5 (critère A), comme une exposition à une mort réelle ou menacée, une blessure grave, ou une violence sexuelle — vécue directement, comme témoin, par l'apprentissage de l'événement chez un proche, ou par exposition répétée à des détails aversifs (ex. : professionnels du secours).</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Le trauma n'est pas dans l'événement lui-même, mais dans ce que le système nerveux fait de l'événement. Deux personnes exposées au même fait peuvent réagir très différemment selon leurs ressources, leur histoire, le contexte social et le soutien disponible.</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On distingue plusieurs types de réactions post-traumatiques :</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L'état de stress aigu (ESA) : réaction intense survenant dans les 3 jours à 4 semaines après le trauma.</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Le trouble de stress post-traumatique (TSPT / ESPT / PTSD) : persistant au-delà d'un mois.</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Le TSPT complexe (C-PTSD) : reconnu par la CIM-11 après expositions répétées, prolongées, interpersonnelles.</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Les troubles dissociatifs : pouvant exister indépendamment ou en comorbidité avec le TSPT.</w:t>
      </w:r>
    </w:p>
    <w:p>
      <w:pPr>
        <w:pStyle w:val="Heading3"/>
        <w:spacing w:after="80" w:before="200"/>
      </w:pPr>
      <w:r>
        <w:rPr>
          <w:rFonts w:ascii="Times New Roman" w:cs="Times New Roman" w:eastAsia="Times New Roman" w:hAnsi="Times New Roman"/>
          <w:b/>
          <w:bCs/>
          <w:color w:val="1F2937"/>
          <w:sz w:val="26"/>
          <w:szCs w:val="26"/>
        </w:rPr>
        <w:t xml:space="preserve">2. Le TSPT : quatre clusters selon le DSM-5</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Le DSM-5 organise les 20 symptômes du TSPT en quatre clusters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Pr>
          <w:p>
            <w:r>
              <w:rPr>
                <w:rFonts w:ascii="Times New Roman" w:cs="Times New Roman" w:eastAsia="Times New Roman" w:hAnsi="Times New Roman"/>
                <w:b/>
                <w:bCs/>
                <w:color w:val="FFFFFF"/>
                <w:sz w:val="20"/>
                <w:szCs w:val="20"/>
              </w:rPr>
              <w:t xml:space="preserve">Cluster</w:t>
            </w:r>
          </w:p>
        </w:tc>
        <w:tc>
          <w:tcPr>
            <w:shd w:fill="1B3A6B" w:val="clear"/>
          </w:tcPr>
          <w:p>
            <w:r>
              <w:rPr>
                <w:rFonts w:ascii="Times New Roman" w:cs="Times New Roman" w:eastAsia="Times New Roman" w:hAnsi="Times New Roman"/>
                <w:b/>
                <w:bCs/>
                <w:color w:val="FFFFFF"/>
                <w:sz w:val="20"/>
                <w:szCs w:val="20"/>
              </w:rPr>
              <w:t xml:space="preserve">Libellé</w:t>
            </w:r>
          </w:p>
        </w:tc>
        <w:tc>
          <w:tcPr>
            <w:shd w:fill="1B3A6B" w:val="clear"/>
          </w:tcPr>
          <w:p>
            <w:r>
              <w:rPr>
                <w:rFonts w:ascii="Times New Roman" w:cs="Times New Roman" w:eastAsia="Times New Roman" w:hAnsi="Times New Roman"/>
                <w:b/>
                <w:bCs/>
                <w:color w:val="FFFFFF"/>
                <w:sz w:val="20"/>
                <w:szCs w:val="20"/>
              </w:rPr>
              <w:t xml:space="preserve">Exemples de symptômes</w:t>
            </w:r>
          </w:p>
        </w:tc>
      </w:tr>
      <w:tr>
        <w:tc>
          <w:tcPr>
            <w:shd w:fill="EEF2F7" w:val="clear"/>
          </w:tcPr>
          <w:p>
            <w:r>
              <w:rPr>
                <w:rFonts w:ascii="Times New Roman" w:cs="Times New Roman" w:eastAsia="Times New Roman" w:hAnsi="Times New Roman"/>
                <w:color w:val="1F2937"/>
                <w:sz w:val="20"/>
                <w:szCs w:val="20"/>
              </w:rPr>
              <w:t xml:space="preserve">Critère B</w:t>
            </w:r>
          </w:p>
        </w:tc>
        <w:tc>
          <w:tcPr>
            <w:shd w:fill="EEF2F7" w:val="clear"/>
          </w:tcPr>
          <w:p>
            <w:r>
              <w:rPr>
                <w:rFonts w:ascii="Times New Roman" w:cs="Times New Roman" w:eastAsia="Times New Roman" w:hAnsi="Times New Roman"/>
                <w:color w:val="1F2937"/>
                <w:sz w:val="20"/>
                <w:szCs w:val="20"/>
              </w:rPr>
              <w:t xml:space="preserve">Intrusion</w:t>
            </w:r>
          </w:p>
        </w:tc>
        <w:tc>
          <w:tcPr>
            <w:shd w:fill="EEF2F7" w:val="clear"/>
          </w:tcPr>
          <w:p>
            <w:r>
              <w:rPr>
                <w:rFonts w:ascii="Times New Roman" w:cs="Times New Roman" w:eastAsia="Times New Roman" w:hAnsi="Times New Roman"/>
                <w:color w:val="1F2937"/>
                <w:sz w:val="20"/>
                <w:szCs w:val="20"/>
              </w:rPr>
              <w:t xml:space="preserve">Souvenirs intrusifs répétitifs, cauchemars, flashbacks, détresse au rappel, réactivité physiologique</w:t>
            </w:r>
          </w:p>
        </w:tc>
      </w:tr>
      <w:tr>
        <w:tc>
          <w:tcPr>
            <w:shd w:fill="FFFFFF" w:val="clear"/>
          </w:tcPr>
          <w:p>
            <w:r>
              <w:rPr>
                <w:rFonts w:ascii="Times New Roman" w:cs="Times New Roman" w:eastAsia="Times New Roman" w:hAnsi="Times New Roman"/>
                <w:color w:val="1F2937"/>
                <w:sz w:val="20"/>
                <w:szCs w:val="20"/>
              </w:rPr>
              <w:t xml:space="preserve">Critère C</w:t>
            </w:r>
          </w:p>
        </w:tc>
        <w:tc>
          <w:tcPr>
            <w:shd w:fill="FFFFFF" w:val="clear"/>
          </w:tcPr>
          <w:p>
            <w:r>
              <w:rPr>
                <w:rFonts w:ascii="Times New Roman" w:cs="Times New Roman" w:eastAsia="Times New Roman" w:hAnsi="Times New Roman"/>
                <w:color w:val="1F2937"/>
                <w:sz w:val="20"/>
                <w:szCs w:val="20"/>
              </w:rPr>
              <w:t xml:space="preserve">Évitement</w:t>
            </w:r>
          </w:p>
        </w:tc>
        <w:tc>
          <w:tcPr>
            <w:shd w:fill="FFFFFF" w:val="clear"/>
          </w:tcPr>
          <w:p>
            <w:r>
              <w:rPr>
                <w:rFonts w:ascii="Times New Roman" w:cs="Times New Roman" w:eastAsia="Times New Roman" w:hAnsi="Times New Roman"/>
                <w:color w:val="1F2937"/>
                <w:sz w:val="20"/>
                <w:szCs w:val="20"/>
              </w:rPr>
              <w:t xml:space="preserve">Évitement des pensées/émotions liées au trauma, évitement des personnes/lieux/situations rappelant le trauma</w:t>
            </w:r>
          </w:p>
        </w:tc>
      </w:tr>
      <w:tr>
        <w:tc>
          <w:tcPr>
            <w:shd w:fill="EEF2F7" w:val="clear"/>
          </w:tcPr>
          <w:p>
            <w:r>
              <w:rPr>
                <w:rFonts w:ascii="Times New Roman" w:cs="Times New Roman" w:eastAsia="Times New Roman" w:hAnsi="Times New Roman"/>
                <w:color w:val="1F2937"/>
                <w:sz w:val="20"/>
                <w:szCs w:val="20"/>
              </w:rPr>
              <w:t xml:space="preserve">Critère D</w:t>
            </w:r>
          </w:p>
        </w:tc>
        <w:tc>
          <w:tcPr>
            <w:shd w:fill="EEF2F7" w:val="clear"/>
          </w:tcPr>
          <w:p>
            <w:r>
              <w:rPr>
                <w:rFonts w:ascii="Times New Roman" w:cs="Times New Roman" w:eastAsia="Times New Roman" w:hAnsi="Times New Roman"/>
                <w:color w:val="1F2937"/>
                <w:sz w:val="20"/>
                <w:szCs w:val="20"/>
              </w:rPr>
              <w:t xml:space="preserve">Cognitions &amp; humeur négatives</w:t>
            </w:r>
          </w:p>
        </w:tc>
        <w:tc>
          <w:tcPr>
            <w:shd w:fill="EEF2F7" w:val="clear"/>
          </w:tcPr>
          <w:p>
            <w:r>
              <w:rPr>
                <w:rFonts w:ascii="Times New Roman" w:cs="Times New Roman" w:eastAsia="Times New Roman" w:hAnsi="Times New Roman"/>
                <w:color w:val="1F2937"/>
                <w:sz w:val="20"/>
                <w:szCs w:val="20"/>
              </w:rPr>
              <w:t xml:space="preserve">Amnésie partielle du trauma, croyances négatives persistantes, auto-blâme, honte, culpabilité, émotions négatives durables, anhédonie, sentiment de détachement</w:t>
            </w:r>
          </w:p>
        </w:tc>
      </w:tr>
      <w:tr>
        <w:tc>
          <w:tcPr>
            <w:shd w:fill="FFFFFF" w:val="clear"/>
          </w:tcPr>
          <w:p>
            <w:r>
              <w:rPr>
                <w:rFonts w:ascii="Times New Roman" w:cs="Times New Roman" w:eastAsia="Times New Roman" w:hAnsi="Times New Roman"/>
                <w:color w:val="1F2937"/>
                <w:sz w:val="20"/>
                <w:szCs w:val="20"/>
              </w:rPr>
              <w:t xml:space="preserve">Critère E</w:t>
            </w:r>
          </w:p>
        </w:tc>
        <w:tc>
          <w:tcPr>
            <w:shd w:fill="FFFFFF" w:val="clear"/>
          </w:tcPr>
          <w:p>
            <w:r>
              <w:rPr>
                <w:rFonts w:ascii="Times New Roman" w:cs="Times New Roman" w:eastAsia="Times New Roman" w:hAnsi="Times New Roman"/>
                <w:color w:val="1F2937"/>
                <w:sz w:val="20"/>
                <w:szCs w:val="20"/>
              </w:rPr>
              <w:t xml:space="preserve">Hyperactivation neurovégétative</w:t>
            </w:r>
          </w:p>
        </w:tc>
        <w:tc>
          <w:tcPr>
            <w:shd w:fill="FFFFFF" w:val="clear"/>
          </w:tcPr>
          <w:p>
            <w:r>
              <w:rPr>
                <w:rFonts w:ascii="Times New Roman" w:cs="Times New Roman" w:eastAsia="Times New Roman" w:hAnsi="Times New Roman"/>
                <w:color w:val="1F2937"/>
                <w:sz w:val="20"/>
                <w:szCs w:val="20"/>
              </w:rPr>
              <w:t xml:space="preserve">Hypervigilance, sursauts exagérés, troubles de la concentration, troubles du sommeil, comportements impulsifs ou autodestructeurs</w:t>
            </w:r>
          </w:p>
        </w:tc>
      </w:tr>
    </w:tbl>
    <w:p>
      <w:pPr>
        <w:spacing w:before="120"/>
      </w:pPr>
    </w:p>
    <w:p>
      <w:pPr>
        <w:spacing w:after="80" w:before="80"/>
        <w:ind/>
      </w:pPr>
      <w:r>
        <w:rPr>
          <w:rFonts w:ascii="Times New Roman" w:cs="Times New Roman" w:eastAsia="Times New Roman" w:hAnsi="Times New Roman"/>
          <w:b w:val="false"/>
          <w:bCs w:val="false"/>
          <w:i w:val="false"/>
          <w:iCs w:val="false"/>
          <w:color w:val="1F2937"/>
          <w:sz w:val="22"/>
          <w:szCs w:val="22"/>
        </w:rPr>
        <w:t xml:space="preserve">Durée &gt; 1 mois et altération significative du fonctionnement sont requis. Le DSM-5 ajoute un sous-type dissociatif (dépersonnalisation / déréalisation persistantes) et un sous-type à expression différée (&gt; 6 mois).</w:t>
      </w:r>
    </w:p>
    <w:p>
      <w:pPr>
        <w:pStyle w:val="Heading3"/>
        <w:spacing w:after="80" w:before="200"/>
      </w:pPr>
      <w:r>
        <w:rPr>
          <w:rFonts w:ascii="Times New Roman" w:cs="Times New Roman" w:eastAsia="Times New Roman" w:hAnsi="Times New Roman"/>
          <w:b/>
          <w:bCs/>
          <w:color w:val="1F2937"/>
          <w:sz w:val="26"/>
          <w:szCs w:val="26"/>
        </w:rPr>
        <w:t xml:space="preserve">3. Le TSPT complexe (C-PTSD) — apport de la CIM-11</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La CIM-11 (OMS, code 6B41) distingue explicitement le C-PTSD du TSPT simple. Il survient après des traumatismes répétés, prolongés, interpersonnels, souvent précoces (maltraitance infantile, violence conjugale chronique, torture, prostitution forcée).</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En plus des trois marqueurs fondamentaux du TSPT (reviviscence, évitement, hyperactivation), le C-PTSD implique trois perturbations de l'organisation du soi :</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Dérégulation émotionnelle sévère : réactivité émotionnelle intense, difficultés à moduler les affects.</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Image de soi altérée : sentiment persistant d'être diminué, honteux, inutile ou incompréhensible aux autres.</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Difficultés relationnelles persistantes : méfiance, retrait, incapacité à maintenir des liens stables.</w:t>
      </w:r>
    </w:p>
    <w:p>
      <w:pPr>
        <w:pStyle w:val="Heading3"/>
        <w:spacing w:after="80" w:before="200"/>
      </w:pPr>
      <w:r>
        <w:rPr>
          <w:rFonts w:ascii="Times New Roman" w:cs="Times New Roman" w:eastAsia="Times New Roman" w:hAnsi="Times New Roman"/>
          <w:b/>
          <w:bCs/>
          <w:color w:val="1F2937"/>
          <w:sz w:val="26"/>
          <w:szCs w:val="26"/>
        </w:rPr>
        <w:t xml:space="preserve">4. La dissociation : mécanisme et troubles</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La dissociation est un processus psychologique de déconnexion entre des fonctions normalement intégrées : conscience, mémoire, identité, perceptions, comportement. Elle peut être un mécanisme adaptatif lors d'un trauma intense — mais devient pathologique lorsqu'elle est chronique et invalidante.</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Les principaux troubles dissociatifs (DSM-5 / CIM-11) :</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Amnésie dissociative : incapacité à rappeler des informations personnelles, typiquement de nature traumatique. Peut inclure la fugue dissociative.</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Trouble de dépersonnalisation-déréalisation : sentiment de détachement de soi-même (dépersonnalisation) ou de l'environnement perçu comme irréel (déréalisation).</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Trouble dissociatif de l'identité (TDI) : présence d'au moins deux états de personnalité distincts. Lien étroit avec les traumatismes précoces et répétés. Reste l'objet de débats scientifiques.</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Le sous-type dissociatif du TSPT (DSM-5-TR) concerne environ 15% des personnes avec TSPT, avec des niveaux plus élevés de sévérité, de suicidalité, et de résistance aux traitements par exposition directe.</w:t>
      </w:r>
    </w:p>
    <w:p>
      <w:pPr>
        <w:pStyle w:val="Heading3"/>
        <w:spacing w:after="80" w:before="200"/>
      </w:pPr>
      <w:r>
        <w:rPr>
          <w:rFonts w:ascii="Times New Roman" w:cs="Times New Roman" w:eastAsia="Times New Roman" w:hAnsi="Times New Roman"/>
          <w:b/>
          <w:bCs/>
          <w:color w:val="1F2937"/>
          <w:sz w:val="26"/>
          <w:szCs w:val="26"/>
        </w:rPr>
        <w:t xml:space="preserve">5. Traitements basés sur les preuves</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Les traitements recommandés combinent psychothérapie et, parfois, pharmacothérapie :</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EMDR (Eye Movement Desensitization and Reprocessing) : traitement de retraitement du trauma par mouvements oculaires. Recommandé par l'OMS et de nombreuses sociétés savantes.</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TCC centrée sur le trauma : thérapie d'exposition prolongée (PE) et thérapie de traitement cognitif (CPT) — efficaces pour le TSPT simple.</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Approche par phases pour le C-PTSD et le TSPT dissociatif : stabilisation → traitement du trauma → réintégration. L'exposition directe est contre-indiquée en phase de déstabilisation dissociative.</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Pharmacothérapie : ISRS / IRSNa en première ligne (efficaces chez ~50% des patients) ; pas de traitement médicamenteux curatif.</w:t>
      </w:r>
    </w:p>
    <w:p>
      <w:pPr>
        <w:spacing w:after="160" w:before="160"/>
      </w:pPr>
      <w:r>
        <w:rPr>
          <w:rFonts w:ascii="Times New Roman" w:cs="Times New Roman" w:eastAsia="Times New Roman" w:hAnsi="Times New Roman"/>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Pratique (80%) —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Comprendre les clusters : décompresser un récit</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Lisez attentivement ce récit clinique condensé, puis identifiez les symptômes présents en les rattachant au cluster DSM-5 correspondant (B, C, D ou E).</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
      </w:r>
    </w:p>
    <w:p>
      <w:pPr>
        <w:spacing w:after="80" w:before="80"/>
        <w:ind w:left="576"/>
      </w:pPr>
      <w:r>
        <w:rPr>
          <w:rFonts w:ascii="Times New Roman" w:cs="Times New Roman" w:eastAsia="Times New Roman" w:hAnsi="Times New Roman"/>
          <w:i/>
          <w:iCs/>
          <w:color w:val="1B3A6B"/>
          <w:sz w:val="22"/>
          <w:szCs w:val="22"/>
        </w:rPr>
        <w:t xml:space="preserve">Marco, 38 ans, a été victime d'une agression violente il y a 18 mois. Depuis, il fait des cauchemars presque toutes les nuits et se réveille en sueur. Dans la rue, si quelqu'un se rapproche trop vite de lui, son cœur s'emballe et il ne pense plus qu'à fuir. Il évite soigneusement le quartier où l'agression a eu lieu, et ne parle jamais de ce qui s'est passé — « ça ne servirait à rien ». Il pense souvent qu'il aurait dû « réagir autrement » ce soir-là. Il a perdu goût à ses activités habituelles et se sent coupé de ses amis. Parfois, quand quelque chose lui rappelle la scène, il a l'impression de « ne plus être dans son corps ».</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
      </w:r>
    </w:p>
    <w:p>
      <w:pPr>
        <w:spacing w:after="80" w:before="80"/>
        <w:ind/>
      </w:pPr>
      <w:r>
        <w:rPr>
          <w:rFonts w:ascii="Times New Roman" w:cs="Times New Roman" w:eastAsia="Times New Roman" w:hAnsi="Times New Roman"/>
          <w:b w:val="false"/>
          <w:bCs w:val="false"/>
          <w:i w:val="false"/>
          <w:iCs w:val="false"/>
          <w:color w:val="1F2937"/>
          <w:sz w:val="22"/>
          <w:szCs w:val="22"/>
        </w:rPr>
        <w:t xml:space="preserve">Travail demandé :</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Identifiez au moins 2 symptômes par cluster (B, C, D, E).</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Identifiez le symptôme qui pourrait indiquer le sous-type dissociatif.</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Selon vous, la durée (18 mois) et la description correspondent-elles à un ESA ou à un TSPT ? Justifiez.</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
      </w:r>
    </w:p>
    <w:p>
      <w:pPr>
        <w:spacing w:after="80" w:before="80"/>
        <w:ind/>
      </w:pPr>
      <w:r>
        <w:rPr>
          <w:rFonts w:ascii="Times New Roman" w:cs="Times New Roman" w:eastAsia="Times New Roman" w:hAnsi="Times New Roman"/>
          <w:b/>
          <w:bCs/>
          <w:i w:val="false"/>
          <w:iCs w:val="false"/>
          <w:color w:val="1F2937"/>
          <w:sz w:val="22"/>
          <w:szCs w:val="22"/>
        </w:rPr>
        <w:t xml:space="preserve">Corrigé :</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Cluster B (intrusion) : cauchemars récurrents ; réactivité physiologique (cœur qui s'emballe) au rappel du trauma.</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Cluster C (évitement) : évitement du quartier (situation) ; refus de parler de l'événement (pensées/émotions liées au trauma).</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Cluster D (cognitions/humeur négatives) : auto-blâme persistant (« j'aurais dû réagir autrement ») ; perte de plaisir (anhédonie) ; sentiment de détachement des proches.</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Cluster E (hyperactivation) : hypervigilance aux mouvements proches ; réaction de sursaut/fuite.</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Sous-type dissociatif : sentiment de « ne plus être dans son corps » lors des rappels → dépersonnalisation.</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ESA ou TSPT : la durée est de 18 mois, soit bien au-delà du seuil d'un mois → TSPT constitué (et non ESA, qui ne dépasse pas 4 semaines).</w:t>
      </w:r>
    </w:p>
    <w:p>
      <w:pPr>
        <w:spacing w:after="160" w:before="160"/>
      </w:pPr>
      <w:r>
        <w:rPr>
          <w:rFonts w:ascii="Times New Roman" w:cs="Times New Roman" w:eastAsia="Times New Roman" w:hAnsi="Times New Roman"/>
          <w:color w:val="CCCCCC"/>
          <w:sz w:val="18"/>
          <w:szCs w:val="18"/>
        </w:rPr>
        <w:t xml:space="preserve">─────────────────────────────────────────</w:t>
      </w:r>
    </w:p>
    <w:p>
      <w:pPr>
        <w:pStyle w:val="Heading3"/>
        <w:spacing w:after="80" w:before="200"/>
      </w:pPr>
      <w:r>
        <w:rPr>
          <w:rFonts w:ascii="Times New Roman" w:cs="Times New Roman" w:eastAsia="Times New Roman" w:hAnsi="Times New Roman"/>
          <w:b/>
          <w:bCs/>
          <w:color w:val="1F2937"/>
          <w:sz w:val="26"/>
          <w:szCs w:val="26"/>
        </w:rPr>
        <w:t xml:space="preserve">Exercice 2 — TSPT simple vs TSPT complexe : vignette comparative</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Voici deux vignettes cliniques. Pour chacune, indiquez s'il s'agit plutôt d'un TSPT (DSM-5) ou d'un TSPT complexe (CIM-11), en justifiant avec les critères distinctifs.</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
      </w:r>
    </w:p>
    <w:p>
      <w:pPr>
        <w:spacing w:after="80" w:before="80"/>
        <w:ind w:left="576"/>
      </w:pPr>
      <w:r>
        <w:rPr>
          <w:rFonts w:ascii="Times New Roman" w:cs="Times New Roman" w:eastAsia="Times New Roman" w:hAnsi="Times New Roman"/>
          <w:i/>
          <w:iCs/>
          <w:color w:val="1B3A6B"/>
          <w:sz w:val="22"/>
          <w:szCs w:val="22"/>
        </w:rPr>
        <w:t xml:space="preserve">Vignette A — Inès, 29 ans : victime d'un accident de voiture grave il y a 14 mois. Elle revit l'accident en flashbacks, évite de prendre la route, présente une hypervigilance marquée. Elle a des difficultés de sommeil et des crises de larmes. Elle dit « je ne comprends pas pourquoi ça m'arrive à moi » mais garde une image globalement positive d'elle-même et des liens sociaux préservés.</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
      </w:r>
    </w:p>
    <w:p>
      <w:pPr>
        <w:spacing w:after="80" w:before="80"/>
        <w:ind w:left="576"/>
      </w:pPr>
      <w:r>
        <w:rPr>
          <w:rFonts w:ascii="Times New Roman" w:cs="Times New Roman" w:eastAsia="Times New Roman" w:hAnsi="Times New Roman"/>
          <w:i/>
          <w:iCs/>
          <w:color w:val="1B3A6B"/>
          <w:sz w:val="22"/>
          <w:szCs w:val="22"/>
        </w:rPr>
        <w:t xml:space="preserve">Vignette B — Sofia, 41 ans : a subi des violences conjugales pendant 12 ans. Elle a quitté la relation il y a 3 ans. Elle revit des épisodes sous forme de flashbacks olfactifs et auditifs. Elle décrit un sentiment profond de « honte » et de « ne valoir rien ». Elle évite toute relation proche « pour ne pas souffrir à nouveau ». Elle a des accès de colère incontrôlables, puis se sent vide. Elle dit ne plus reconnaître qui elle est.</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
      </w:r>
    </w:p>
    <w:p>
      <w:pPr>
        <w:spacing w:after="80" w:before="80"/>
        <w:ind/>
      </w:pPr>
      <w:r>
        <w:rPr>
          <w:rFonts w:ascii="Times New Roman" w:cs="Times New Roman" w:eastAsia="Times New Roman" w:hAnsi="Times New Roman"/>
          <w:b/>
          <w:bCs/>
          <w:i w:val="false"/>
          <w:iCs w:val="false"/>
          <w:color w:val="1F2937"/>
          <w:sz w:val="22"/>
          <w:szCs w:val="22"/>
        </w:rPr>
        <w:t xml:space="preserve">Corrigé :</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Vignette A — TSPT (DSM-5) : trauma unique, symptômes des clusters B/C/D/E présents, mais image de soi préservée et liens sociaux maintenus. Pas de dérégulation émotionnelle sévère ni de perturbation identitaire.</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Vignette B — TSPT complexe (CIM-11) : traumatisme interpersonnel répété et prolongé (12 ans), en plus des symptômes de base du TSPT → honte profonde + sentiment de ne valoir rien (image de soi altérée), évitement relationnel généralisé (difficultés relationnelles persistantes), accès de colère + sensation de vide (dérégulation émotionnelle sévère). Les trois perturbations de l'organisation du soi sont présentes.</w:t>
      </w:r>
    </w:p>
    <w:p>
      <w:pPr>
        <w:spacing w:after="160" w:before="160"/>
      </w:pPr>
      <w:r>
        <w:rPr>
          <w:rFonts w:ascii="Times New Roman" w:cs="Times New Roman" w:eastAsia="Times New Roman" w:hAnsi="Times New Roman"/>
          <w:color w:val="CCCCCC"/>
          <w:sz w:val="18"/>
          <w:szCs w:val="18"/>
        </w:rPr>
        <w:t xml:space="preserve">─────────────────────────────────────────</w:t>
      </w:r>
    </w:p>
    <w:p>
      <w:pPr>
        <w:pStyle w:val="Heading3"/>
        <w:spacing w:after="80" w:before="200"/>
      </w:pPr>
      <w:r>
        <w:rPr>
          <w:rFonts w:ascii="Times New Roman" w:cs="Times New Roman" w:eastAsia="Times New Roman" w:hAnsi="Times New Roman"/>
          <w:b/>
          <w:bCs/>
          <w:color w:val="1F2937"/>
          <w:sz w:val="26"/>
          <w:szCs w:val="26"/>
        </w:rPr>
        <w:t xml:space="preserve">Exercice 3 — La dissociation en pratique : reconnaître les manifestations</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La dissociation s'exprime de nombreuses façons dans la vie quotidienne — des plus légères (rêvasserie, « pilote automatique ») aux plus sévères. Cet exercice vise à affiner votre capacité de repérage.</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
      </w:r>
    </w:p>
    <w:p>
      <w:pPr>
        <w:spacing w:after="80" w:before="80"/>
        <w:ind/>
      </w:pPr>
      <w:r>
        <w:rPr>
          <w:rFonts w:ascii="Times New Roman" w:cs="Times New Roman" w:eastAsia="Times New Roman" w:hAnsi="Times New Roman"/>
          <w:b w:val="false"/>
          <w:bCs w:val="false"/>
          <w:i w:val="false"/>
          <w:iCs w:val="false"/>
          <w:color w:val="1F2937"/>
          <w:sz w:val="22"/>
          <w:szCs w:val="22"/>
        </w:rPr>
        <w:t xml:space="preserve">Pour chaque manifestation décrite, indiquez : (a) de quel type de dissociation il s'agit, (b) si cela relève du domaine de la vie quotidienne normale ou d'une dissociation potentiellement pathologique.</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1. En conduisant sur un trajet habituel, vous vous retrouvez à destination sans souvenir des 20 dernières minutes.</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2. Une résidente dit qu'elle a parfois l'impression de « se regarder d'en haut » pendant les réunions, comme si elle n'était pas vraiment là.</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3. Un résident ne se souvient pas d'un épisode de crise agressive qu'il a eu trois jours plus tôt — ses collègues témoins en sont certains.</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4. Lors d'un entretien difficile avec vous, une professionnelle décrit que « la pièce paraît irréelle, comme dans un brouillard ».</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
      </w:r>
    </w:p>
    <w:p>
      <w:pPr>
        <w:spacing w:after="80" w:before="80"/>
        <w:ind/>
      </w:pPr>
      <w:r>
        <w:rPr>
          <w:rFonts w:ascii="Times New Roman" w:cs="Times New Roman" w:eastAsia="Times New Roman" w:hAnsi="Times New Roman"/>
          <w:b/>
          <w:bCs/>
          <w:i w:val="false"/>
          <w:iCs w:val="false"/>
          <w:color w:val="1F2937"/>
          <w:sz w:val="22"/>
          <w:szCs w:val="22"/>
        </w:rPr>
        <w:t xml:space="preserve">Corrigé :</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1. Automatisme dissociatif (conduite en mode automatique) — phénomène normal de la vie quotidienne, dit « dissociation légère ». Pas pathologique en soi.</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2. Dépersonnalisation légère — l'impression d'être observateur de soi-même. Si ce phénomène est occasionnel et non invalidant, il peut rester dans la norme ; si persistant et source de souffrance, il oriente vers un trouble de dépersonnalisation-déréalisation.</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3. Amnésie dissociative — absence de souvenir d'un événement réel, typiquement post-traumatique ou en lien avec une dissociation sévère. Phénomène potentiellement pathologique, à signaler au médecin.</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4. Déréalisation — perception de l'environnement comme irréel, brumeux. Ici, survenant dans un contexte de stress (entretien difficile) → probablement réaction dissociative transitoire au stress, mais à surveiller si répétitive.</w:t>
      </w:r>
    </w:p>
    <w:p>
      <w:pPr>
        <w:spacing w:after="160" w:before="160"/>
      </w:pPr>
      <w:r>
        <w:rPr>
          <w:rFonts w:ascii="Times New Roman" w:cs="Times New Roman" w:eastAsia="Times New Roman" w:hAnsi="Times New Roman"/>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Challenge — Synthèse : construire une grille de repérage</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Cet exercice de synthèse mobilise l'ensemble des contenus de la leçon.</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
      </w:r>
    </w:p>
    <w:p>
      <w:pPr>
        <w:spacing w:after="80" w:before="80"/>
        <w:ind/>
      </w:pPr>
      <w:r>
        <w:rPr>
          <w:rFonts w:ascii="Times New Roman" w:cs="Times New Roman" w:eastAsia="Times New Roman" w:hAnsi="Times New Roman"/>
          <w:b w:val="false"/>
          <w:bCs w:val="false"/>
          <w:i w:val="false"/>
          <w:iCs w:val="false"/>
          <w:color w:val="1F2937"/>
          <w:sz w:val="22"/>
          <w:szCs w:val="22"/>
        </w:rPr>
        <w:t xml:space="preserve">Votre mission : Construire une grille de repérage à usage professionnel (non diagnostique) listant les signaux observables qui doivent alerter un professionnel éducatif et l'amener à solliciter un avis médical ou psychologique.</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
      </w:r>
    </w:p>
    <w:p>
      <w:pPr>
        <w:spacing w:after="80" w:before="80"/>
        <w:ind/>
      </w:pPr>
      <w:r>
        <w:rPr>
          <w:rFonts w:ascii="Times New Roman" w:cs="Times New Roman" w:eastAsia="Times New Roman" w:hAnsi="Times New Roman"/>
          <w:b w:val="false"/>
          <w:bCs w:val="false"/>
          <w:i w:val="false"/>
          <w:iCs w:val="false"/>
          <w:color w:val="1F2937"/>
          <w:sz w:val="22"/>
          <w:szCs w:val="22"/>
        </w:rPr>
        <w:t xml:space="preserve">Organisez votre grille en quatre colonnes :</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Ce que j'observe dans le comportement (ex. : réactions de sursaut, évitements répétés...)</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Ce que la personne dit ou décrit (ex. : flashbacks, sentiment d'irréalité...)</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Contexte qui renforce mon attention (ex. : histoire traumatique connue, contexte de violence...)</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Action professionnelle adaptée (ex. : consigner, en parler en réunion clinique, orienter...)</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
      </w:r>
    </w:p>
    <w:p>
      <w:pPr>
        <w:spacing w:after="80" w:before="80"/>
        <w:ind/>
      </w:pPr>
      <w:r>
        <w:rPr>
          <w:rFonts w:ascii="Times New Roman" w:cs="Times New Roman" w:eastAsia="Times New Roman" w:hAnsi="Times New Roman"/>
          <w:b w:val="false"/>
          <w:bCs w:val="false"/>
          <w:i w:val="false"/>
          <w:iCs w:val="false"/>
          <w:color w:val="1F2937"/>
          <w:sz w:val="22"/>
          <w:szCs w:val="22"/>
        </w:rPr>
        <w:t xml:space="preserve">Astuce de guidage : repassez mentalement sur les exercices 1, 2 et 3 — chaque symptôme identifié peut devenir une ligne de votre grille.</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
      </w:r>
    </w:p>
    <w:p>
      <w:pPr>
        <w:spacing w:after="80" w:before="80"/>
        <w:ind/>
      </w:pPr>
      <w:r>
        <w:rPr>
          <w:rFonts w:ascii="Times New Roman" w:cs="Times New Roman" w:eastAsia="Times New Roman" w:hAnsi="Times New Roman"/>
          <w:b w:val="false"/>
          <w:bCs w:val="false"/>
          <w:i w:val="false"/>
          <w:iCs w:val="false"/>
          <w:color w:val="1F2937"/>
          <w:sz w:val="22"/>
          <w:szCs w:val="22"/>
        </w:rPr>
        <w:t xml:space="preserve">Pourquoi c'est important : dans un ESSMS, les professionnels éducatifs sont souvent les premiers à observer des changements comportementaux. Leur rôle n'est pas diagnostique, mais leur capacité de repérage et de transmission est déterminante pour la qualité de l'accompagnement et la sécurité des personnes.</w:t>
      </w:r>
    </w:p>
    <w:p>
      <w:pPr>
        <w:spacing w:after="160" w:before="160"/>
      </w:pPr>
      <w:r>
        <w:rPr>
          <w:rFonts w:ascii="Times New Roman" w:cs="Times New Roman" w:eastAsia="Times New Roman" w:hAnsi="Times New Roman"/>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Pont professionnel (chef de service en ESSMS)</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Les personnes accompagnées en foyer d'hébergement (handicap mental et psychique) ont souvent des histoires de vie marquées par des traumatismes — maltraitances infantiles, violence institutionnelle passée, deuils traumatiques, ruptures répétées. Ces histoires ne sont pas toujours documentées dans le DUI.</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
      </w:r>
    </w:p>
    <w:p>
      <w:pPr>
        <w:spacing w:after="80" w:before="80"/>
        <w:ind/>
      </w:pPr>
      <w:r>
        <w:rPr>
          <w:rFonts w:ascii="Times New Roman" w:cs="Times New Roman" w:eastAsia="Times New Roman" w:hAnsi="Times New Roman"/>
          <w:b w:val="false"/>
          <w:bCs w:val="false"/>
          <w:i w:val="false"/>
          <w:iCs w:val="false"/>
          <w:color w:val="1F2937"/>
          <w:sz w:val="22"/>
          <w:szCs w:val="22"/>
        </w:rPr>
        <w:t xml:space="preserve">Trois points d'attention concrets :</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Comportements perturbateurs &amp; trauma : certains épisodes d'agitation, de repli, de mutisme ou de comportements auto-agressifs peuvent être des expressions dissociatives ou des reviviscences. Une lecture systémique (contexte, déclencheur) prime sur une réponse uniquement comportementale.</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Formation de l'équipe : sensibiliser les professionnels à la notion de « care traumainformé » (trauma-informed care) améliore la qualité de l'accompagnement et réduit les risques de revictimisation involontaire (ex. : gestes brusques, ton autoritaire dans un contexte de crise).</w:t>
      </w:r>
    </w:p>
    <w:p>
      <w:pPr>
        <w:pStyle w:val="ListParagraph"/>
        <w:numPr>
          <w:ilvl w:val="0"/>
          <w:numId w:val="1"/>
        </w:numPr>
        <w:spacing w:after="60" w:before="60"/>
        <w:ind w:left="576"/>
      </w:pPr>
      <w:r>
        <w:rPr>
          <w:rFonts w:ascii="Times New Roman" w:cs="Times New Roman" w:eastAsia="Times New Roman" w:hAnsi="Times New Roman"/>
          <w:color w:val="1F2937"/>
          <w:sz w:val="22"/>
          <w:szCs w:val="22"/>
        </w:rPr>
        <w:t xml:space="preserve">Coordination : tout signe de reviviscence ou de dissociation répétitive doit être documenté et transmis au médecin ou psychologue du dispositif — c'est la limite de l'observation éducative.</w:t>
      </w:r>
    </w:p>
    <w:p>
      <w:pPr>
        <w:spacing w:after="160" w:before="160"/>
      </w:pPr>
      <w:r>
        <w:rPr>
          <w:rFonts w:ascii="Times New Roman" w:cs="Times New Roman" w:eastAsia="Times New Roman" w:hAnsi="Times New Roman"/>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Ressources pour approfondir</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Toutes les URLs ont été testées et sont accessibles au 24/08/2026 :</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
      </w:r>
    </w:p>
    <w:p>
      <w:pPr>
        <w:spacing w:after="60" w:before="60"/>
        <w:ind w:left="288"/>
      </w:pPr>
      <w:r>
        <w:rPr>
          <w:rFonts w:ascii="Times New Roman" w:cs="Times New Roman" w:eastAsia="Times New Roman" w:hAnsi="Times New Roman"/>
          <w:color w:val="1F2937"/>
          <w:sz w:val="22"/>
          <w:szCs w:val="22"/>
        </w:rPr>
        <w:t xml:space="preserve">• </w:t>
      </w:r>
      <w:hyperlink w:history="1" r:id="rIdp0w5s_ngmz7stjnaw58p6">
        <w:r>
          <w:rPr>
            <w:rFonts w:ascii="Times New Roman" w:cs="Times New Roman" w:eastAsia="Times New Roman" w:hAnsi="Times New Roman"/>
            <w:color w:val="1155CC"/>
            <w:sz w:val="22"/>
            <w:szCs w:val="22"/>
            <w:u w:val="single"/>
          </w:rPr>
          <w:t xml:space="preserve">Wikipedia — Post-traumatic stress disorder (EN) : définition, histoire, critères DSM-5, prévalence, traitements</w:t>
        </w:r>
      </w:hyperlink>
    </w:p>
    <w:p>
      <w:pPr>
        <w:spacing w:after="60" w:before="60"/>
        <w:ind w:left="288"/>
      </w:pPr>
      <w:r>
        <w:rPr>
          <w:rFonts w:ascii="Times New Roman" w:cs="Times New Roman" w:eastAsia="Times New Roman" w:hAnsi="Times New Roman"/>
          <w:color w:val="1F2937"/>
          <w:sz w:val="22"/>
          <w:szCs w:val="22"/>
        </w:rPr>
        <w:t xml:space="preserve">• </w:t>
      </w:r>
      <w:hyperlink w:history="1" r:id="rIdhpitspygcdoqi9iuavkzc">
        <w:r>
          <w:rPr>
            <w:rFonts w:ascii="Times New Roman" w:cs="Times New Roman" w:eastAsia="Times New Roman" w:hAnsi="Times New Roman"/>
            <w:color w:val="1155CC"/>
            <w:sz w:val="22"/>
            <w:szCs w:val="22"/>
            <w:u w:val="single"/>
          </w:rPr>
          <w:t xml:space="preserve">Wikipedia — Dissociative disorder (EN) : classification, lien avec le trauma, critères</w:t>
        </w:r>
      </w:hyperlink>
    </w:p>
    <w:p>
      <w:pPr>
        <w:spacing w:after="60" w:before="60"/>
        <w:ind w:left="288"/>
      </w:pPr>
      <w:r>
        <w:rPr>
          <w:rFonts w:ascii="Times New Roman" w:cs="Times New Roman" w:eastAsia="Times New Roman" w:hAnsi="Times New Roman"/>
          <w:color w:val="1F2937"/>
          <w:sz w:val="22"/>
          <w:szCs w:val="22"/>
        </w:rPr>
        <w:t xml:space="preserve">• </w:t>
      </w:r>
      <w:hyperlink w:history="1" r:id="rIdpo-w9xze8pxe49jzh5413">
        <w:r>
          <w:rPr>
            <w:rFonts w:ascii="Times New Roman" w:cs="Times New Roman" w:eastAsia="Times New Roman" w:hAnsi="Times New Roman"/>
            <w:color w:val="1155CC"/>
            <w:sz w:val="22"/>
            <w:szCs w:val="22"/>
            <w:u w:val="single"/>
          </w:rPr>
          <w:t xml:space="preserve">MSD Manuals FR — Sous-type dissociatif du TSPT : critères, prévalence, traitement</w:t>
        </w:r>
      </w:hyperlink>
    </w:p>
    <w:p>
      <w:pPr>
        <w:spacing w:after="60" w:before="60"/>
        <w:ind w:left="288"/>
      </w:pPr>
      <w:r>
        <w:rPr>
          <w:rFonts w:ascii="Times New Roman" w:cs="Times New Roman" w:eastAsia="Times New Roman" w:hAnsi="Times New Roman"/>
          <w:color w:val="1F2937"/>
          <w:sz w:val="22"/>
          <w:szCs w:val="22"/>
        </w:rPr>
        <w:t xml:space="preserve">• </w:t>
      </w:r>
      <w:hyperlink w:history="1" r:id="rIdatqybehuvoypr-m-tru3l">
        <w:r>
          <w:rPr>
            <w:rFonts w:ascii="Times New Roman" w:cs="Times New Roman" w:eastAsia="Times New Roman" w:hAnsi="Times New Roman"/>
            <w:color w:val="1155CC"/>
            <w:sz w:val="22"/>
            <w:szCs w:val="22"/>
            <w:u w:val="single"/>
          </w:rPr>
          <w:t xml:space="preserve">IFEMDR — ESA et ESPT dans le DSM-5 : critères détaillés, clusters, innovations</w:t>
        </w:r>
      </w:hyperlink>
    </w:p>
    <w:p>
      <w:pPr>
        <w:spacing w:after="60" w:before="60"/>
        <w:ind w:left="288"/>
      </w:pPr>
      <w:r>
        <w:rPr>
          <w:rFonts w:ascii="Times New Roman" w:cs="Times New Roman" w:eastAsia="Times New Roman" w:hAnsi="Times New Roman"/>
          <w:color w:val="1F2937"/>
          <w:sz w:val="22"/>
          <w:szCs w:val="22"/>
        </w:rPr>
        <w:t xml:space="preserve">• </w:t>
      </w:r>
      <w:hyperlink w:history="1" r:id="rId9c2mbdpeawxbt_qrqncen">
        <w:r>
          <w:rPr>
            <w:rFonts w:ascii="Times New Roman" w:cs="Times New Roman" w:eastAsia="Times New Roman" w:hAnsi="Times New Roman"/>
            <w:color w:val="1155CC"/>
            <w:sz w:val="22"/>
            <w:szCs w:val="22"/>
            <w:u w:val="single"/>
          </w:rPr>
          <w:t xml:space="preserve">IFEMDR — Stabilisation et traitement par phases pour le TSPT : revue systématique et méta-analyse</w:t>
        </w:r>
      </w:hyperlink>
    </w:p>
    <w:p>
      <w:pPr>
        <w:spacing w:after="60" w:before="60"/>
        <w:ind w:left="288"/>
      </w:pPr>
      <w:r>
        <w:rPr>
          <w:rFonts w:ascii="Times New Roman" w:cs="Times New Roman" w:eastAsia="Times New Roman" w:hAnsi="Times New Roman"/>
          <w:color w:val="1F2937"/>
          <w:sz w:val="22"/>
          <w:szCs w:val="22"/>
        </w:rPr>
        <w:t xml:space="preserve">• </w:t>
      </w:r>
      <w:hyperlink w:history="1" r:id="rIdnfsm-5b0fwnlrxgjvmv7r">
        <w:r>
          <w:rPr>
            <w:rFonts w:ascii="Times New Roman" w:cs="Times New Roman" w:eastAsia="Times New Roman" w:hAnsi="Times New Roman"/>
            <w:color w:val="1155CC"/>
            <w:sz w:val="22"/>
            <w:szCs w:val="22"/>
            <w:u w:val="single"/>
          </w:rPr>
          <w:t xml:space="preserve">TraumaPsyInfo — Les livres de référence sur le psychotraumatisme et le TSPT (bibliographie commentée FR)</w:t>
        </w:r>
      </w:hyperlink>
    </w:p>
    <w:p>
      <w:pPr>
        <w:spacing w:after="80" w:before="80"/>
        <w:ind/>
      </w:pPr>
      <w:r>
        <w:rPr>
          <w:rFonts w:ascii="Times New Roman" w:cs="Times New Roman" w:eastAsia="Times New Roman" w:hAnsi="Times New Roman"/>
          <w:b w:val="false"/>
          <w:bCs w:val="false"/>
          <w:i w:val="false"/>
          <w:iCs w:val="false"/>
          <w:color w:val="1F2937"/>
          <w:sz w:val="22"/>
          <w:szCs w:val="22"/>
        </w:rPr>
        <w:t xml:space="preserve"/>
      </w:r>
    </w:p>
    <w:p>
      <w:pPr>
        <w:spacing w:after="80" w:before="80"/>
        <w:ind/>
      </w:pPr>
      <w:r>
        <w:rPr>
          <w:rFonts w:ascii="Times New Roman" w:cs="Times New Roman" w:eastAsia="Times New Roman" w:hAnsi="Times New Roman"/>
          <w:b w:val="false"/>
          <w:bCs w:val="false"/>
          <w:i/>
          <w:iCs/>
          <w:color w:val="1F2937"/>
          <w:sz w:val="22"/>
          <w:szCs w:val="22"/>
        </w:rPr>
        <w:t xml:space="preserve">Source consultée avec blocage anti-robot (403, page existante) :</w:t>
      </w:r>
    </w:p>
    <w:p>
      <w:pPr>
        <w:spacing w:after="60" w:before="60"/>
        <w:ind w:left="288"/>
      </w:pPr>
      <w:r>
        <w:rPr>
          <w:rFonts w:ascii="Times New Roman" w:cs="Times New Roman" w:eastAsia="Times New Roman" w:hAnsi="Times New Roman"/>
          <w:color w:val="1F2937"/>
          <w:sz w:val="22"/>
          <w:szCs w:val="22"/>
        </w:rPr>
        <w:t xml:space="preserve">• </w:t>
      </w:r>
      <w:hyperlink w:history="1" r:id="rId050mydzj7un5p0cviy-z_">
        <w:r>
          <w:rPr>
            <w:rFonts w:ascii="Times New Roman" w:cs="Times New Roman" w:eastAsia="Times New Roman" w:hAnsi="Times New Roman"/>
            <w:color w:val="1155CC"/>
            <w:sz w:val="22"/>
            <w:szCs w:val="22"/>
            <w:u w:val="single"/>
          </w:rPr>
          <w:t xml:space="preserve">Cairn.info — Traité clinique du psychotraumatisme (Tarquinio et al., Dunod 2025) — Chap. 1 : TSA et TSPT</w:t>
        </w:r>
      </w:hyperlink>
    </w:p>
    <w:p>
      <w:pPr>
        <w:spacing w:after="160" w:before="160"/>
      </w:pPr>
      <w:r>
        <w:rPr>
          <w:rFonts w:ascii="Times New Roman" w:cs="Times New Roman" w:eastAsia="Times New Roman" w:hAnsi="Times New Roman"/>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Prochaine leçon : n°13</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Thème : Troubles neurocognitifs et psychopathologie du vieillissement</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Au programme : démences (maladie d'Alzheimer, démences vasculaires, DFT, DCL), délirium, dépression du sujet âgé, vieillissement normal vs pathologique. Pont vers l'accompagnement des personnes âgées en ESSMS et la détection précoce.</w:t>
      </w:r>
    </w:p>
    <w:p>
      <w:pPr>
        <w:spacing w:after="160" w:before="160"/>
      </w:pPr>
      <w:r>
        <w:rPr>
          <w:rFonts w:ascii="Times New Roman" w:cs="Times New Roman" w:eastAsia="Times New Roman" w:hAnsi="Times New Roman"/>
          <w:color w:val="CCCCCC"/>
          <w:sz w:val="18"/>
          <w:szCs w:val="18"/>
        </w:rPr>
        <w:t xml:space="preserve">─────────────────────────────────────────</w:t>
      </w:r>
    </w:p>
    <w:p>
      <w:pPr>
        <w:spacing w:before="200"/>
        <w:jc w:val="center"/>
      </w:pPr>
      <w:r>
        <w:rPr>
          <w:rFonts w:ascii="Times New Roman" w:cs="Times New Roman" w:eastAsia="Times New Roman" w:hAnsi="Times New Roman"/>
          <w:i/>
          <w:iCs/>
          <w:color w:val="9CA3AF"/>
          <w:sz w:val="18"/>
          <w:szCs w:val="18"/>
        </w:rPr>
        <w:t xml:space="preserve">Leçon 12 / 20 — Psychopathologie clinique — 24 août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0w5s_ngmz7stjnaw58p6" Type="http://schemas.openxmlformats.org/officeDocument/2006/relationships/hyperlink" Target="https://en.wikipedia.org/wiki/Post-traumatic_stress_disorder" TargetMode="External"/><Relationship Id="rIdhpitspygcdoqi9iuavkzc" Type="http://schemas.openxmlformats.org/officeDocument/2006/relationships/hyperlink" Target="https://en.wikipedia.org/wiki/Dissociative_disorder" TargetMode="External"/><Relationship Id="rIdpo-w9xze8pxe49jzh5413" Type="http://schemas.openxmlformats.org/officeDocument/2006/relationships/hyperlink" Target="https://www.msdmanuals.com/fr/professional/troubles-psychiatriques/troubles-dissociatifs/sous-type-dissociatif-du-trouble-de-stress-post-traumatique" TargetMode="External"/><Relationship Id="rIdatqybehuvoypr-m-tru3l" Type="http://schemas.openxmlformats.org/officeDocument/2006/relationships/hyperlink" Target="https://www.ifemdr.fr/esa-et-espt-dans-le-dsm-5/" TargetMode="External"/><Relationship Id="rId9c2mbdpeawxbt_qrqncen" Type="http://schemas.openxmlformats.org/officeDocument/2006/relationships/hyperlink" Target="https://www.ifemdr.fr/stabilisation-et-traitement-psychologique-oriente-par-phase-pour-le-tspt-une-revue-systematique-et-une-meta-analyse/" TargetMode="External"/><Relationship Id="rIdnfsm-5b0fwnlrxgjvmv7r" Type="http://schemas.openxmlformats.org/officeDocument/2006/relationships/hyperlink" Target="https://traumapsyinfo.fr/les-livres-de-reference-sur-le-psychotraumatisme-et-le-tspt/" TargetMode="External"/><Relationship Id="rId050mydzj7un5p0cviy-z_" Type="http://schemas.openxmlformats.org/officeDocument/2006/relationships/hyperlink" Target="https://shs.cairn.info/traite-clinique-du-psychotraumatisme--9782100860869-page-33?lang=fr"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Psychopathologie clinique n°12 — Psychotraumatisme, TSPT et trouble dissociatif</dc:title>
  <dc:creator>Claude – Job psychopathologie-lecon</dc:creator>
  <cp:lastModifiedBy>Un-named</cp:lastModifiedBy>
  <cp:revision>1</cp:revision>
  <dcterms:created xsi:type="dcterms:W3CDTF">2026-08-24T06:08:09.913Z</dcterms:created>
  <dcterms:modified xsi:type="dcterms:W3CDTF">2026-08-24T06:08:11.343Z</dcterms:modified>
</cp:coreProperties>
</file>

<file path=docProps/custom.xml><?xml version="1.0" encoding="utf-8"?>
<Properties xmlns="http://schemas.openxmlformats.org/officeDocument/2006/custom-properties" xmlns:vt="http://schemas.openxmlformats.org/officeDocument/2006/docPropsVTypes"/>
</file>