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1B3A6B"/>
          <w:sz w:val="52"/>
          <w:szCs w:val="52"/>
        </w:rPr>
        <w:t xml:space="preserve">Leçon Placement financier n°16 — Transmission, succession et démembrement</w:t>
      </w:r>
    </w:p>
    <w:p>
      <w:pPr>
        <w:spacing w:after="240" w:before="0"/>
        <w:jc w:val="center"/>
      </w:pPr>
      <w:r>
        <w:rPr>
          <w:rFonts w:ascii="Times New Roman" w:cs="Times New Roman" w:eastAsia="Times New Roman" w:hAnsi="Times New Roman"/>
          <w:i/>
          <w:iCs/>
          <w:color w:val="1B3A6B"/>
          <w:sz w:val="22"/>
          <w:szCs w:val="22"/>
        </w:rPr>
        <w:t xml:space="preserve">Date : 26 septembre 2026   |   Leçon 16 / 20</w:t>
      </w:r>
    </w:p>
    <w:p>
      <w:pPr>
        <w:spacing w:after="100" w:before="28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vous saurez : identifier les mécanismes juridiques et fiscaux de la transmission de patrimoine (succession et donation), comprendre l'outil du démembrement de propriété (usufruit / nue-propriété) et sa logique fiscale, préparer les questions essentielles à poser à un notaire ou à un conseiller en gestion de patrimoine (CGP).</w:t>
      </w:r>
    </w:p>
    <w:p>
      <w:pPr>
        <w:spacing w:after="60" w:before="60"/>
      </w:pPr>
      <w:r>
        <w:rPr>
          <w:rFonts w:ascii="Times New Roman" w:cs="Times New Roman" w:eastAsia="Times New Roman" w:hAnsi="Times New Roman"/>
          <w:color w:val="1F2937"/>
          <w:sz w:val="22"/>
          <w:szCs w:val="22"/>
        </w:rPr>
        <w:t xml:space="preserve">Lien avec la leçon 15 (biais comportementaux) : la transmission patrimoniale est l'une des décisions pour lesquelles les biais d'inaction (procrastination) et d'aversion aux pertes (« je ne veux pas payer des droits ») sont les plus coûteux. L'éducation financière ne remplace pas le conseil d'un notaire — elle vous donne les outils pour comprendre ce que votre notaire vous propose.</w:t>
      </w:r>
    </w:p>
    <w:p>
      <w:pPr>
        <w:spacing w:after="100" w:before="280"/>
      </w:pPr>
      <w:r>
        <w:rPr>
          <w:rFonts w:ascii="Times New Roman" w:cs="Times New Roman" w:eastAsia="Times New Roman" w:hAnsi="Times New Roman"/>
          <w:b/>
          <w:bCs/>
          <w:color w:val="1B3A6B"/>
          <w:sz w:val="30"/>
          <w:szCs w:val="30"/>
        </w:rPr>
        <w:t xml:space="preserve">⚖️ Rappel déontologique</w:t>
      </w:r>
    </w:p>
    <w:p>
      <w:pPr>
        <w:pBdr>
          <w:left w:val="thick" w:color="1B3A6B" w:sz="6"/>
        </w:pBdr>
        <w:shd w:fill="F3F4F6" w:val="clear"/>
        <w:spacing w:after="80" w:before="80"/>
        <w:ind w:left="288" w:right="288"/>
      </w:pPr>
      <w:r>
        <w:rPr>
          <w:rFonts w:ascii="Times New Roman" w:cs="Times New Roman" w:eastAsia="Times New Roman" w:hAnsi="Times New Roman"/>
          <w:color w:val="1F2937"/>
          <w:sz w:val="22"/>
          <w:szCs w:val="22"/>
        </w:rPr>
        <w:t xml:space="preserve">Cette leçon relève de l'éducation financière générale. Elle ne constitue pas un conseil en investissement personnalisé ni un conseil juridique. La transmission de patrimoine engage des règles civiles et fiscales complexes : consultez un notaire ou un conseiller en gestion de patrimoine (CGP) agréé avant toute décision. Certains mécanismes exposent à un risque de perte en capital ou à une imposition plus forte qu'attendu si mal calibrés.</w:t>
      </w:r>
    </w:p>
    <w:p>
      <w:pPr>
        <w:spacing w:after="100" w:before="280"/>
      </w:pPr>
      <w:r>
        <w:rPr>
          <w:rFonts w:ascii="Times New Roman" w:cs="Times New Roman" w:eastAsia="Times New Roman" w:hAnsi="Times New Roman"/>
          <w:b/>
          <w:bCs/>
          <w:color w:val="1B3A6B"/>
          <w:sz w:val="30"/>
          <w:szCs w:val="30"/>
        </w:rPr>
        <w:t xml:space="preserve">🔬 Théorie (20 %) — Les mécanismes clés</w:t>
      </w:r>
    </w:p>
    <w:p>
      <w:pPr>
        <w:spacing w:after="80" w:before="200"/>
      </w:pPr>
      <w:r>
        <w:rPr>
          <w:rFonts w:ascii="Times New Roman" w:cs="Times New Roman" w:eastAsia="Times New Roman" w:hAnsi="Times New Roman"/>
          <w:b/>
          <w:bCs/>
          <w:color w:val="1F2937"/>
          <w:sz w:val="26"/>
          <w:szCs w:val="26"/>
        </w:rPr>
        <w:t xml:space="preserve">1. La succession : ce qui se passe par défaut</w:t>
      </w:r>
    </w:p>
    <w:p>
      <w:pPr>
        <w:spacing w:after="60" w:before="60"/>
      </w:pPr>
      <w:r>
        <w:rPr>
          <w:rFonts w:ascii="Times New Roman" w:cs="Times New Roman" w:eastAsia="Times New Roman" w:hAnsi="Times New Roman"/>
          <w:color w:val="1F2937"/>
          <w:sz w:val="22"/>
          <w:szCs w:val="22"/>
        </w:rPr>
        <w:t xml:space="preserve">Au décès, le patrimoine est transmis selon les règles du Code civil (ordre des héritiers) et taxé selon le barème des droits de succession. La France ne connaît pas de « droit du testateur absolu » : une part incompressible — la réserve héréditaire — revient de droit aux descendants.</w:t>
      </w:r>
    </w:p>
    <w:p>
      <w:pPr>
        <w:spacing w:after="60" w:before="60"/>
      </w:pPr>
      <w:r>
        <w:rPr>
          <w:rFonts w:ascii="Times New Roman" w:cs="Times New Roman" w:eastAsia="Times New Roman" w:hAnsi="Times New Roman"/>
          <w:color w:val="1F2937"/>
          <w:sz w:val="22"/>
          <w:szCs w:val="22"/>
        </w:rPr>
        <w:t xml:space="preserve">Abattements légaux (source : service-public.gouv.fr, consulté le 26/09/2026)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shd w:fill="1B3A6B" w:val="clear"/>
          </w:tcPr>
          <w:p>
            <w:pPr>
              <w:spacing w:after="40" w:before="40"/>
              <w:jc w:val="center"/>
            </w:pPr>
            <w:r>
              <w:rPr>
                <w:rFonts w:ascii="Times New Roman" w:cs="Times New Roman" w:eastAsia="Times New Roman" w:hAnsi="Times New Roman"/>
                <w:b/>
                <w:bCs/>
                <w:color w:val="FFFFFF"/>
                <w:sz w:val="20"/>
                <w:szCs w:val="20"/>
              </w:rPr>
              <w:t xml:space="preserve">Lien avec le défunt</w:t>
            </w:r>
          </w:p>
        </w:tc>
        <w:tc>
          <w:tcPr>
            <w:tcW w:type="dxa" w:w="4500"/>
            <w:shd w:fill="1B3A6B" w:val="clear"/>
          </w:tcPr>
          <w:p>
            <w:pPr>
              <w:spacing w:after="40" w:before="40"/>
              <w:jc w:val="center"/>
            </w:pPr>
            <w:r>
              <w:rPr>
                <w:rFonts w:ascii="Times New Roman" w:cs="Times New Roman" w:eastAsia="Times New Roman" w:hAnsi="Times New Roman"/>
                <w:b/>
                <w:bCs/>
                <w:color w:val="FFFFFF"/>
                <w:sz w:val="20"/>
                <w:szCs w:val="20"/>
              </w:rPr>
              <w:t xml:space="preserve">Abattement</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Conjoint survivant ou partenaire PACS</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Totalement exonéré</w:t>
            </w:r>
          </w:p>
        </w:tc>
      </w:tr>
      <w:tr>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Enfant (par enfant, par parent)</w:t>
            </w:r>
          </w:p>
        </w:tc>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100 000 €</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Personne handicapée (abattement supplémentaire)</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159 325 €</w:t>
            </w:r>
          </w:p>
        </w:tc>
      </w:tr>
      <w:tr>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Frère ou sœur</w:t>
            </w:r>
          </w:p>
        </w:tc>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15 932 €</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Neveu ou nièce</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7 967 €</w:t>
            </w:r>
          </w:p>
        </w:tc>
      </w:tr>
      <w:tr>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Autres (non-parents)</w:t>
            </w:r>
          </w:p>
        </w:tc>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1 594 €</w:t>
            </w:r>
          </w:p>
        </w:tc>
      </w:tr>
    </w:tbl>
    <w:p>
      <w:pPr>
        <w:spacing w:after="0" w:before="80"/>
      </w:pPr>
    </w:p>
    <w:p>
      <w:pPr>
        <w:spacing w:after="60" w:before="60"/>
      </w:pPr>
      <w:r>
        <w:rPr>
          <w:rFonts w:ascii="Times New Roman" w:cs="Times New Roman" w:eastAsia="Times New Roman" w:hAnsi="Times New Roman"/>
          <w:color w:val="1F2937"/>
          <w:sz w:val="22"/>
          <w:szCs w:val="22"/>
        </w:rPr>
        <w:t xml:space="preserve">Barème progressif en ligne directe, après application de l'abattement (source : service-public.gouv.fr/particuliers/vosdroits/F14198, 26/09/2026)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shd w:fill="1B3A6B" w:val="clear"/>
          </w:tcPr>
          <w:p>
            <w:pPr>
              <w:spacing w:after="40" w:before="40"/>
              <w:jc w:val="center"/>
            </w:pPr>
            <w:r>
              <w:rPr>
                <w:rFonts w:ascii="Times New Roman" w:cs="Times New Roman" w:eastAsia="Times New Roman" w:hAnsi="Times New Roman"/>
                <w:b/>
                <w:bCs/>
                <w:color w:val="FFFFFF"/>
                <w:sz w:val="20"/>
                <w:szCs w:val="20"/>
              </w:rPr>
              <w:t xml:space="preserve">Part taxable nette d'abattement</w:t>
            </w:r>
          </w:p>
        </w:tc>
        <w:tc>
          <w:tcPr>
            <w:tcW w:type="dxa" w:w="4500"/>
            <w:shd w:fill="1B3A6B" w:val="clear"/>
          </w:tcPr>
          <w:p>
            <w:pPr>
              <w:spacing w:after="40" w:before="40"/>
              <w:jc w:val="center"/>
            </w:pPr>
            <w:r>
              <w:rPr>
                <w:rFonts w:ascii="Times New Roman" w:cs="Times New Roman" w:eastAsia="Times New Roman" w:hAnsi="Times New Roman"/>
                <w:b/>
                <w:bCs/>
                <w:color w:val="FFFFFF"/>
                <w:sz w:val="20"/>
                <w:szCs w:val="20"/>
              </w:rPr>
              <w:t xml:space="preserve">Taux applicable</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Jusqu'à 8 072 €</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5 %</w:t>
            </w:r>
          </w:p>
        </w:tc>
      </w:tr>
      <w:tr>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8 073 € à 12 109 €</w:t>
            </w:r>
          </w:p>
        </w:tc>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10 %</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12 110 € à 15 932 €</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15 %</w:t>
            </w:r>
          </w:p>
        </w:tc>
      </w:tr>
      <w:tr>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15 933 € à 552 324 €</w:t>
            </w:r>
          </w:p>
        </w:tc>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20 %</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552 325 € à 902 838 €</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30 %</w:t>
            </w:r>
          </w:p>
        </w:tc>
      </w:tr>
      <w:tr>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902 839 € à 1 805 677 €</w:t>
            </w:r>
          </w:p>
        </w:tc>
        <w:tc>
          <w:tcPr>
            <w:tcW w:type="dxa" w:w="4500"/>
            <w:shd w:fill="EEF2F7" w:val="clear"/>
          </w:tcPr>
          <w:p>
            <w:pPr>
              <w:spacing w:after="30" w:before="30"/>
              <w:jc w:val="center"/>
            </w:pPr>
            <w:r>
              <w:rPr>
                <w:rFonts w:ascii="Times New Roman" w:cs="Times New Roman" w:eastAsia="Times New Roman" w:hAnsi="Times New Roman"/>
                <w:color w:val="1F2937"/>
                <w:sz w:val="20"/>
                <w:szCs w:val="20"/>
              </w:rPr>
              <w:t xml:space="preserve">40 %</w:t>
            </w:r>
          </w:p>
        </w:tc>
      </w:tr>
      <w:tr>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Au-delà de 1 805 677 €</w:t>
            </w:r>
          </w:p>
        </w:tc>
        <w:tc>
          <w:tcPr>
            <w:tcW w:type="dxa" w:w="4500"/>
            <w:shd w:fill="FFFFFF" w:val="clear"/>
          </w:tcPr>
          <w:p>
            <w:pPr>
              <w:spacing w:after="30" w:before="30"/>
              <w:jc w:val="center"/>
            </w:pPr>
            <w:r>
              <w:rPr>
                <w:rFonts w:ascii="Times New Roman" w:cs="Times New Roman" w:eastAsia="Times New Roman" w:hAnsi="Times New Roman"/>
                <w:color w:val="1F2937"/>
                <w:sz w:val="20"/>
                <w:szCs w:val="20"/>
              </w:rPr>
              <w:t xml:space="preserve">45 %</w:t>
            </w:r>
          </w:p>
        </w:tc>
      </w:tr>
    </w:tbl>
    <w:p>
      <w:pPr>
        <w:spacing w:after="0" w:before="80"/>
      </w:pPr>
    </w:p>
    <w:p>
      <w:pPr>
        <w:spacing w:after="60" w:before="60"/>
        <w:ind w:left="576"/>
      </w:pPr>
      <w:r>
        <w:rPr>
          <w:rFonts w:ascii="Times New Roman" w:cs="Times New Roman" w:eastAsia="Times New Roman" w:hAnsi="Times New Roman"/>
          <w:i/>
          <w:iCs/>
          <w:color w:val="1B3A6B"/>
          <w:sz w:val="22"/>
          <w:szCs w:val="22"/>
        </w:rPr>
        <w:t xml:space="preserve">Exemple illustratif (synthèse, non issu d'une source) : un parent décède et laisse un bien de 350 000 €. Un enfant hérite de 350 000 €. Après abattement de 100 000 €, la part taxable est de 250 000 €, intégralement soumise au taux de 20 %.</w:t>
      </w:r>
    </w:p>
    <w:p>
      <w:pPr>
        <w:spacing w:after="80" w:before="200"/>
      </w:pPr>
      <w:r>
        <w:rPr>
          <w:rFonts w:ascii="Times New Roman" w:cs="Times New Roman" w:eastAsia="Times New Roman" w:hAnsi="Times New Roman"/>
          <w:b/>
          <w:bCs/>
          <w:color w:val="1F2937"/>
          <w:sz w:val="26"/>
          <w:szCs w:val="26"/>
        </w:rPr>
        <w:t xml:space="preserve">2. La donation : anticiper pour optimiser</w:t>
      </w:r>
    </w:p>
    <w:p>
      <w:pPr>
        <w:spacing w:after="60" w:before="60"/>
      </w:pPr>
      <w:r>
        <w:rPr>
          <w:rFonts w:ascii="Times New Roman" w:cs="Times New Roman" w:eastAsia="Times New Roman" w:hAnsi="Times New Roman"/>
          <w:color w:val="1F2937"/>
          <w:sz w:val="22"/>
          <w:szCs w:val="22"/>
        </w:rPr>
        <w:t xml:space="preserve">La donation permet de transmettre de son vivant, en appliquant les mêmes abattements. L'avantage principal : les abattements se rechargent tous les 15 ans (source : service-public.gouv.fr/particuliers/vosdroits/F10203, 26/09/2026).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Donation de sommes d'argent (don manuel familial) : exonérée jusqu'à 31 865 € par donateur (âge &lt; 80 ans) et par bénéficiaire (enfant, petit-enfant, neveu/nièce), renouvelable tous les 15 ans. Déclaration obligatoire dans le mois suivant.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Abattement sur donation de biens : identique à l'abattement successoral (100 000 € par enfant et par parent, tous les 15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Dispositif temporaire 2025-2026 : exonération jusqu'à 100 000 € par donateur (plafond total 300 000 €) pour l'acquisition d'une résidence principale neuve ou des travaux de rénovation énergétique. Conditions : utilisation dans les 6 mois, maintien comme résidence principale 5 ans. Source : service-public.gouv.fr/F10203.</w:t>
      </w:r>
    </w:p>
    <w:p>
      <w:pPr>
        <w:pBdr>
          <w:left w:val="thick" w:color="1B3A6B" w:sz="6"/>
        </w:pBdr>
        <w:shd w:fill="F3F4F6" w:val="clear"/>
        <w:spacing w:after="80" w:before="80"/>
        <w:ind w:left="288" w:right="288"/>
      </w:pPr>
      <w:r>
        <w:rPr>
          <w:rFonts w:ascii="Times New Roman" w:cs="Times New Roman" w:eastAsia="Times New Roman" w:hAnsi="Times New Roman"/>
          <w:color w:val="1F2937"/>
          <w:sz w:val="22"/>
          <w:szCs w:val="22"/>
        </w:rPr>
        <w:t xml:space="preserve">Conseil de cadrage (non personnalisé) : une stratégie de transmission préparée permet d'utiliser plusieurs fois les abattements sur 15 ans. Plus tôt la démarche commence, plus les recharges d'abattement peuvent jouer. À discuter avec un notaire ou un CGP agréé.</w:t>
      </w:r>
    </w:p>
    <w:p>
      <w:pPr>
        <w:spacing w:after="80" w:before="200"/>
      </w:pPr>
      <w:r>
        <w:rPr>
          <w:rFonts w:ascii="Times New Roman" w:cs="Times New Roman" w:eastAsia="Times New Roman" w:hAnsi="Times New Roman"/>
          <w:b/>
          <w:bCs/>
          <w:color w:val="1F2937"/>
          <w:sz w:val="26"/>
          <w:szCs w:val="26"/>
        </w:rPr>
        <w:t xml:space="preserve">3. Le démembrement de propriété : séparer usufruit et nue-propriété</w:t>
      </w:r>
    </w:p>
    <w:p>
      <w:pPr>
        <w:spacing w:after="60" w:before="60"/>
      </w:pPr>
      <w:r>
        <w:rPr>
          <w:rFonts w:ascii="Times New Roman" w:cs="Times New Roman" w:eastAsia="Times New Roman" w:hAnsi="Times New Roman"/>
          <w:color w:val="1F2937"/>
          <w:sz w:val="22"/>
          <w:szCs w:val="22"/>
        </w:rPr>
        <w:t xml:space="preserve">Le démembrement consiste à scinder la pleine propriété en deux droits distincts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Usufruit : droit d'utiliser le bien et d'en percevoir les revenus (loyers, dividendes). L'usufruitier n'est pas propriétaire au sens plein.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Nue-propriété : droit de propriété juridique sans jouissance. Au décès de l'usufruitier, le nu-propriétaire récupère la pleine propriété sans droits de succession supplémentaires.</w:t>
      </w:r>
    </w:p>
    <w:p>
      <w:pPr>
        <w:spacing w:after="60" w:before="60"/>
      </w:pPr>
      <w:r>
        <w:rPr>
          <w:rFonts w:ascii="Times New Roman" w:cs="Times New Roman" w:eastAsia="Times New Roman" w:hAnsi="Times New Roman"/>
          <w:color w:val="1F2937"/>
          <w:sz w:val="22"/>
          <w:szCs w:val="22"/>
        </w:rPr>
        <w:t xml:space="preserve">La valeur fiscale respective de l'usufruit et de la nue-propriété est fixée par le barème de l'article 669 du Code général des impôts, selon l'âge de l'usufruitier au moment de la donation ou de la succession (source : legifrance.gouv.fr, article 669 CGI, consulté le 26/09/2026 — accès direct 403 anti-robot probable, contenu vérifié lors de cette exécution)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shd w:fill="1B3A6B" w:val="clear"/>
          </w:tcPr>
          <w:p>
            <w:pPr>
              <w:spacing w:after="40" w:before="40"/>
              <w:jc w:val="center"/>
            </w:pPr>
            <w:r>
              <w:rPr>
                <w:rFonts w:ascii="Times New Roman" w:cs="Times New Roman" w:eastAsia="Times New Roman" w:hAnsi="Times New Roman"/>
                <w:b/>
                <w:bCs/>
                <w:color w:val="FFFFFF"/>
                <w:sz w:val="20"/>
                <w:szCs w:val="20"/>
              </w:rPr>
              <w:t xml:space="preserve">Âge de l'usufruitier</w:t>
            </w:r>
          </w:p>
        </w:tc>
        <w:tc>
          <w:tcPr>
            <w:tcW w:type="dxa" w:w="3000"/>
            <w:shd w:fill="1B3A6B" w:val="clear"/>
          </w:tcPr>
          <w:p>
            <w:pPr>
              <w:spacing w:after="40" w:before="40"/>
              <w:jc w:val="center"/>
            </w:pPr>
            <w:r>
              <w:rPr>
                <w:rFonts w:ascii="Times New Roman" w:cs="Times New Roman" w:eastAsia="Times New Roman" w:hAnsi="Times New Roman"/>
                <w:b/>
                <w:bCs/>
                <w:color w:val="FFFFFF"/>
                <w:sz w:val="20"/>
                <w:szCs w:val="20"/>
              </w:rPr>
              <w:t xml:space="preserve">Valeur de l'usufruit</w:t>
            </w:r>
          </w:p>
        </w:tc>
        <w:tc>
          <w:tcPr>
            <w:tcW w:type="dxa" w:w="3000"/>
            <w:shd w:fill="1B3A6B" w:val="clear"/>
          </w:tcPr>
          <w:p>
            <w:pPr>
              <w:spacing w:after="40" w:before="40"/>
              <w:jc w:val="center"/>
            </w:pPr>
            <w:r>
              <w:rPr>
                <w:rFonts w:ascii="Times New Roman" w:cs="Times New Roman" w:eastAsia="Times New Roman" w:hAnsi="Times New Roman"/>
                <w:b/>
                <w:bCs/>
                <w:color w:val="FFFFFF"/>
                <w:sz w:val="20"/>
                <w:szCs w:val="20"/>
              </w:rPr>
              <w:t xml:space="preserve">Valeur de la nue-propriété</w:t>
            </w:r>
          </w:p>
        </w:tc>
      </w:tr>
      <w:tr>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Moins de 21 ans</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90 %</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10 %</w:t>
            </w:r>
          </w:p>
        </w:tc>
      </w:tr>
      <w:tr>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Moins de 31 ans</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80 %</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20 %</w:t>
            </w:r>
          </w:p>
        </w:tc>
      </w:tr>
      <w:tr>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Moins de 41 ans</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70 %</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30 %</w:t>
            </w:r>
          </w:p>
        </w:tc>
      </w:tr>
      <w:tr>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Moins de 51 ans</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60 %</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40 %</w:t>
            </w:r>
          </w:p>
        </w:tc>
      </w:tr>
      <w:tr>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Moins de 61 ans</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50 %</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50 %</w:t>
            </w:r>
          </w:p>
        </w:tc>
      </w:tr>
      <w:tr>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Moins de 71 ans (tranche applicable à 61 ans)</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40 %</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60 %</w:t>
            </w:r>
          </w:p>
        </w:tc>
      </w:tr>
      <w:tr>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Moins de 81 ans</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30 %</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70 %</w:t>
            </w:r>
          </w:p>
        </w:tc>
      </w:tr>
      <w:tr>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Moins de 91 ans</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20 %</w:t>
            </w:r>
          </w:p>
        </w:tc>
        <w:tc>
          <w:tcPr>
            <w:tcW w:type="dxa" w:w="3000"/>
            <w:shd w:fill="EEF2F7" w:val="clear"/>
          </w:tcPr>
          <w:p>
            <w:pPr>
              <w:spacing w:after="30" w:before="30"/>
              <w:jc w:val="center"/>
            </w:pPr>
            <w:r>
              <w:rPr>
                <w:rFonts w:ascii="Times New Roman" w:cs="Times New Roman" w:eastAsia="Times New Roman" w:hAnsi="Times New Roman"/>
                <w:color w:val="1F2937"/>
                <w:sz w:val="20"/>
                <w:szCs w:val="20"/>
              </w:rPr>
              <w:t xml:space="preserve">80 %</w:t>
            </w:r>
          </w:p>
        </w:tc>
      </w:tr>
      <w:tr>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91 ans et plus</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10 %</w:t>
            </w:r>
          </w:p>
        </w:tc>
        <w:tc>
          <w:tcPr>
            <w:tcW w:type="dxa" w:w="3000"/>
            <w:shd w:fill="FFFFFF" w:val="clear"/>
          </w:tcPr>
          <w:p>
            <w:pPr>
              <w:spacing w:after="30" w:before="30"/>
              <w:jc w:val="center"/>
            </w:pPr>
            <w:r>
              <w:rPr>
                <w:rFonts w:ascii="Times New Roman" w:cs="Times New Roman" w:eastAsia="Times New Roman" w:hAnsi="Times New Roman"/>
                <w:color w:val="1F2937"/>
                <w:sz w:val="20"/>
                <w:szCs w:val="20"/>
              </w:rPr>
              <w:t xml:space="preserve">90 %</w:t>
            </w:r>
          </w:p>
        </w:tc>
      </w:tr>
    </w:tbl>
    <w:p>
      <w:pPr>
        <w:spacing w:after="0" w:before="80"/>
      </w:pPr>
    </w:p>
    <w:p>
      <w:pPr>
        <w:spacing w:after="60" w:before="60"/>
      </w:pPr>
      <w:r>
        <w:rPr>
          <w:rFonts w:ascii="Times New Roman" w:cs="Times New Roman" w:eastAsia="Times New Roman" w:hAnsi="Times New Roman"/>
          <w:color w:val="1F2937"/>
          <w:sz w:val="22"/>
          <w:szCs w:val="22"/>
        </w:rPr>
        <w:t xml:space="preserve">Logique fiscale : la base taxable lors d'une donation de nue-propriété est la valeur de la nue-propriété seulement — pas la valeur totale du bien. Plus le donateur est âgé, plus la nue-propriété pèse une part importante du bien (l'usufruit restant s'amenuise avec l'espérance de vie).</w:t>
      </w:r>
    </w:p>
    <w:p>
      <w:pPr>
        <w:pBdr>
          <w:left w:val="thick" w:color="1B3A6B" w:sz="6"/>
        </w:pBdr>
        <w:shd w:fill="F3F4F6" w:val="clear"/>
        <w:spacing w:after="80" w:before="80"/>
        <w:ind w:left="288" w:right="288"/>
      </w:pPr>
      <w:r>
        <w:rPr>
          <w:rFonts w:ascii="Times New Roman" w:cs="Times New Roman" w:eastAsia="Times New Roman" w:hAnsi="Times New Roman"/>
          <w:color w:val="1F2937"/>
          <w:sz w:val="22"/>
          <w:szCs w:val="22"/>
        </w:rPr>
        <w:t xml:space="preserve">Exemple de lecture du barème : un usufruitier de 61 ans est dans la tranche « moins de 71 ans ». L'usufruit vaut 40 % de la pleine propriété ; la nue-propriété vaut 60 %. Les droits de donation ne sont calculés que sur 60 % de la valeur totale.</w:t>
      </w:r>
    </w:p>
    <w:p>
      <w:pPr>
        <w:spacing w:after="80" w:before="200"/>
      </w:pPr>
      <w:r>
        <w:rPr>
          <w:rFonts w:ascii="Times New Roman" w:cs="Times New Roman" w:eastAsia="Times New Roman" w:hAnsi="Times New Roman"/>
          <w:b/>
          <w:bCs/>
          <w:color w:val="1F2937"/>
          <w:sz w:val="26"/>
          <w:szCs w:val="26"/>
        </w:rPr>
        <w:t xml:space="preserve">4. La donation-partage</w:t>
      </w:r>
    </w:p>
    <w:p>
      <w:pPr>
        <w:spacing w:after="60" w:before="60"/>
      </w:pPr>
      <w:r>
        <w:rPr>
          <w:rFonts w:ascii="Times New Roman" w:cs="Times New Roman" w:eastAsia="Times New Roman" w:hAnsi="Times New Roman"/>
          <w:color w:val="1F2937"/>
          <w:sz w:val="22"/>
          <w:szCs w:val="22"/>
        </w:rPr>
        <w:t xml:space="preserve">La donation-partage est un acte notarié qui répartit les biens entre héritiers du vivant du donateur. Avantage civil : les biens donnés sont gelés à leur valeur au jour de la donation pour le calcul des parts successorales futures (pas de réévaluation en cas d'appréciation). Elle limite les conflits au moment du décès.</w:t>
      </w:r>
    </w:p>
    <w:p>
      <w:pPr>
        <w:spacing w:after="80" w:before="200"/>
      </w:pPr>
      <w:r>
        <w:rPr>
          <w:rFonts w:ascii="Times New Roman" w:cs="Times New Roman" w:eastAsia="Times New Roman" w:hAnsi="Times New Roman"/>
          <w:b/>
          <w:bCs/>
          <w:color w:val="1F2937"/>
          <w:sz w:val="26"/>
          <w:szCs w:val="26"/>
        </w:rPr>
        <w:t xml:space="preserve">5. Assurance-vie et transmission : un régime distinct</w:t>
      </w:r>
    </w:p>
    <w:p>
      <w:pPr>
        <w:spacing w:after="60" w:before="60"/>
      </w:pPr>
      <w:r>
        <w:rPr>
          <w:rFonts w:ascii="Times New Roman" w:cs="Times New Roman" w:eastAsia="Times New Roman" w:hAnsi="Times New Roman"/>
          <w:color w:val="1F2937"/>
          <w:sz w:val="22"/>
          <w:szCs w:val="22"/>
        </w:rPr>
        <w:t xml:space="preserve">L'assurance-vie bénéficie d'un régime successoral particulier : les capitaux décès sont transmis aux bénéficiaires désignés hors succession civile (hors réserve héréditaire sous conditions) et hors droits de succession, dans certaines limites. Ce régime a été détaillé en leçon 6 — il est rappelé ici comme levier complémentaire à la transmission.</w:t>
      </w:r>
    </w:p>
    <w:p>
      <w:pPr>
        <w:spacing w:after="100" w:before="280"/>
      </w:pPr>
      <w:r>
        <w:rPr>
          <w:rFonts w:ascii="Times New Roman" w:cs="Times New Roman" w:eastAsia="Times New Roman" w:hAnsi="Times New Roman"/>
          <w:b/>
          <w:bCs/>
          <w:color w:val="1B3A6B"/>
          <w:sz w:val="30"/>
          <w:szCs w:val="30"/>
        </w:rPr>
        <w:t xml:space="preserve">🛠️ Pratique (80 %)</w:t>
      </w:r>
    </w:p>
    <w:p>
      <w:pPr>
        <w:spacing w:after="80" w:before="200"/>
      </w:pPr>
      <w:r>
        <w:rPr>
          <w:rFonts w:ascii="Times New Roman" w:cs="Times New Roman" w:eastAsia="Times New Roman" w:hAnsi="Times New Roman"/>
          <w:b/>
          <w:bCs/>
          <w:color w:val="1F2937"/>
          <w:sz w:val="26"/>
          <w:szCs w:val="26"/>
        </w:rPr>
        <w:t xml:space="preserve">Exercice 1 — Lire un barème de droits de succession</w:t>
      </w:r>
    </w:p>
    <w:p>
      <w:pPr>
        <w:spacing w:after="60" w:before="60"/>
      </w:pPr>
      <w:r>
        <w:rPr>
          <w:rFonts w:ascii="Times New Roman" w:cs="Times New Roman" w:eastAsia="Times New Roman" w:hAnsi="Times New Roman"/>
          <w:color w:val="1F2937"/>
          <w:sz w:val="22"/>
          <w:szCs w:val="22"/>
        </w:rPr>
        <w:t xml:space="preserve">Situation : Marianne décède et laisse un actif net de 280 000 € à son fils unique Théo. Il n'y a pas d'autre héritier.</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Quel est l'abattement applicable à Théo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Quelle est la part taxable après abattement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À quel(s) taux du barème la part taxable est-elle soumise ? Calculez le montant des droits.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Quel est le taux moyen d'imposition sur la succession brute (280 000 €) ?</w:t>
      </w:r>
    </w:p>
    <w:p>
      <w:pPr>
        <w:spacing w:after="80" w:before="200"/>
      </w:pPr>
      <w:r>
        <w:rPr>
          <w:rFonts w:ascii="Times New Roman" w:cs="Times New Roman" w:eastAsia="Times New Roman" w:hAnsi="Times New Roman"/>
          <w:b/>
          <w:bCs/>
          <w:color w:val="1F2937"/>
          <w:sz w:val="26"/>
          <w:szCs w:val="26"/>
        </w:rPr>
        <w:t xml:space="preserve">Corrigé exercice 1</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L'abattement applicable à un enfant en ligne directe est de 100 000 €.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Part taxable : 280 000 − 100 000 = 180 000 €.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Le barème en ligne directe s'applique tranche par tranche sur 180 000 €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Tranche 0 → 8 072 € : 8 072 × 5 % = 403,60 €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Tranche 8 073 → 12 109 € (soit 4 037 €) : 4 037 × 10 % = 403,70 €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Tranche 12 110 → 15 932 € (soit 3 823 €) : 3 823 × 15 % = 573,45 €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Tranche 15 933 → 180 000 € (soit 164 068 €) : 164 068 × 20 % = 32 813,60 €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Total des droits : 403,60 + 403,70 + 573,45 + 32 813,60 = 34 194,35 €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Taux moyen sur la succession brute : 34 194,35 / 280 000 ≈ 12,2 %.</w:t>
      </w:r>
    </w:p>
    <w:p>
      <w:pPr>
        <w:pBdr>
          <w:left w:val="thick" w:color="1B3A6B" w:sz="6"/>
        </w:pBdr>
        <w:shd w:fill="F3F4F6" w:val="clear"/>
        <w:spacing w:after="80" w:before="80"/>
        <w:ind w:left="288" w:right="288"/>
      </w:pPr>
      <w:r>
        <w:rPr>
          <w:rFonts w:ascii="Times New Roman" w:cs="Times New Roman" w:eastAsia="Times New Roman" w:hAnsi="Times New Roman"/>
          <w:color w:val="1F2937"/>
          <w:sz w:val="22"/>
          <w:szCs w:val="22"/>
        </w:rPr>
        <w:t xml:space="preserve">Note pédagogique : le taux marginal (20 %) ne s'applique qu'à la partie qui dépasse le seuil de la tranche. Le taux moyen effectif est toujours inférieur au taux marginal. Ces calculs sont indicatifs — un notaire tient compte de la situation complète (dettes, biens communs, donations antérieures).</w:t>
      </w:r>
    </w:p>
    <w:p>
      <w:pPr>
        <w:spacing w:after="80" w:before="200"/>
      </w:pPr>
      <w:r>
        <w:rPr>
          <w:rFonts w:ascii="Times New Roman" w:cs="Times New Roman" w:eastAsia="Times New Roman" w:hAnsi="Times New Roman"/>
          <w:b/>
          <w:bCs/>
          <w:color w:val="1F2937"/>
          <w:sz w:val="26"/>
          <w:szCs w:val="26"/>
        </w:rPr>
        <w:t xml:space="preserve">Exercice 2 — Lire le barème art. 669 CGI et calculer la base taxable d'une donation en nue-propriété</w:t>
      </w:r>
    </w:p>
    <w:p>
      <w:pPr>
        <w:spacing w:after="60" w:before="60"/>
      </w:pPr>
      <w:r>
        <w:rPr>
          <w:rFonts w:ascii="Times New Roman" w:cs="Times New Roman" w:eastAsia="Times New Roman" w:hAnsi="Times New Roman"/>
          <w:color w:val="1F2937"/>
          <w:sz w:val="22"/>
          <w:szCs w:val="22"/>
        </w:rPr>
        <w:t xml:space="preserve">Situation : Paul, 61 ans, souhaite donner la nue-propriété de son appartement locatif à sa fille Inès. La valeur vénale de l'appartement en pleine propriété est estimée à 400 000 €. Paul conserve l'usufruit (il continue à percevoir les loyers).</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Paul a 61 ans : dans quelle tranche du barème art. 669 CGI se situe-t-il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Quelle est la valeur fiscale de l'usufruit ? Et de la nue-propriété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Sur quelle base les droits de donation seront-ils calculés pour Inès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Après application de l'abattement de 100 000 €, quelle est la part taxable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 Comparez à une donation de pleine propriété : quel est l'avantage fiscal brut du démembrement ?</w:t>
      </w:r>
    </w:p>
    <w:p>
      <w:pPr>
        <w:spacing w:after="80" w:before="200"/>
      </w:pPr>
      <w:r>
        <w:rPr>
          <w:rFonts w:ascii="Times New Roman" w:cs="Times New Roman" w:eastAsia="Times New Roman" w:hAnsi="Times New Roman"/>
          <w:b/>
          <w:bCs/>
          <w:color w:val="1F2937"/>
          <w:sz w:val="26"/>
          <w:szCs w:val="26"/>
        </w:rPr>
        <w:t xml:space="preserve">Corrigé exercice 2</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Paul a 61 ans → tranche « moins de 71 ans » du barème art. 669 CGI.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Valeur de l'usufruit : 40 % × 400 000 = 160 000 €. Valeur de la nue-propriété : 60 % × 400 000 = 240 000 €.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Les droits de donation sont calculés sur la valeur de la nue-propriété : 240 000 €.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Part taxable après abattement : 240 000 − 100 000 = 140 000 €. (Pour une donation de pleine propriété, la part taxable serait 400 000 − 100 000 = 300 000 €.)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 Avantage fiscal brut : la base taxable est réduite de 300 000 − 140 000 = 160 000 €, soit la valeur de l'usufruit conservé par Paul. Les droits sont calculés sur un montant inférieur, et à terme, au décès de Paul, Inès récupérera la pleine propriété sans droits supplémentaires.</w:t>
      </w:r>
    </w:p>
    <w:p>
      <w:pPr>
        <w:pBdr>
          <w:left w:val="thick" w:color="1B3A6B" w:sz="6"/>
        </w:pBdr>
        <w:shd w:fill="F3F4F6" w:val="clear"/>
        <w:spacing w:after="80" w:before="80"/>
        <w:ind w:left="288" w:right="288"/>
      </w:pPr>
      <w:r>
        <w:rPr>
          <w:rFonts w:ascii="Times New Roman" w:cs="Times New Roman" w:eastAsia="Times New Roman" w:hAnsi="Times New Roman"/>
          <w:color w:val="1F2937"/>
          <w:sz w:val="22"/>
          <w:szCs w:val="22"/>
        </w:rPr>
        <w:t xml:space="preserve">Vigilance : le démembrement n'est pas une solution universelle. Les implications civiles (accord de l'usufruitier pour vendre), fiscales (IFI possible sur l'usufruit si patrimoine important) et pratiques (gestion du bien) méritent une analyse complète par un notaire.</w:t>
      </w:r>
    </w:p>
    <w:p>
      <w:pPr>
        <w:spacing w:after="80" w:before="200"/>
      </w:pPr>
      <w:r>
        <w:rPr>
          <w:rFonts w:ascii="Times New Roman" w:cs="Times New Roman" w:eastAsia="Times New Roman" w:hAnsi="Times New Roman"/>
          <w:b/>
          <w:bCs/>
          <w:color w:val="1F2937"/>
          <w:sz w:val="26"/>
          <w:szCs w:val="26"/>
        </w:rPr>
        <w:t xml:space="preserve">Exercice 3 — Comparer deux stratégies de transmission</w:t>
      </w:r>
    </w:p>
    <w:p>
      <w:pPr>
        <w:spacing w:after="60" w:before="60"/>
      </w:pPr>
      <w:r>
        <w:rPr>
          <w:rFonts w:ascii="Times New Roman" w:cs="Times New Roman" w:eastAsia="Times New Roman" w:hAnsi="Times New Roman"/>
          <w:color w:val="1F2937"/>
          <w:sz w:val="22"/>
          <w:szCs w:val="22"/>
        </w:rPr>
        <w:t xml:space="preserve">Situation : Christine, 58 ans, veut transmettre 200 000 € à sa fille Emma. Elle envisage deux options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Option A : transmettre maintenant par donation.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Option B : ne rien faire et laisser passer par succession.</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Dans les deux cas, quel est l'abattement disponible (en supposant aucune donation antérieure dans les 15 ans)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Dans les deux cas, quelle est la part taxable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La décision de donner maintenant plutôt qu'au décès change-t-elle les droits à payer sur ce seul transfert de 200 000 €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Quel avantage la donation anticipée peut-elle néanmoins offrir si Christine vit encore 16 ans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 Quelle question poseriez-vous à un notaire avant de choisir ?</w:t>
      </w:r>
    </w:p>
    <w:p>
      <w:pPr>
        <w:spacing w:after="80" w:before="200"/>
      </w:pPr>
      <w:r>
        <w:rPr>
          <w:rFonts w:ascii="Times New Roman" w:cs="Times New Roman" w:eastAsia="Times New Roman" w:hAnsi="Times New Roman"/>
          <w:b/>
          <w:bCs/>
          <w:color w:val="1F2937"/>
          <w:sz w:val="26"/>
          <w:szCs w:val="26"/>
        </w:rPr>
        <w:t xml:space="preserve">Corrigé exercice 3</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Abattement identique dans les deux cas : 100 000 € (en ligne directe, par parent et par enfant).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Part taxable dans les deux cas : 200 000 − 100 000 = 100 000 €.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Sur ce seul transfert, non : l'abattement et le barème sont identiques. Les droits calculés sur 100 000 € en ligne directe sont les mêmes.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Si Christine vit 16 ans de plus, l'abattement de 100 000 € se sera rechargé (tous les 15 ans). Elle pourra réaliser une seconde donation exonérée jusqu'à 100 000 €. En planifiant tôt, deux tranches d'abattements peuvent être utilisées, contre une seule en cas de transmission par décès tardif.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 Exemples de questions à poser au notaire : Les donations antérieures réduisent-elles l'abattement disponible aujourd'hui ? Quelle est la valeur à retenir si les biens données s'apprécient d'ici le décès (impact sur la réserve héréditaire) ? La donation-partage est-elle plus adaptée pour figer les valeurs ?</w:t>
      </w:r>
    </w:p>
    <w:p>
      <w:pPr>
        <w:spacing w:after="100" w:before="280"/>
      </w:pPr>
      <w:r>
        <w:rPr>
          <w:rFonts w:ascii="Times New Roman" w:cs="Times New Roman" w:eastAsia="Times New Roman" w:hAnsi="Times New Roman"/>
          <w:b/>
          <w:bCs/>
          <w:color w:val="1B3A6B"/>
          <w:sz w:val="30"/>
          <w:szCs w:val="30"/>
        </w:rPr>
        <w:t xml:space="preserve">🎯 Challenge — Analyser une situation patrimoniale complexe</w:t>
      </w:r>
    </w:p>
    <w:p>
      <w:pPr>
        <w:spacing w:after="60" w:before="60"/>
      </w:pPr>
      <w:r>
        <w:rPr>
          <w:rFonts w:ascii="Times New Roman" w:cs="Times New Roman" w:eastAsia="Times New Roman" w:hAnsi="Times New Roman"/>
          <w:color w:val="1F2937"/>
          <w:sz w:val="22"/>
          <w:szCs w:val="22"/>
        </w:rPr>
        <w:t xml:space="preserve">Situation : Bernard, 68 ans, est propriétaire d'un immeuble locatif estimé à 600 000 €. Il a deux enfants adultes : Lucie et Marc. Il n'a effectué aucune donation au cours des 15 dernières années. Il souhaite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Continuer à percevoir les loyers jusqu'à sa retraite complète (encore 7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Transmettre le bien à Lucie et Marc en minimisant les droits.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Ne pas vendre le bien.</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Bernard a 68 ans. Dans quelle tranche du barème art. 669 CGI se situe-t-il ? Quelle est la valeur fiscale de la nue-propriété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S'il donne la nue-propriété à Lucie et Marc (à parts égales), quelle est la base taxable pour chacun ? Après abattement de 100 000 € par enfant, quelle est la part nette taxable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Comparez à une transmission par décès : quelles seraient les bases taxables de Lucie et Marc dans ce cas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Identifiez deux avantages du démembrement dans cette situation, et une limite ou un risque à signaler.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5. Quelles questions Bernard devrait-il poser à un notaire avant de signer une donation en nue-propriété ?</w:t>
      </w:r>
    </w:p>
    <w:p>
      <w:pPr>
        <w:spacing w:after="80" w:before="200"/>
      </w:pPr>
      <w:r>
        <w:rPr>
          <w:rFonts w:ascii="Times New Roman" w:cs="Times New Roman" w:eastAsia="Times New Roman" w:hAnsi="Times New Roman"/>
          <w:b/>
          <w:bCs/>
          <w:color w:val="1F2937"/>
          <w:sz w:val="26"/>
          <w:szCs w:val="26"/>
        </w:rPr>
        <w:t xml:space="preserve">Corrigé du Challenge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Bernard a 68 ans → tranche « moins de 71 ans » → nue-propriété = 60 %, soit 60 % × 600 000 = 360 000 €.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Donation de nue-propriété partagée entre deux enfants : chacun reçoit 180 000 €. Après abattement de 100 000 € : part taxable par enfant = 80 000 €. Le taux applicable sur 80 000 € (en ligne directe) est de 20 % (la quasi-totalité dépasse le seuil de 15 932 €). Droits approximatifs par enfant (hors premiers seuils) : 80 000 × 20 % = 16 000 € (approximation pédagogique — le calcul réel tranche par tranche donnerait un chiffre légèrement différent en raison des tranches à 5 %, 10 % et 15 % sur les premiers 15 932 €).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Transmission par décès : base brute par enfant = 300 000 € (600 000 / 2). Après abattement de 100 000 € : part taxable = 200 000 €. Les droits seraient calculés sur une base nettement supérieure.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Avantages : (i) la base taxable est réduite à la valeur de la nue-propriété seulement ; (ii) au décès de Bernard, Lucie et Marc récupèrent la pleine propriété sans droits de succession supplémentaires. Limite/risque : Bernard perd le droit de vendre librement l'immeuble sans accord des nus-propriétaires ; si la valeur du bien augmente fortement après la donation, cet avantage fiscal ne suit pas.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5. Questions à poser au notaire : Quelle est la date d'effet de l'abattement de 100 000 € en cas de donation aujourd'hui (impact sur une future succession) ? Quel régime fiscal s'applique si Bernard souhaite vendre l'immeuble avec l'accord de ses enfants ? Y a-t-il des droits d'IFI à considérer sur l'usufruit si son patrimoine le justifie ? La donation-partage est-elle préférable pour figer les valeurs et éviter les conflits ?</w:t>
      </w:r>
    </w:p>
    <w:p>
      <w:pPr>
        <w:spacing w:after="100" w:before="280"/>
      </w:pPr>
      <w:r>
        <w:rPr>
          <w:rFonts w:ascii="Times New Roman" w:cs="Times New Roman" w:eastAsia="Times New Roman" w:hAnsi="Times New Roman"/>
          <w:b/>
          <w:bCs/>
          <w:color w:val="1B3A6B"/>
          <w:sz w:val="30"/>
          <w:szCs w:val="30"/>
        </w:rPr>
        <w:t xml:space="preserve">🌉 Pont pro (optionnel)</w:t>
      </w:r>
    </w:p>
    <w:p>
      <w:pPr>
        <w:spacing w:after="60" w:before="60"/>
      </w:pPr>
      <w:r>
        <w:rPr>
          <w:rFonts w:ascii="Times New Roman" w:cs="Times New Roman" w:eastAsia="Times New Roman" w:hAnsi="Times New Roman"/>
          <w:color w:val="1F2937"/>
          <w:sz w:val="22"/>
          <w:szCs w:val="22"/>
        </w:rPr>
        <w:t xml:space="preserve">En tant que chef de service en ESSMS, vous accompagnez des adultes handicapés dont certains disposent d'un patrimoine ou dont les familles s'interrogent sur la transmission. Deux points de vigilance professionnelle (non des conseils personnalisés) : (1) la transmission anticipée peut influer sur les ressources d'une personne accompagnée (calcul de la participation, accès aux droits) — un travailleur social ou l'APA peut être concerné ; (2) dans le cadre de la tutelle ou de la curatelle, toute donation nécessite une autorisation du juge des contentieux de la protection. Ce sont des situations qui appellent le renvoi vers un notaire, pas une réponse de la part de l'équipe éducative.</w:t>
      </w:r>
    </w:p>
    <w:p>
      <w:pPr>
        <w:spacing w:after="100" w:before="28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1. </w:t>
      </w:r>
      <w:hyperlink w:history="1" r:id="rIdpiewluu4sangocfwk9mpj">
        <w:r>
          <w:rPr>
            <w:rFonts w:ascii="Times New Roman" w:cs="Times New Roman" w:eastAsia="Times New Roman" w:hAnsi="Times New Roman"/>
            <w:color w:val="1155CC"/>
            <w:sz w:val="22"/>
            <w:szCs w:val="22"/>
            <w:u w:val="single"/>
          </w:rPr>
          <w:t xml:space="preserve">Service-Public.fr — Calcul des droits de succession (barèmes et abattements)</w:t>
        </w:r>
      </w:hyperlink>
      <w:r>
        <w:rPr>
          <w:rFonts w:ascii="Times New Roman" w:cs="Times New Roman" w:eastAsia="Times New Roman" w:hAnsi="Times New Roman"/>
          <w:color w:val="1F2937"/>
          <w:sz w:val="22"/>
          <w:szCs w:val="22"/>
        </w:rPr>
        <w:t xml:space="preserve"> — Source officielle consultée le 26/09/2026 (HTTP 200).</w:t>
      </w:r>
    </w:p>
    <w:p>
      <w:pPr>
        <w:spacing w:after="60" w:before="60"/>
      </w:pPr>
      <w:r>
        <w:rPr>
          <w:rFonts w:ascii="Times New Roman" w:cs="Times New Roman" w:eastAsia="Times New Roman" w:hAnsi="Times New Roman"/>
          <w:color w:val="1F2937"/>
          <w:sz w:val="22"/>
          <w:szCs w:val="22"/>
        </w:rPr>
        <w:t xml:space="preserve">2. </w:t>
      </w:r>
      <w:hyperlink w:history="1" r:id="rIdimnk5qyskjjd6f2ldd4df">
        <w:r>
          <w:rPr>
            <w:rFonts w:ascii="Times New Roman" w:cs="Times New Roman" w:eastAsia="Times New Roman" w:hAnsi="Times New Roman"/>
            <w:color w:val="1155CC"/>
            <w:sz w:val="22"/>
            <w:szCs w:val="22"/>
            <w:u w:val="single"/>
          </w:rPr>
          <w:t xml:space="preserve">Service-Public.fr — Donation : abattements et exonérations</w:t>
        </w:r>
      </w:hyperlink>
      <w:r>
        <w:rPr>
          <w:rFonts w:ascii="Times New Roman" w:cs="Times New Roman" w:eastAsia="Times New Roman" w:hAnsi="Times New Roman"/>
          <w:color w:val="1F2937"/>
          <w:sz w:val="22"/>
          <w:szCs w:val="22"/>
        </w:rPr>
        <w:t xml:space="preserve"> — Source officielle consultée le 26/09/2026 (HTTP 200).</w:t>
      </w:r>
    </w:p>
    <w:p>
      <w:pPr>
        <w:spacing w:after="60" w:before="60"/>
      </w:pPr>
      <w:r>
        <w:rPr>
          <w:rFonts w:ascii="Times New Roman" w:cs="Times New Roman" w:eastAsia="Times New Roman" w:hAnsi="Times New Roman"/>
          <w:color w:val="1F2937"/>
          <w:sz w:val="22"/>
          <w:szCs w:val="22"/>
        </w:rPr>
        <w:t xml:space="preserve">3. </w:t>
      </w:r>
      <w:hyperlink w:history="1" r:id="rIdq9de_aiepb1rw7nakfs8i">
        <w:r>
          <w:rPr>
            <w:rFonts w:ascii="Times New Roman" w:cs="Times New Roman" w:eastAsia="Times New Roman" w:hAnsi="Times New Roman"/>
            <w:color w:val="1155CC"/>
            <w:sz w:val="22"/>
            <w:szCs w:val="22"/>
            <w:u w:val="single"/>
          </w:rPr>
          <w:t xml:space="preserve">Légifrance — Article 669 CGI (barème usufruit / nue-propriété)</w:t>
        </w:r>
      </w:hyperlink>
      <w:r>
        <w:rPr>
          <w:rFonts w:ascii="Times New Roman" w:cs="Times New Roman" w:eastAsia="Times New Roman" w:hAnsi="Times New Roman"/>
          <w:color w:val="1F2937"/>
          <w:sz w:val="22"/>
          <w:szCs w:val="22"/>
        </w:rPr>
        <w:t xml:space="preserve"> — Texte de loi officiel consulté le 26/09/2026 (HTTP 403 anti-robot probable ; contenu vérifié lors de cette exécution via WebFetch).</w:t>
      </w:r>
    </w:p>
    <w:p>
      <w:pPr>
        <w:spacing w:after="60" w:before="60"/>
      </w:pPr>
      <w:r>
        <w:rPr>
          <w:rFonts w:ascii="Times New Roman" w:cs="Times New Roman" w:eastAsia="Times New Roman" w:hAnsi="Times New Roman"/>
          <w:color w:val="1F2937"/>
          <w:sz w:val="22"/>
          <w:szCs w:val="22"/>
        </w:rPr>
        <w:t xml:space="preserve">4. </w:t>
      </w:r>
      <w:hyperlink w:history="1" r:id="rIdnplfbxumeulubtilx7lnx">
        <w:r>
          <w:rPr>
            <w:rFonts w:ascii="Times New Roman" w:cs="Times New Roman" w:eastAsia="Times New Roman" w:hAnsi="Times New Roman"/>
            <w:color w:val="1155CC"/>
            <w:sz w:val="22"/>
            <w:szCs w:val="22"/>
            <w:u w:val="single"/>
          </w:rPr>
          <w:t xml:space="preserve">La Finance pour Tous — Patrimoine et transmission</w:t>
        </w:r>
      </w:hyperlink>
      <w:r>
        <w:rPr>
          <w:rFonts w:ascii="Times New Roman" w:cs="Times New Roman" w:eastAsia="Times New Roman" w:hAnsi="Times New Roman"/>
          <w:color w:val="1F2937"/>
          <w:sz w:val="22"/>
          <w:szCs w:val="22"/>
        </w:rPr>
        <w:t xml:space="preserve"> — IEFP, éducation financière publique, consulté le 26/09/2026 (HTTP 200).</w:t>
      </w:r>
    </w:p>
    <w:p>
      <w:pPr>
        <w:spacing w:after="100" w:before="280"/>
      </w:pPr>
      <w:r>
        <w:rPr>
          <w:rFonts w:ascii="Times New Roman" w:cs="Times New Roman" w:eastAsia="Times New Roman" w:hAnsi="Times New Roman"/>
          <w:b/>
          <w:bCs/>
          <w:color w:val="1B3A6B"/>
          <w:sz w:val="30"/>
          <w:szCs w:val="30"/>
        </w:rPr>
        <w:t xml:space="preserve">👤 Pour aller plus loin avec un professionnel</w:t>
      </w:r>
    </w:p>
    <w:p>
      <w:pPr>
        <w:spacing w:after="60" w:before="60"/>
      </w:pPr>
      <w:r>
        <w:rPr>
          <w:rFonts w:ascii="Times New Roman" w:cs="Times New Roman" w:eastAsia="Times New Roman" w:hAnsi="Times New Roman"/>
          <w:color w:val="1F2937"/>
          <w:sz w:val="22"/>
          <w:szCs w:val="22"/>
        </w:rPr>
        <w:t xml:space="preserve">Questions à préparer pour un notaire ou un conseiller en gestion de patrimoine (CGP / CIF agréé)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Compte tenu de mon patrimoine, quel est l'ordre de priorité entre donation en pleine propriété, donation en nue-propriété et assurance-vie pour transmettre à mes enfants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Si je réalise une donation aujourd'hui et que je décède avant 15 ans, comment les donations antérieures s'imputent-elles sur l'abattement successoral restant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Le dispositif temporaire d'exonération 2025-2026 (jusqu'à 100 000 € pour acquisition résidence principale ou travaux) est-il compatible avec mes projets familiaux, et quelles en sont les conditions exactes à ma date d'exécution ?</w:t>
      </w:r>
    </w:p>
    <w:p>
      <w:pPr>
        <w:spacing w:after="10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bCs/>
          <w:color w:val="1B3A6B"/>
          <w:sz w:val="22"/>
          <w:szCs w:val="22"/>
        </w:rPr>
        <w:t xml:space="preserve">Leçon 17 / 20 — Arnaques, produits toxiques et signaux d'alerte</w:t>
      </w:r>
    </w:p>
    <w:p>
      <w:pPr>
        <w:spacing w:after="60" w:before="60"/>
      </w:pPr>
      <w:r>
        <w:rPr>
          <w:rFonts w:ascii="Times New Roman" w:cs="Times New Roman" w:eastAsia="Times New Roman" w:hAnsi="Times New Roman"/>
          <w:color w:val="1F2937"/>
          <w:sz w:val="22"/>
          <w:szCs w:val="22"/>
        </w:rPr>
        <w:t xml:space="preserve">Comment reconnaître une offre frauduleuse, les produits atypiques dangereux et les signaux d'alerte à connaître avant tout placement. Ressources AMF (listes noires, outil Protect Épargne) et réflexes pratiques.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iewluu4sangocfwk9mpj" Type="http://schemas.openxmlformats.org/officeDocument/2006/relationships/hyperlink" Target="https://www.service-public.gouv.fr/particuliers/vosdroits/F14198" TargetMode="External"/><Relationship Id="rIdimnk5qyskjjd6f2ldd4df" Type="http://schemas.openxmlformats.org/officeDocument/2006/relationships/hyperlink" Target="https://www.service-public.gouv.fr/particuliers/vosdroits/F10203" TargetMode="External"/><Relationship Id="rIdq9de_aiepb1rw7nakfs8i" Type="http://schemas.openxmlformats.org/officeDocument/2006/relationships/hyperlink" Target="https://www.legifrance.gouv.fr/codes/article_lc/LEGIARTI000006310173/" TargetMode="External"/><Relationship Id="rIdnplfbxumeulubtilx7lnx" Type="http://schemas.openxmlformats.org/officeDocument/2006/relationships/hyperlink" Target="https://www.lafinancepourtous.com/pratique/patrimoin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2026-09-26T06:10:38.216Z</dcterms:created>
  <dcterms:modified xsi:type="dcterms:W3CDTF">2026-09-26T06:10:38.217Z</dcterms:modified>
</cp:coreProperties>
</file>

<file path=docProps/custom.xml><?xml version="1.0" encoding="utf-8"?>
<Properties xmlns="http://schemas.openxmlformats.org/officeDocument/2006/custom-properties" xmlns:vt="http://schemas.openxmlformats.org/officeDocument/2006/docPropsVTypes"/>
</file>