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00"/>
        <w:jc w:val="center"/>
      </w:pPr>
      <w:r>
        <w:rPr>
          <w:rFonts w:ascii="Times New Roman" w:cs="Times New Roman" w:eastAsia="Times New Roman" w:hAnsi="Times New Roman"/>
          <w:b/>
          <w:bCs/>
          <w:color w:val="1B3A6B"/>
          <w:sz w:val="52"/>
          <w:szCs w:val="52"/>
        </w:rPr>
        <w:t xml:space="preserve">Leçon Revenus passifs n°08 — Les outils par type de business (1/2)</w:t>
      </w:r>
    </w:p>
    <w:p>
      <w:pPr>
        <w:spacing w:after="80" w:before="80"/>
        <w:jc w:val="center"/>
      </w:pPr>
      <w:r>
        <w:rPr>
          <w:rFonts w:ascii="Times New Roman" w:cs="Times New Roman" w:eastAsia="Times New Roman" w:hAnsi="Times New Roman"/>
          <w:i/>
          <w:iCs/>
          <w:color w:val="1B3A6B"/>
          <w:sz w:val="24"/>
          <w:szCs w:val="24"/>
        </w:rPr>
        <w:t xml:space="preserve">Création, hébergement, paiement, distribution — coûts réels</w:t>
      </w:r>
    </w:p>
    <w:p>
      <w:pPr>
        <w:spacing w:after="200" w:before="60"/>
        <w:jc w:val="center"/>
      </w:pPr>
      <w:r>
        <w:rPr>
          <w:rFonts w:ascii="Times New Roman" w:cs="Times New Roman" w:eastAsia="Times New Roman" w:hAnsi="Times New Roman"/>
          <w:color w:val="1F2937"/>
          <w:sz w:val="22"/>
          <w:szCs w:val="22"/>
        </w:rPr>
        <w:t xml:space="preserve">13 septembre 2026  ·  Leçon 8 / 10</w:t>
      </w:r>
    </w:p>
    <w:p>
      <w:pPr>
        <w:pStyle w:val="Heading2"/>
        <w:spacing w:after="100" w:before="280"/>
      </w:pPr>
      <w:r>
        <w:rPr>
          <w:rFonts w:ascii="Times New Roman" w:cs="Times New Roman" w:eastAsia="Times New Roman" w:hAnsi="Times New Roman"/>
          <w:b/>
          <w:bCs/>
          <w:color w:val="1B3A6B"/>
          <w:sz w:val="30"/>
          <w:szCs w:val="30"/>
        </w:rPr>
        <w:t xml:space="preserve">⚠️ Cadre déontologique</w:t>
      </w:r>
    </w:p>
    <w:p>
      <w:pPr>
        <w:pBdr>
          <w:left w:val="thick" w:color="D97706" w:sz="12" w:space="8"/>
        </w:pBdr>
        <w:shd w:fill="FFF4E5" w:val="clear"/>
        <w:spacing w:after="100" w:before="100"/>
      </w:pPr>
      <w:r>
        <w:rPr>
          <w:rFonts w:ascii="Times New Roman" w:cs="Times New Roman" w:eastAsia="Times New Roman" w:hAnsi="Times New Roman"/>
          <w:color w:val="1F2937"/>
          <w:sz w:val="22"/>
          <w:szCs w:val="22"/>
        </w:rPr>
        <w:t xml:space="preserve">Cette leçon est ÉDUCATIVE et GÉNÉRALISTE. Elle n'a pas valeur de conseil en investissement ni de recommandation personnalisée. Le conseil en investissement financier est une activité réglementée en France (statut CIF, registre ORIAS). Les tarifs indiqués dans cette leçon ont été lus sur les sites des éditeurs à la date du 13 septembre 2026 : ils peuvent changer. Toute décision d'achat ou d'utilisation d'un outil relève de votre propre jugement, le cas échéant après vérification directe sur le site de l'éditeur.</w:t>
      </w:r>
    </w:p>
    <w:p>
      <w:pPr>
        <w:spacing w:after="100" w:before="100"/>
      </w:pPr>
    </w:p>
    <w:p>
      <w:pPr>
        <w:pStyle w:val="Heading2"/>
        <w:spacing w:after="100" w:before="280"/>
      </w:pPr>
      <w:r>
        <w:rPr>
          <w:rFonts w:ascii="Times New Roman" w:cs="Times New Roman" w:eastAsia="Times New Roman" w:hAnsi="Times New Roman"/>
          <w:b/>
          <w:bCs/>
          <w:color w:val="1B3A6B"/>
          <w:sz w:val="30"/>
          <w:szCs w:val="30"/>
        </w:rPr>
        <w:t xml:space="preserve">🎯 Objectif et continuité</w:t>
      </w:r>
    </w:p>
    <w:p>
      <w:pPr>
        <w:spacing w:after="80" w:before="80"/>
      </w:pPr>
      <w:r>
        <w:rPr>
          <w:rFonts w:ascii="Times New Roman" w:cs="Times New Roman" w:eastAsia="Times New Roman" w:hAnsi="Times New Roman"/>
          <w:color w:val="1F2937"/>
          <w:sz w:val="22"/>
          <w:szCs w:val="22"/>
        </w:rPr>
        <w:t xml:space="preserve">Après cette leçon, tu sauras identifier les outils concrets pour chaque maillon d'un business passif (créer, héberger, encaisser, distribuer), lire un tarif d'éditeur sans te faire piéger par la présentation, et calculer la marge réelle d'une vente selon la plateforme choisie.</w:t>
      </w:r>
    </w:p>
    <w:p>
      <w:pPr>
        <w:spacing w:after="80" w:before="80"/>
      </w:pPr>
      <w:r>
        <w:rPr>
          <w:rFonts w:ascii="Times New Roman" w:cs="Times New Roman" w:eastAsia="Times New Roman" w:hAnsi="Times New Roman"/>
          <w:color w:val="1F2937"/>
          <w:sz w:val="22"/>
          <w:szCs w:val="22"/>
        </w:rPr>
        <w:t xml:space="preserve">Lien avec la leçon précédente (n°07 — Automatisations no-code, micro-SaaS et agents IA) : la leçon 7 a décrit les modèles ; cette leçon-ci passe à la mécanique concrète — quels outils pour les faire tourner, à quel coût réel.</w:t>
      </w:r>
    </w:p>
    <w:p>
      <w:pPr>
        <w:spacing w:after="100" w:before="100"/>
      </w:pPr>
    </w:p>
    <w:p>
      <w:pPr>
        <w:pStyle w:val="Heading2"/>
        <w:spacing w:after="100" w:before="280"/>
      </w:pPr>
      <w:r>
        <w:rPr>
          <w:rFonts w:ascii="Times New Roman" w:cs="Times New Roman" w:eastAsia="Times New Roman" w:hAnsi="Times New Roman"/>
          <w:b/>
          <w:bCs/>
          <w:color w:val="1B3A6B"/>
          <w:sz w:val="30"/>
          <w:szCs w:val="30"/>
        </w:rPr>
        <w:t xml:space="preserve">🔬 Théorie (20 %)</w:t>
      </w:r>
    </w:p>
    <w:p>
      <w:pPr>
        <w:pStyle w:val="Heading3"/>
        <w:spacing w:after="80" w:before="200"/>
      </w:pPr>
      <w:r>
        <w:rPr>
          <w:rFonts w:ascii="Times New Roman" w:cs="Times New Roman" w:eastAsia="Times New Roman" w:hAnsi="Times New Roman"/>
          <w:b/>
          <w:bCs/>
          <w:color w:val="1F2937"/>
          <w:sz w:val="26"/>
          <w:szCs w:val="26"/>
        </w:rPr>
        <w:t xml:space="preserve">Les quatre familles d'outils couverts aujourd'hui</w:t>
      </w:r>
    </w:p>
    <w:p>
      <w:pPr>
        <w:spacing w:after="80" w:before="80"/>
      </w:pPr>
      <w:r>
        <w:rPr>
          <w:rFonts w:ascii="Times New Roman" w:cs="Times New Roman" w:eastAsia="Times New Roman" w:hAnsi="Times New Roman"/>
          <w:color w:val="1F2937"/>
          <w:sz w:val="22"/>
          <w:szCs w:val="22"/>
        </w:rPr>
        <w:t xml:space="preserve">Un business passif numérique repose sur quatre maillons opérationnels successifs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Création / publication : la plateforme sur laquelle tu crées et publies ton contenu ou ton produit.</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Hébergement : où ton site ou ton application est accessible en permanence sur le web.</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Paiement : le système qui encaisse l'argent du client et te le reverse.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Distribution : comment tes clients potentiels te trouvent et reçoivent tes messages (email, réseaux sociaux).</w:t>
      </w:r>
    </w:p>
    <w:p>
      <w:pPr>
        <w:spacing w:after="80" w:before="80"/>
      </w:pPr>
      <w:r>
        <w:rPr>
          <w:rFonts w:ascii="Times New Roman" w:cs="Times New Roman" w:eastAsia="Times New Roman" w:hAnsi="Times New Roman"/>
          <w:color w:val="1F2937"/>
          <w:sz w:val="22"/>
          <w:szCs w:val="22"/>
        </w:rPr>
        <w:t xml:space="preserve">La leçon 9 couvrira la seconde moitié de la stack : automatisation, IA, mesure et maintenance.</w:t>
      </w:r>
    </w:p>
    <w:p>
      <w:pPr>
        <w:pStyle w:val="Heading3"/>
        <w:spacing w:after="80" w:before="200"/>
      </w:pPr>
      <w:r>
        <w:rPr>
          <w:rFonts w:ascii="Times New Roman" w:cs="Times New Roman" w:eastAsia="Times New Roman" w:hAnsi="Times New Roman"/>
          <w:b/>
          <w:bCs/>
          <w:color w:val="1F2937"/>
          <w:sz w:val="26"/>
          <w:szCs w:val="26"/>
        </w:rPr>
        <w:t xml:space="preserve">Deux logiques tarifaires à distinguer d'emblée</w:t>
      </w:r>
    </w:p>
    <w:p>
      <w:pPr>
        <w:spacing w:after="80" w:before="80"/>
      </w:pPr>
      <w:r>
        <w:rPr>
          <w:rFonts w:ascii="Times New Roman" w:cs="Times New Roman" w:eastAsia="Times New Roman" w:hAnsi="Times New Roman"/>
          <w:color w:val="1F2937"/>
          <w:sz w:val="22"/>
          <w:szCs w:val="22"/>
        </w:rPr>
        <w:t xml:space="preserve">Les plateformes d'outils se divisent en deux modèles économiques bien distincts, avec des conséquences très différentes sur ta marge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Abonnement mensuel/annuel : tu paies un forfait fixe quelles que soient tes ventes. Avantageux dès que le volume monte — mais tu paies même si tu ne vends rien. Exemple : Ghost(Pro), WordPress.com.</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Commission par transaction : la plateforme prélève un pourcentage sur chaque vente. Zéro risque à volume nul, mais coûteux à fort volume. Exemple : Gumroad (10 % + 0,50 $), LemonSqueezy (5 % + 0,50 $), Substack (10 %).</w:t>
      </w:r>
    </w:p>
    <w:p>
      <w:pPr>
        <w:spacing w:after="80" w:before="80"/>
      </w:pPr>
      <w:r>
        <w:rPr>
          <w:rFonts w:ascii="Times New Roman" w:cs="Times New Roman" w:eastAsia="Times New Roman" w:hAnsi="Times New Roman"/>
          <w:color w:val="1F2937"/>
          <w:sz w:val="22"/>
          <w:szCs w:val="22"/>
        </w:rPr>
        <w:t xml:space="preserve">Il existe un troisième modèle hybride : tu paies un processeur de paiement au taux le plus bas (Stripe : 1,5 % + 0,25 € pour les cartes EEE standard) ET tu héberges/distribues toi-même — c'est la voie la plus économique à grande échelle, mais aussi la plus technique.</w:t>
      </w:r>
    </w:p>
    <w:p>
      <w:pPr>
        <w:pStyle w:val="Heading3"/>
        <w:spacing w:after="80" w:before="200"/>
      </w:pPr>
      <w:r>
        <w:rPr>
          <w:rFonts w:ascii="Times New Roman" w:cs="Times New Roman" w:eastAsia="Times New Roman" w:hAnsi="Times New Roman"/>
          <w:b/>
          <w:bCs/>
          <w:color w:val="1F2937"/>
          <w:sz w:val="26"/>
          <w:szCs w:val="26"/>
        </w:rPr>
        <w:t xml:space="preserve">La notion de Merchant of Record (MoR)</w:t>
      </w:r>
    </w:p>
    <w:p>
      <w:pPr>
        <w:spacing w:after="80" w:before="80"/>
      </w:pPr>
      <w:r>
        <w:rPr>
          <w:rFonts w:ascii="Times New Roman" w:cs="Times New Roman" w:eastAsia="Times New Roman" w:hAnsi="Times New Roman"/>
          <w:color w:val="1F2937"/>
          <w:sz w:val="22"/>
          <w:szCs w:val="22"/>
        </w:rPr>
        <w:t xml:space="preserve">Gumroad et LemonSqueezy se positionnent comme « Merchant of Record » (MoR) : c'est la plateforme — et non toi — qui est légalement responsable de la collecte et du reversement de la TVA/GST dans le monde entier. Cette délégation simplifie radicalement la conformité fiscale internationale, surtout pour vendre des produits numériques à des clients UE. En contrepartie, la commission est plus élevée qu'un processeur de paiement nu.</w:t>
      </w:r>
    </w:p>
    <w:p>
      <w:pPr>
        <w:spacing w:after="80" w:before="80"/>
      </w:pPr>
      <w:r>
        <w:rPr>
          <w:rFonts w:ascii="Times New Roman" w:cs="Times New Roman" w:eastAsia="Times New Roman" w:hAnsi="Times New Roman"/>
          <w:color w:val="1F2937"/>
          <w:sz w:val="22"/>
          <w:szCs w:val="22"/>
        </w:rPr>
        <w:t xml:space="preserve">Stripe, en revanche, est un processeur de paiement : c'est TOI le vendeur, donc c'est TOI qui dois gérer la TVA selon les règles applicables dans chaque pays d'achat. En France, le régime micro-entreprise dispense de TVA sous les seuils de franchise — mais cette dispense ne vaut que sur le territoire français ; si tu vends à des consommateurs dans d'autres pays de l'UE, des obligations déclaratives peuvent s'appliquer. À vérifier selon ta situation avec un comptable ou via service-public.fr.</w:t>
      </w:r>
    </w:p>
    <w:p>
      <w:pPr>
        <w:spacing w:after="100" w:before="100"/>
      </w:pPr>
    </w:p>
    <w:p>
      <w:pPr>
        <w:pStyle w:val="Heading2"/>
        <w:spacing w:after="100" w:before="280"/>
      </w:pPr>
      <w:r>
        <w:rPr>
          <w:rFonts w:ascii="Times New Roman" w:cs="Times New Roman" w:eastAsia="Times New Roman" w:hAnsi="Times New Roman"/>
          <w:b/>
          <w:bCs/>
          <w:color w:val="1B3A6B"/>
          <w:sz w:val="30"/>
          <w:szCs w:val="30"/>
        </w:rPr>
        <w:t xml:space="preserve">📉 Ancrage réaliste — Ce que les comparatifs ne montrent pas</w:t>
      </w:r>
    </w:p>
    <w:p>
      <w:pPr>
        <w:pBdr>
          <w:left w:val="thick" w:color="D97706" w:sz="12" w:space="8"/>
        </w:pBdr>
        <w:shd w:fill="FFF4E5" w:val="clear"/>
        <w:spacing w:after="100" w:before="100"/>
      </w:pPr>
      <w:r>
        <w:rPr>
          <w:rFonts w:ascii="Times New Roman" w:cs="Times New Roman" w:eastAsia="Times New Roman" w:hAnsi="Times New Roman"/>
          <w:b/>
          <w:bCs/>
          <w:color w:val="1F2937"/>
          <w:sz w:val="22"/>
          <w:szCs w:val="22"/>
        </w:rPr>
        <w:t xml:space="preserve">⚠️ Les pages de tarifs affichent presque toujours le prix le plus bas — celui obtenu avec engagement annuel, au palier de volume le plus bas ou en devise étrangère. Les coûts cachés (renouvellement, frais de change, commissions sur chaque vente) s'accumulent vite.</w:t>
      </w:r>
    </w:p>
    <w:p>
      <w:pPr>
        <w:spacing w:after="100" w:before="100"/>
      </w:pPr>
    </w:p>
    <w:p>
      <w:pPr>
        <w:pStyle w:val="Heading3"/>
        <w:spacing w:after="80" w:before="200"/>
      </w:pPr>
      <w:r>
        <w:rPr>
          <w:rFonts w:ascii="Times New Roman" w:cs="Times New Roman" w:eastAsia="Times New Roman" w:hAnsi="Times New Roman"/>
          <w:b/>
          <w:bCs/>
          <w:color w:val="1F2937"/>
          <w:sz w:val="26"/>
          <w:szCs w:val="26"/>
        </w:rPr>
        <w:t xml:space="preserve">Le piège du prix d'appel vs prix réel</w:t>
      </w:r>
    </w:p>
    <w:p>
      <w:pPr>
        <w:spacing w:after="80" w:before="80"/>
      </w:pPr>
      <w:r>
        <w:rPr>
          <w:rFonts w:ascii="Times New Roman" w:cs="Times New Roman" w:eastAsia="Times New Roman" w:hAnsi="Times New Roman"/>
          <w:color w:val="1F2937"/>
          <w:sz w:val="22"/>
          <w:szCs w:val="22"/>
        </w:rPr>
        <w:t xml:space="preserve">OVH hébergement web : l'offre Starter est affichée à 1,59 € HT/mois en promotion (annuel), mais le prix de renouvellement est de 2,59 € HT/mois — soit 62 % de plus après la première année (source : ovhcloud.com/fr/web-hosting, lu le 13/09/2026).</w:t>
      </w:r>
    </w:p>
    <w:p>
      <w:pPr>
        <w:spacing w:after="80" w:before="80"/>
      </w:pPr>
      <w:r>
        <w:rPr>
          <w:rFonts w:ascii="Times New Roman" w:cs="Times New Roman" w:eastAsia="Times New Roman" w:hAnsi="Times New Roman"/>
          <w:color w:val="1F2937"/>
          <w:sz w:val="22"/>
          <w:szCs w:val="22"/>
        </w:rPr>
        <w:t xml:space="preserve">WordPress.com Premium : affiché à 8 €/mois avec engagement annuel (1 an), mais 18 €/mois en facturation mensuelle — soit 125 % de plus si tu ne t'engages pas (source : wordpress.com/fr/pricing, lu le 13/09/2026).</w:t>
      </w:r>
    </w:p>
    <w:p>
      <w:pPr>
        <w:pStyle w:val="Heading3"/>
        <w:spacing w:after="80" w:before="200"/>
      </w:pPr>
      <w:r>
        <w:rPr>
          <w:rFonts w:ascii="Times New Roman" w:cs="Times New Roman" w:eastAsia="Times New Roman" w:hAnsi="Times New Roman"/>
          <w:b/>
          <w:bCs/>
          <w:color w:val="1F2937"/>
          <w:sz w:val="26"/>
          <w:szCs w:val="26"/>
        </w:rPr>
        <w:t xml:space="preserve">Le vrai coût des commissions par vente</w:t>
      </w:r>
    </w:p>
    <w:p>
      <w:pPr>
        <w:spacing w:after="80" w:before="80"/>
      </w:pPr>
      <w:r>
        <w:rPr>
          <w:rFonts w:ascii="Times New Roman" w:cs="Times New Roman" w:eastAsia="Times New Roman" w:hAnsi="Times New Roman"/>
          <w:color w:val="1F2937"/>
          <w:sz w:val="22"/>
          <w:szCs w:val="22"/>
        </w:rPr>
        <w:t xml:space="preserve">Pour une formation vendue 97 € TTC, voici ce que prélève chaque plateforme (calcul basé sur les tarifs officiels lus le 13/09/2026). Les montants en $ sont indiqués à titre indicatif ; le taux de change réel s'applique à la transaction.</w:t>
      </w:r>
    </w:p>
    <w:p>
      <w:pPr>
        <w:spacing w:after="100"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B3A6B" w:val="clear"/>
          </w:tcPr>
          <w:p>
            <w:r>
              <w:rPr>
                <w:rFonts w:ascii="Times New Roman" w:cs="Times New Roman" w:eastAsia="Times New Roman" w:hAnsi="Times New Roman"/>
                <w:b/>
                <w:bCs/>
                <w:color w:val="FFFFFF"/>
                <w:sz w:val="20"/>
                <w:szCs w:val="20"/>
              </w:rPr>
              <w:t xml:space="preserve">Plateforme</w:t>
            </w:r>
          </w:p>
        </w:tc>
        <w:tc>
          <w:tcPr>
            <w:shd w:fill="1B3A6B" w:val="clear"/>
          </w:tcPr>
          <w:p>
            <w:r>
              <w:rPr>
                <w:rFonts w:ascii="Times New Roman" w:cs="Times New Roman" w:eastAsia="Times New Roman" w:hAnsi="Times New Roman"/>
                <w:b/>
                <w:bCs/>
                <w:color w:val="FFFFFF"/>
                <w:sz w:val="20"/>
                <w:szCs w:val="20"/>
              </w:rPr>
              <w:t xml:space="preserve">Commission prélevée</w:t>
            </w:r>
          </w:p>
        </w:tc>
        <w:tc>
          <w:tcPr>
            <w:shd w:fill="1B3A6B" w:val="clear"/>
          </w:tcPr>
          <w:p>
            <w:r>
              <w:rPr>
                <w:rFonts w:ascii="Times New Roman" w:cs="Times New Roman" w:eastAsia="Times New Roman" w:hAnsi="Times New Roman"/>
                <w:b/>
                <w:bCs/>
                <w:color w:val="FFFFFF"/>
                <w:sz w:val="20"/>
                <w:szCs w:val="20"/>
              </w:rPr>
              <w:t xml:space="preserve">Tu gardes (sur 97 €)</w:t>
            </w:r>
          </w:p>
        </w:tc>
        <w:tc>
          <w:tcPr>
            <w:shd w:fill="1B3A6B" w:val="clear"/>
          </w:tcPr>
          <w:p>
            <w:r>
              <w:rPr>
                <w:rFonts w:ascii="Times New Roman" w:cs="Times New Roman" w:eastAsia="Times New Roman" w:hAnsi="Times New Roman"/>
                <w:b/>
                <w:bCs/>
                <w:color w:val="FFFFFF"/>
                <w:sz w:val="20"/>
                <w:szCs w:val="20"/>
              </w:rPr>
              <w:t xml:space="preserve">Note</w:t>
            </w:r>
          </w:p>
        </w:tc>
      </w:tr>
      <w:tr>
        <w:tc>
          <w:tcPr>
            <w:shd w:fill="FFFFFF" w:val="clear"/>
          </w:tcPr>
          <w:p>
            <w:r>
              <w:rPr>
                <w:rFonts w:ascii="Times New Roman" w:cs="Times New Roman" w:eastAsia="Times New Roman" w:hAnsi="Times New Roman"/>
                <w:color w:val="1F2937"/>
                <w:sz w:val="20"/>
                <w:szCs w:val="20"/>
              </w:rPr>
              <w:t xml:space="preserve">Stripe (carte EEE standard)</w:t>
            </w:r>
          </w:p>
        </w:tc>
        <w:tc>
          <w:tcPr>
            <w:shd w:fill="FFFFFF" w:val="clear"/>
          </w:tcPr>
          <w:p>
            <w:r>
              <w:rPr>
                <w:rFonts w:ascii="Times New Roman" w:cs="Times New Roman" w:eastAsia="Times New Roman" w:hAnsi="Times New Roman"/>
                <w:color w:val="1F2937"/>
                <w:sz w:val="20"/>
                <w:szCs w:val="20"/>
              </w:rPr>
              <w:t xml:space="preserve">1,5 % + 0,25 € = 1,71 €</w:t>
            </w:r>
          </w:p>
        </w:tc>
        <w:tc>
          <w:tcPr>
            <w:shd w:fill="FFFFFF" w:val="clear"/>
          </w:tcPr>
          <w:p>
            <w:r>
              <w:rPr>
                <w:rFonts w:ascii="Times New Roman" w:cs="Times New Roman" w:eastAsia="Times New Roman" w:hAnsi="Times New Roman"/>
                <w:color w:val="1F2937"/>
                <w:sz w:val="20"/>
                <w:szCs w:val="20"/>
              </w:rPr>
              <w:t xml:space="preserve">≈ 95,29 €</w:t>
            </w:r>
          </w:p>
        </w:tc>
        <w:tc>
          <w:tcPr>
            <w:shd w:fill="FFFFFF" w:val="clear"/>
          </w:tcPr>
          <w:p>
            <w:r>
              <w:rPr>
                <w:rFonts w:ascii="Times New Roman" w:cs="Times New Roman" w:eastAsia="Times New Roman" w:hAnsi="Times New Roman"/>
                <w:color w:val="1F2937"/>
                <w:sz w:val="20"/>
                <w:szCs w:val="20"/>
              </w:rPr>
              <w:t xml:space="preserve">Tu gères TVA toi-même</w:t>
            </w:r>
          </w:p>
        </w:tc>
      </w:tr>
      <w:tr>
        <w:tc>
          <w:tcPr>
            <w:shd w:fill="EEF2F7" w:val="clear"/>
          </w:tcPr>
          <w:p>
            <w:r>
              <w:rPr>
                <w:rFonts w:ascii="Times New Roman" w:cs="Times New Roman" w:eastAsia="Times New Roman" w:hAnsi="Times New Roman"/>
                <w:color w:val="1F2937"/>
                <w:sz w:val="20"/>
                <w:szCs w:val="20"/>
              </w:rPr>
              <w:t xml:space="preserve">LemonSqueezy</w:t>
            </w:r>
          </w:p>
        </w:tc>
        <w:tc>
          <w:tcPr>
            <w:shd w:fill="EEF2F7" w:val="clear"/>
          </w:tcPr>
          <w:p>
            <w:r>
              <w:rPr>
                <w:rFonts w:ascii="Times New Roman" w:cs="Times New Roman" w:eastAsia="Times New Roman" w:hAnsi="Times New Roman"/>
                <w:color w:val="1F2937"/>
                <w:sz w:val="20"/>
                <w:szCs w:val="20"/>
              </w:rPr>
              <w:t xml:space="preserve">5 % + 0,50 $ ≈ 5,35 €*</w:t>
            </w:r>
          </w:p>
        </w:tc>
        <w:tc>
          <w:tcPr>
            <w:shd w:fill="EEF2F7" w:val="clear"/>
          </w:tcPr>
          <w:p>
            <w:r>
              <w:rPr>
                <w:rFonts w:ascii="Times New Roman" w:cs="Times New Roman" w:eastAsia="Times New Roman" w:hAnsi="Times New Roman"/>
                <w:color w:val="1F2937"/>
                <w:sz w:val="20"/>
                <w:szCs w:val="20"/>
              </w:rPr>
              <w:t xml:space="preserve">≈ 91,65 €</w:t>
            </w:r>
          </w:p>
        </w:tc>
        <w:tc>
          <w:tcPr>
            <w:shd w:fill="EEF2F7" w:val="clear"/>
          </w:tcPr>
          <w:p>
            <w:r>
              <w:rPr>
                <w:rFonts w:ascii="Times New Roman" w:cs="Times New Roman" w:eastAsia="Times New Roman" w:hAnsi="Times New Roman"/>
                <w:color w:val="1F2937"/>
                <w:sz w:val="20"/>
                <w:szCs w:val="20"/>
              </w:rPr>
              <w:t xml:space="preserve">MoR : TVA gérée</w:t>
            </w:r>
          </w:p>
        </w:tc>
      </w:tr>
      <w:tr>
        <w:tc>
          <w:tcPr>
            <w:shd w:fill="FFFFFF" w:val="clear"/>
          </w:tcPr>
          <w:p>
            <w:r>
              <w:rPr>
                <w:rFonts w:ascii="Times New Roman" w:cs="Times New Roman" w:eastAsia="Times New Roman" w:hAnsi="Times New Roman"/>
                <w:color w:val="1F2937"/>
                <w:sz w:val="20"/>
                <w:szCs w:val="20"/>
              </w:rPr>
              <w:t xml:space="preserve">Gumroad (vente directe)</w:t>
            </w:r>
          </w:p>
        </w:tc>
        <w:tc>
          <w:tcPr>
            <w:shd w:fill="FFFFFF" w:val="clear"/>
          </w:tcPr>
          <w:p>
            <w:r>
              <w:rPr>
                <w:rFonts w:ascii="Times New Roman" w:cs="Times New Roman" w:eastAsia="Times New Roman" w:hAnsi="Times New Roman"/>
                <w:color w:val="1F2937"/>
                <w:sz w:val="20"/>
                <w:szCs w:val="20"/>
              </w:rPr>
              <w:t xml:space="preserve">10 % + 0,50 $ ≈ 10,20 €*</w:t>
            </w:r>
          </w:p>
        </w:tc>
        <w:tc>
          <w:tcPr>
            <w:shd w:fill="FFFFFF" w:val="clear"/>
          </w:tcPr>
          <w:p>
            <w:r>
              <w:rPr>
                <w:rFonts w:ascii="Times New Roman" w:cs="Times New Roman" w:eastAsia="Times New Roman" w:hAnsi="Times New Roman"/>
                <w:color w:val="1F2937"/>
                <w:sz w:val="20"/>
                <w:szCs w:val="20"/>
              </w:rPr>
              <w:t xml:space="preserve">≈ 86,80 €</w:t>
            </w:r>
          </w:p>
        </w:tc>
        <w:tc>
          <w:tcPr>
            <w:shd w:fill="FFFFFF" w:val="clear"/>
          </w:tcPr>
          <w:p>
            <w:r>
              <w:rPr>
                <w:rFonts w:ascii="Times New Roman" w:cs="Times New Roman" w:eastAsia="Times New Roman" w:hAnsi="Times New Roman"/>
                <w:color w:val="1F2937"/>
                <w:sz w:val="20"/>
                <w:szCs w:val="20"/>
              </w:rPr>
              <w:t xml:space="preserve">MoR : TVA gérée</w:t>
            </w:r>
          </w:p>
        </w:tc>
      </w:tr>
      <w:tr>
        <w:tc>
          <w:tcPr>
            <w:shd w:fill="EEF2F7" w:val="clear"/>
          </w:tcPr>
          <w:p>
            <w:r>
              <w:rPr>
                <w:rFonts w:ascii="Times New Roman" w:cs="Times New Roman" w:eastAsia="Times New Roman" w:hAnsi="Times New Roman"/>
                <w:color w:val="1F2937"/>
                <w:sz w:val="20"/>
                <w:szCs w:val="20"/>
              </w:rPr>
              <w:t xml:space="preserve">Substack (abonnement)</w:t>
            </w:r>
          </w:p>
        </w:tc>
        <w:tc>
          <w:tcPr>
            <w:shd w:fill="EEF2F7" w:val="clear"/>
          </w:tcPr>
          <w:p>
            <w:r>
              <w:rPr>
                <w:rFonts w:ascii="Times New Roman" w:cs="Times New Roman" w:eastAsia="Times New Roman" w:hAnsi="Times New Roman"/>
                <w:color w:val="1F2937"/>
                <w:sz w:val="20"/>
                <w:szCs w:val="20"/>
              </w:rPr>
              <w:t xml:space="preserve">10 % + frais CB</w:t>
            </w:r>
          </w:p>
        </w:tc>
        <w:tc>
          <w:tcPr>
            <w:shd w:fill="EEF2F7" w:val="clear"/>
          </w:tcPr>
          <w:p>
            <w:r>
              <w:rPr>
                <w:rFonts w:ascii="Times New Roman" w:cs="Times New Roman" w:eastAsia="Times New Roman" w:hAnsi="Times New Roman"/>
                <w:color w:val="1F2937"/>
                <w:sz w:val="20"/>
                <w:szCs w:val="20"/>
              </w:rPr>
              <w:t xml:space="preserve">≈ 85-86 €</w:t>
            </w:r>
          </w:p>
        </w:tc>
        <w:tc>
          <w:tcPr>
            <w:shd w:fill="EEF2F7" w:val="clear"/>
          </w:tcPr>
          <w:p>
            <w:r>
              <w:rPr>
                <w:rFonts w:ascii="Times New Roman" w:cs="Times New Roman" w:eastAsia="Times New Roman" w:hAnsi="Times New Roman"/>
                <w:color w:val="1F2937"/>
                <w:sz w:val="20"/>
                <w:szCs w:val="20"/>
              </w:rPr>
              <w:t xml:space="preserve">MoR : TVA gérée</w:t>
            </w:r>
          </w:p>
        </w:tc>
      </w:tr>
      <w:tr>
        <w:tc>
          <w:tcPr>
            <w:shd w:fill="FFFFFF" w:val="clear"/>
          </w:tcPr>
          <w:p>
            <w:r>
              <w:rPr>
                <w:rFonts w:ascii="Times New Roman" w:cs="Times New Roman" w:eastAsia="Times New Roman" w:hAnsi="Times New Roman"/>
                <w:color w:val="1F2937"/>
                <w:sz w:val="20"/>
                <w:szCs w:val="20"/>
              </w:rPr>
              <w:t xml:space="preserve">Gumroad (via Discover)</w:t>
            </w:r>
          </w:p>
        </w:tc>
        <w:tc>
          <w:tcPr>
            <w:shd w:fill="FFFFFF" w:val="clear"/>
          </w:tcPr>
          <w:p>
            <w:r>
              <w:rPr>
                <w:rFonts w:ascii="Times New Roman" w:cs="Times New Roman" w:eastAsia="Times New Roman" w:hAnsi="Times New Roman"/>
                <w:color w:val="1F2937"/>
                <w:sz w:val="20"/>
                <w:szCs w:val="20"/>
              </w:rPr>
              <w:t xml:space="preserve">30 % = 29,10 €</w:t>
            </w:r>
          </w:p>
        </w:tc>
        <w:tc>
          <w:tcPr>
            <w:shd w:fill="FFFFFF" w:val="clear"/>
          </w:tcPr>
          <w:p>
            <w:r>
              <w:rPr>
                <w:rFonts w:ascii="Times New Roman" w:cs="Times New Roman" w:eastAsia="Times New Roman" w:hAnsi="Times New Roman"/>
                <w:color w:val="1F2937"/>
                <w:sz w:val="20"/>
                <w:szCs w:val="20"/>
              </w:rPr>
              <w:t xml:space="preserve">≈ 67,90 €</w:t>
            </w:r>
          </w:p>
        </w:tc>
        <w:tc>
          <w:tcPr>
            <w:shd w:fill="FFFFFF" w:val="clear"/>
          </w:tcPr>
          <w:p>
            <w:r>
              <w:rPr>
                <w:rFonts w:ascii="Times New Roman" w:cs="Times New Roman" w:eastAsia="Times New Roman" w:hAnsi="Times New Roman"/>
                <w:color w:val="1F2937"/>
                <w:sz w:val="20"/>
                <w:szCs w:val="20"/>
              </w:rPr>
              <w:t xml:space="preserve">Marketplace = trafic inclus</w:t>
            </w:r>
          </w:p>
        </w:tc>
      </w:tr>
    </w:tbl>
    <w:p>
      <w:pPr>
        <w:spacing w:after="80" w:before="80"/>
      </w:pPr>
      <w:r>
        <w:rPr>
          <w:rFonts w:ascii="Times New Roman" w:cs="Times New Roman" w:eastAsia="Times New Roman" w:hAnsi="Times New Roman"/>
          <w:color w:val="1F2937"/>
          <w:sz w:val="22"/>
          <w:szCs w:val="22"/>
        </w:rPr>
        <w:t xml:space="preserve">* Les commissions LemonSqueezy et Gumroad sont en USD (0,50 $). Le montant converti en euros dépend du taux de change au moment de la transaction — ce tableau utilise 1 $ ≈ 0,93 € à titre illustratif.</w:t>
      </w:r>
    </w:p>
    <w:p>
      <w:pPr>
        <w:spacing w:after="80" w:before="80"/>
      </w:pPr>
      <w:r>
        <w:rPr>
          <w:rFonts w:ascii="Times New Roman" w:cs="Times New Roman" w:eastAsia="Times New Roman" w:hAnsi="Times New Roman"/>
          <w:color w:val="1F2937"/>
          <w:sz w:val="22"/>
          <w:szCs w:val="22"/>
        </w:rPr>
        <w:t xml:space="preserve">Lecture : la commission Stripe est la plus basse, mais elle suppose que tu maîtrises les obligations TVA. La commission Gumroad via Discover est la plus haute, mais en contrepartie la plateforme t'apporte du trafic. Il n'existe pas de solution universellement meilleure — le choix dépend de ton volume, de ton autonomie technique et de ta situation fiscale.</w:t>
      </w:r>
    </w:p>
    <w:p>
      <w:pPr>
        <w:pStyle w:val="Heading3"/>
        <w:spacing w:after="80" w:before="200"/>
      </w:pPr>
      <w:r>
        <w:rPr>
          <w:rFonts w:ascii="Times New Roman" w:cs="Times New Roman" w:eastAsia="Times New Roman" w:hAnsi="Times New Roman"/>
          <w:b/>
          <w:bCs/>
          <w:color w:val="1F2937"/>
          <w:sz w:val="26"/>
          <w:szCs w:val="26"/>
        </w:rPr>
        <w:t xml:space="preserve">Les coûts d'email marketing dès que la liste grossit</w:t>
      </w:r>
    </w:p>
    <w:p>
      <w:pPr>
        <w:spacing w:after="80" w:before="80"/>
      </w:pPr>
      <w:r>
        <w:rPr>
          <w:rFonts w:ascii="Times New Roman" w:cs="Times New Roman" w:eastAsia="Times New Roman" w:hAnsi="Times New Roman"/>
          <w:color w:val="1F2937"/>
          <w:sz w:val="22"/>
          <w:szCs w:val="22"/>
        </w:rPr>
        <w:t xml:space="preserve">Brevo propose une offre gratuite permanente et un plan Starter à partir de 5 000 emails/mois — mais ce seuil correspond à une liste d'environ 500-1 000 contacts actifs contactés plusieurs fois par semaine. Dès que ta liste dépasse les plans gratuits, les tarifs augmentent par paliers. Le plan annuel offre 10 % de réduction par rapport au mensuel (source : brevo.com/fr/pricing, lu le 13/09/2026).</w:t>
      </w:r>
    </w:p>
    <w:p>
      <w:pPr>
        <w:spacing w:after="80" w:before="80"/>
      </w:pPr>
      <w:r>
        <w:rPr>
          <w:rFonts w:ascii="Times New Roman" w:cs="Times New Roman" w:eastAsia="Times New Roman" w:hAnsi="Times New Roman"/>
          <w:color w:val="1F2937"/>
          <w:sz w:val="22"/>
          <w:szCs w:val="22"/>
        </w:rPr>
        <w:t xml:space="preserve">Pour Mailchimp, les plans sont similaires (Free, Essentials, Standard, Premium). Les prix exacts varient selon le nombre de contacts et la périodicité de facturation. Donnée de prix non lue sur la page lors de cette exécution — vérifier directement sur mailchimp.com/pricing.</w:t>
      </w:r>
    </w:p>
    <w:p>
      <w:pPr>
        <w:pStyle w:val="Heading3"/>
        <w:spacing w:after="80" w:before="200"/>
      </w:pPr>
      <w:r>
        <w:rPr>
          <w:rFonts w:ascii="Times New Roman" w:cs="Times New Roman" w:eastAsia="Times New Roman" w:hAnsi="Times New Roman"/>
          <w:b/>
          <w:bCs/>
          <w:color w:val="1F2937"/>
          <w:sz w:val="26"/>
          <w:szCs w:val="26"/>
        </w:rPr>
        <w:t xml:space="preserve">Signaux d'arnaque : la « stack d'outils miracle »</w:t>
      </w:r>
    </w:p>
    <w:p>
      <w:pPr>
        <w:pBdr>
          <w:left w:val="thick" w:color="D97706" w:sz="12" w:space="8"/>
        </w:pBdr>
        <w:shd w:fill="FFF4E5" w:val="clear"/>
        <w:spacing w:after="100" w:before="100"/>
      </w:pPr>
      <w:r>
        <w:rPr>
          <w:rFonts w:ascii="Times New Roman" w:cs="Times New Roman" w:eastAsia="Times New Roman" w:hAnsi="Times New Roman"/>
          <w:color w:val="1F2937"/>
          <w:sz w:val="22"/>
          <w:szCs w:val="22"/>
        </w:rPr>
        <w:t xml:space="preserve">🚨 Signaux d'arnaque à connaître pour ce type de business :
• Une « formation » qui promet une liste d'outils gratuits générant des revenus passifs automatiques dès le premier mois.
• Des recommandations d'outils systématiquement assorties de liens d'affiliation non déclarés : le formateur est rémunéré par chaque souscription que tu génères.
• Des comparatifs qui n'incluent jamais les coûts de renouvellement ni les commissions réelles par vente.
• Des promesses de retour sur investissement garanti sur un stack technique : aucun outil ne génère des revenus — c'est le contenu et l'audience qui génèrent des revenus.
L'AMF tient une liste noire des acteurs non autorisés (amf-france.org/fr/espace-epargnants). La multiplication des arnaques sous forme de faux articles de presse a été signalée par l'AMF elle-même (source : page consultée le 13/09/2026).</w:t>
      </w:r>
    </w:p>
    <w:p>
      <w:pPr>
        <w:spacing w:after="100" w:before="100"/>
      </w:pPr>
    </w:p>
    <w:p>
      <w:pPr>
        <w:pStyle w:val="Heading2"/>
        <w:spacing w:after="100" w:before="280"/>
      </w:pPr>
      <w:r>
        <w:rPr>
          <w:rFonts w:ascii="Times New Roman" w:cs="Times New Roman" w:eastAsia="Times New Roman" w:hAnsi="Times New Roman"/>
          <w:b/>
          <w:bCs/>
          <w:color w:val="1B3A6B"/>
          <w:sz w:val="30"/>
          <w:szCs w:val="30"/>
        </w:rPr>
        <w:t xml:space="preserve">🛠️ Pratique (80 %)</w:t>
      </w:r>
    </w:p>
    <w:p>
      <w:pPr>
        <w:pStyle w:val="Heading3"/>
        <w:spacing w:after="80" w:before="200"/>
      </w:pPr>
      <w:r>
        <w:rPr>
          <w:rFonts w:ascii="Times New Roman" w:cs="Times New Roman" w:eastAsia="Times New Roman" w:hAnsi="Times New Roman"/>
          <w:b/>
          <w:bCs/>
          <w:color w:val="1F2937"/>
          <w:sz w:val="26"/>
          <w:szCs w:val="26"/>
        </w:rPr>
        <w:t xml:space="preserve">Exercice 1 — Calculer la marge nette selon la plateforme de vente</w:t>
      </w:r>
    </w:p>
    <w:p>
      <w:pPr>
        <w:spacing w:after="80" w:before="80"/>
      </w:pPr>
      <w:r>
        <w:rPr>
          <w:rFonts w:ascii="Times New Roman" w:cs="Times New Roman" w:eastAsia="Times New Roman" w:hAnsi="Times New Roman"/>
          <w:color w:val="1F2937"/>
          <w:sz w:val="22"/>
          <w:szCs w:val="22"/>
        </w:rPr>
        <w:t xml:space="preserve">Contexte : tu crées un ebook et tu veux le vendre 29 €.</w:t>
      </w:r>
    </w:p>
    <w:p>
      <w:pPr>
        <w:spacing w:after="80" w:before="80"/>
      </w:pPr>
      <w:r>
        <w:rPr>
          <w:rFonts w:ascii="Times New Roman" w:cs="Times New Roman" w:eastAsia="Times New Roman" w:hAnsi="Times New Roman"/>
          <w:color w:val="1F2937"/>
          <w:sz w:val="22"/>
          <w:szCs w:val="22"/>
        </w:rPr>
        <w:t xml:space="preserve">Questions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a) Combien gardes-tu si tu vends via Gumroad (lien direct)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b) Combien gardes-tu si tu vends via Stripe avec ton propre site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 Dès quel nombre de ventes par mois Stripe devient-il plus rentable que LemonSqueezy, si tu paies en plus un hébergement OVH Perso à 2,99 €/mois (tarif promo annuel, source : ovhcloud.com/fr/web-hosting) ?</w:t>
      </w:r>
    </w:p>
    <w:p>
      <w:pPr>
        <w:spacing w:after="80" w:before="80"/>
      </w:pPr>
      <w:r>
        <w:rPr>
          <w:rFonts w:ascii="Times New Roman" w:cs="Times New Roman" w:eastAsia="Times New Roman" w:hAnsi="Times New Roman"/>
          <w:color w:val="1F2937"/>
          <w:sz w:val="22"/>
          <w:szCs w:val="22"/>
        </w:rPr>
        <w:t xml:space="preserve">Éléments de correction :</w:t>
      </w:r>
    </w:p>
    <w:p>
      <w:pPr>
        <w:pBdr>
          <w:left w:val="thick" w:color="1B3A6B" w:sz="12" w:space="8"/>
        </w:pBdr>
        <w:shd w:fill="EEF2F7" w:val="clear"/>
        <w:spacing w:after="100" w:before="100"/>
        <w:ind w:left="576"/>
      </w:pPr>
      <w:r>
        <w:rPr>
          <w:rFonts w:ascii="Times New Roman" w:cs="Times New Roman" w:eastAsia="Times New Roman" w:hAnsi="Times New Roman"/>
          <w:i/>
          <w:iCs/>
          <w:color w:val="1F2937"/>
          <w:sz w:val="22"/>
          <w:szCs w:val="22"/>
        </w:rPr>
        <w:t xml:space="preserve">a) Gumroad (vente directe) : 10 % + 0,50 $ sur 29 €.
   10 % × 29 = 2,90 € de commission + ~0,47 € (0,50 $ × 0,93) = ~3,37 € prélevés. Tu gardes ~25,63 €.
b) Stripe (carte EEE standard) : 1,5 % + 0,25 € sur 29 €.
   1,5 % × 29 = 0,435 € + 0,25 € = 0,685 €. Tu gardes ~28,32 €.
   Attention : ce montant est avant TVA si tu y es soumis.
c) LemonSqueezy sur 29 € : 5 % + ~0,47 € = 1,45 + 0,47 = ~1,92 €. Tu gardes ~27,08 €.
   Stripe sur 29 € : ~0,69 € de frais. Tu gardes ~28,32 €.
   Différence par vente : 28,32 – 27,08 = 1,24 € en faveur de Stripe.
   Coût mensuel fixe OVH Perso : 2,99 € HT.
   Nombre de ventes minimum pour rentabiliser l'hébergement : 2,99 / 1,24 ≈ 2,4 → dès 3 ventes/mois, Stripe+OVH est plus rentable.
   Lecture : à partir de 3 ventes d'ebook à 29 € par mois, avoir son propre hébergement avec Stripe revient moins cher que LemonSqueezy seul.</w:t>
      </w:r>
    </w:p>
    <w:p>
      <w:pPr>
        <w:spacing w:after="100" w:before="100"/>
      </w:pPr>
    </w:p>
    <w:p>
      <w:pPr>
        <w:pStyle w:val="Heading3"/>
        <w:spacing w:after="80" w:before="200"/>
      </w:pPr>
      <w:r>
        <w:rPr>
          <w:rFonts w:ascii="Times New Roman" w:cs="Times New Roman" w:eastAsia="Times New Roman" w:hAnsi="Times New Roman"/>
          <w:b/>
          <w:bCs/>
          <w:color w:val="1F2937"/>
          <w:sz w:val="26"/>
          <w:szCs w:val="26"/>
        </w:rPr>
        <w:t xml:space="preserve">Exercice 2 — Choisir sa plateforme de publication selon son projet</w:t>
      </w:r>
    </w:p>
    <w:p>
      <w:pPr>
        <w:spacing w:after="80" w:before="80"/>
      </w:pPr>
      <w:r>
        <w:rPr>
          <w:rFonts w:ascii="Times New Roman" w:cs="Times New Roman" w:eastAsia="Times New Roman" w:hAnsi="Times New Roman"/>
          <w:color w:val="1F2937"/>
          <w:sz w:val="22"/>
          <w:szCs w:val="22"/>
        </w:rPr>
        <w:t xml:space="preserve">Pour chacun des trois projets ci-dessous, identifie la plateforme de publication/création la plus adaptée parmi : Substack, Ghost(Pro) Publisher, WordPress.com Premium, Gumroad. Justifie ton choix en citant un critère de tarif ou de fonctionnalité lu dans les sources de cette leçon.</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Projet A : Newsletter hebdomadaire avec abonnements payants, démarrage, budget minimal, pas de compétences techniques.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Projet B : Blog de contenu premium avec thème personnalisé et abonnements payants, quelques dizaines de clients dès le lancement.</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Projet C : Vente d'un ebook en one-shot, pas besoin de site, audience déjà constituée sur les réseaux sociaux.</w:t>
      </w:r>
    </w:p>
    <w:p>
      <w:pPr>
        <w:spacing w:after="80" w:before="80"/>
      </w:pPr>
      <w:r>
        <w:rPr>
          <w:rFonts w:ascii="Times New Roman" w:cs="Times New Roman" w:eastAsia="Times New Roman" w:hAnsi="Times New Roman"/>
          <w:color w:val="1F2937"/>
          <w:sz w:val="22"/>
          <w:szCs w:val="22"/>
        </w:rPr>
        <w:t xml:space="preserve">Correction :</w:t>
      </w:r>
    </w:p>
    <w:p>
      <w:pPr>
        <w:pBdr>
          <w:left w:val="thick" w:color="1B3A6B" w:sz="12" w:space="8"/>
        </w:pBdr>
        <w:shd w:fill="EEF2F7" w:val="clear"/>
        <w:spacing w:after="100" w:before="100"/>
        <w:ind w:left="576"/>
      </w:pPr>
      <w:r>
        <w:rPr>
          <w:rFonts w:ascii="Times New Roman" w:cs="Times New Roman" w:eastAsia="Times New Roman" w:hAnsi="Times New Roman"/>
          <w:i/>
          <w:iCs/>
          <w:color w:val="1F2937"/>
          <w:sz w:val="22"/>
          <w:szCs w:val="22"/>
        </w:rPr>
        <w:t xml:space="preserve">Projet A → Substack : gratuit pour commencer, aucune compétence technique, Substack prend 10 % seulement quand les revenus arrivent. Limite : personnalisation très réduite (source : substack.com/going-paid, lu le 13/09/2026).
Projet B → Ghost(Pro) Publisher à $29/mois (annuel, base 1 000 membres) : thèmes personnalisés, abonnements payants intégrés, aucun frais par transaction ("No payment fees"). Coût fixe plus élevé, justifié par la maîtrise du design. (source : ghost.org/pricing, lu le 13/09/2026).
Projet C → Gumroad (vente directe) : aucun site ni abonnement mensuel, juste partager un lien. Commission de 10 % + 0,50 $ par vente, TVA gérée par Gumroad en tant que MoR. (source : gumroad.com/pricing, lu le 13/09/2026).</w:t>
      </w:r>
    </w:p>
    <w:p>
      <w:pPr>
        <w:spacing w:after="100" w:before="100"/>
      </w:pPr>
    </w:p>
    <w:p>
      <w:pPr>
        <w:pStyle w:val="Heading3"/>
        <w:spacing w:after="80" w:before="200"/>
      </w:pPr>
      <w:r>
        <w:rPr>
          <w:rFonts w:ascii="Times New Roman" w:cs="Times New Roman" w:eastAsia="Times New Roman" w:hAnsi="Times New Roman"/>
          <w:b/>
          <w:bCs/>
          <w:color w:val="1F2937"/>
          <w:sz w:val="26"/>
          <w:szCs w:val="26"/>
        </w:rPr>
        <w:t xml:space="preserve">Exercice 3 — Cartographier ta stack de distribution</w:t>
      </w:r>
    </w:p>
    <w:p>
      <w:pPr>
        <w:spacing w:after="80" w:before="80"/>
      </w:pPr>
      <w:r>
        <w:rPr>
          <w:rFonts w:ascii="Times New Roman" w:cs="Times New Roman" w:eastAsia="Times New Roman" w:hAnsi="Times New Roman"/>
          <w:color w:val="1F2937"/>
          <w:sz w:val="22"/>
          <w:szCs w:val="22"/>
        </w:rPr>
        <w:t xml:space="preserve">La distribution, c'est la façon dont tu attires et fidélises tes acheteurs potentiels. Pour un business passif, la liste email est souvent la distribution la plus solide (tu la possèdes ; un réseau social peut fermer ou te bannir).</w:t>
      </w:r>
    </w:p>
    <w:p>
      <w:pPr>
        <w:spacing w:after="80" w:before="80"/>
      </w:pPr>
      <w:r>
        <w:rPr>
          <w:rFonts w:ascii="Times New Roman" w:cs="Times New Roman" w:eastAsia="Times New Roman" w:hAnsi="Times New Roman"/>
          <w:color w:val="1F2937"/>
          <w:sz w:val="22"/>
          <w:szCs w:val="22"/>
        </w:rPr>
        <w:t xml:space="preserve">Travail à réaliser : remplis ce tableau pour ton projet en cours (ou pour un projet fictif que tu choisis) :</w:t>
      </w:r>
    </w:p>
    <w:p>
      <w:pPr>
        <w:spacing w:after="100"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B3A6B" w:val="clear"/>
          </w:tcPr>
          <w:p>
            <w:r>
              <w:rPr>
                <w:rFonts w:ascii="Times New Roman" w:cs="Times New Roman" w:eastAsia="Times New Roman" w:hAnsi="Times New Roman"/>
                <w:b/>
                <w:bCs/>
                <w:color w:val="FFFFFF"/>
                <w:sz w:val="20"/>
                <w:szCs w:val="20"/>
              </w:rPr>
              <w:t xml:space="preserve">Canal</w:t>
            </w:r>
          </w:p>
        </w:tc>
        <w:tc>
          <w:tcPr>
            <w:shd w:fill="1B3A6B" w:val="clear"/>
          </w:tcPr>
          <w:p>
            <w:r>
              <w:rPr>
                <w:rFonts w:ascii="Times New Roman" w:cs="Times New Roman" w:eastAsia="Times New Roman" w:hAnsi="Times New Roman"/>
                <w:b/>
                <w:bCs/>
                <w:color w:val="FFFFFF"/>
                <w:sz w:val="20"/>
                <w:szCs w:val="20"/>
              </w:rPr>
              <w:t xml:space="preserve">Outil envisagé</w:t>
            </w:r>
          </w:p>
        </w:tc>
        <w:tc>
          <w:tcPr>
            <w:shd w:fill="1B3A6B" w:val="clear"/>
          </w:tcPr>
          <w:p>
            <w:r>
              <w:rPr>
                <w:rFonts w:ascii="Times New Roman" w:cs="Times New Roman" w:eastAsia="Times New Roman" w:hAnsi="Times New Roman"/>
                <w:b/>
                <w:bCs/>
                <w:color w:val="FFFFFF"/>
                <w:sz w:val="20"/>
                <w:szCs w:val="20"/>
              </w:rPr>
              <w:t xml:space="preserve">Coût mensuel estimé</w:t>
            </w:r>
          </w:p>
        </w:tc>
        <w:tc>
          <w:tcPr>
            <w:shd w:fill="1B3A6B" w:val="clear"/>
          </w:tcPr>
          <w:p>
            <w:r>
              <w:rPr>
                <w:rFonts w:ascii="Times New Roman" w:cs="Times New Roman" w:eastAsia="Times New Roman" w:hAnsi="Times New Roman"/>
                <w:b/>
                <w:bCs/>
                <w:color w:val="FFFFFF"/>
                <w:sz w:val="20"/>
                <w:szCs w:val="20"/>
              </w:rPr>
              <w:t xml:space="preserve">Remarque</w:t>
            </w:r>
          </w:p>
        </w:tc>
      </w:tr>
      <w:tr>
        <w:tc>
          <w:tcPr>
            <w:shd w:fill="FFFFFF" w:val="clear"/>
          </w:tcPr>
          <w:p>
            <w:r>
              <w:rPr>
                <w:rFonts w:ascii="Times New Roman" w:cs="Times New Roman" w:eastAsia="Times New Roman" w:hAnsi="Times New Roman"/>
                <w:color w:val="1F2937"/>
                <w:sz w:val="20"/>
                <w:szCs w:val="20"/>
              </w:rPr>
              <w:t xml:space="preserve">Email marketing</w:t>
            </w:r>
          </w:p>
        </w:tc>
        <w:tc>
          <w:tcPr>
            <w:shd w:fill="FFFFFF" w:val="clear"/>
          </w:tcPr>
          <w:p>
            <w:r>
              <w:rPr>
                <w:rFonts w:ascii="Times New Roman" w:cs="Times New Roman" w:eastAsia="Times New Roman" w:hAnsi="Times New Roman"/>
                <w:color w:val="1F2937"/>
                <w:sz w:val="20"/>
                <w:szCs w:val="20"/>
              </w:rPr>
              <w:t xml:space="preserve">(ex. Brevo, Mailchimp, Substack…)</w:t>
            </w:r>
          </w:p>
        </w:tc>
        <w:tc>
          <w:tcPr>
            <w:shd w:fill="FFFFFF" w:val="clear"/>
          </w:tcPr>
          <w:p>
            <w:r>
              <w:rPr>
                <w:rFonts w:ascii="Times New Roman" w:cs="Times New Roman" w:eastAsia="Times New Roman" w:hAnsi="Times New Roman"/>
                <w:color w:val="1F2937"/>
                <w:sz w:val="20"/>
                <w:szCs w:val="20"/>
              </w:rPr>
              <w:t xml:space="preserve">à compléter</w:t>
            </w:r>
          </w:p>
        </w:tc>
        <w:tc>
          <w:tcPr>
            <w:shd w:fill="FFFFFF" w:val="clear"/>
          </w:tcPr>
          <w:p>
            <w:r>
              <w:rPr>
                <w:rFonts w:ascii="Times New Roman" w:cs="Times New Roman" w:eastAsia="Times New Roman" w:hAnsi="Times New Roman"/>
                <w:color w:val="1F2937"/>
                <w:sz w:val="20"/>
                <w:szCs w:val="20"/>
              </w:rPr>
              <w:t xml:space="preserve"/>
            </w:r>
          </w:p>
        </w:tc>
      </w:tr>
      <w:tr>
        <w:tc>
          <w:tcPr>
            <w:shd w:fill="EEF2F7" w:val="clear"/>
          </w:tcPr>
          <w:p>
            <w:r>
              <w:rPr>
                <w:rFonts w:ascii="Times New Roman" w:cs="Times New Roman" w:eastAsia="Times New Roman" w:hAnsi="Times New Roman"/>
                <w:color w:val="1F2937"/>
                <w:sz w:val="20"/>
                <w:szCs w:val="20"/>
              </w:rPr>
              <w:t xml:space="preserve">Site / landing page</w:t>
            </w:r>
          </w:p>
        </w:tc>
        <w:tc>
          <w:tcPr>
            <w:shd w:fill="EEF2F7" w:val="clear"/>
          </w:tcPr>
          <w:p>
            <w:r>
              <w:rPr>
                <w:rFonts w:ascii="Times New Roman" w:cs="Times New Roman" w:eastAsia="Times New Roman" w:hAnsi="Times New Roman"/>
                <w:color w:val="1F2937"/>
                <w:sz w:val="20"/>
                <w:szCs w:val="20"/>
              </w:rPr>
              <w:t xml:space="preserve">(ex. OVH + WordPress, Ghost…)</w:t>
            </w:r>
          </w:p>
        </w:tc>
        <w:tc>
          <w:tcPr>
            <w:shd w:fill="EEF2F7" w:val="clear"/>
          </w:tcPr>
          <w:p>
            <w:r>
              <w:rPr>
                <w:rFonts w:ascii="Times New Roman" w:cs="Times New Roman" w:eastAsia="Times New Roman" w:hAnsi="Times New Roman"/>
                <w:color w:val="1F2937"/>
                <w:sz w:val="20"/>
                <w:szCs w:val="20"/>
              </w:rPr>
              <w:t xml:space="preserve">à compléter</w:t>
            </w:r>
          </w:p>
        </w:tc>
        <w:tc>
          <w:tcPr>
            <w:shd w:fill="EEF2F7" w:val="clear"/>
          </w:tcPr>
          <w:p>
            <w:r>
              <w:rPr>
                <w:rFonts w:ascii="Times New Roman" w:cs="Times New Roman" w:eastAsia="Times New Roman" w:hAnsi="Times New Roman"/>
                <w:color w:val="1F2937"/>
                <w:sz w:val="20"/>
                <w:szCs w:val="20"/>
              </w:rPr>
              <w:t xml:space="preserve"/>
            </w:r>
          </w:p>
        </w:tc>
      </w:tr>
      <w:tr>
        <w:tc>
          <w:tcPr>
            <w:shd w:fill="FFFFFF" w:val="clear"/>
          </w:tcPr>
          <w:p>
            <w:r>
              <w:rPr>
                <w:rFonts w:ascii="Times New Roman" w:cs="Times New Roman" w:eastAsia="Times New Roman" w:hAnsi="Times New Roman"/>
                <w:color w:val="1F2937"/>
                <w:sz w:val="20"/>
                <w:szCs w:val="20"/>
              </w:rPr>
              <w:t xml:space="preserve">Réseaux sociaux</w:t>
            </w:r>
          </w:p>
        </w:tc>
        <w:tc>
          <w:tcPr>
            <w:shd w:fill="FFFFFF" w:val="clear"/>
          </w:tcPr>
          <w:p>
            <w:r>
              <w:rPr>
                <w:rFonts w:ascii="Times New Roman" w:cs="Times New Roman" w:eastAsia="Times New Roman" w:hAnsi="Times New Roman"/>
                <w:color w:val="1F2937"/>
                <w:sz w:val="20"/>
                <w:szCs w:val="20"/>
              </w:rPr>
              <w:t xml:space="preserve">(ex. LinkedIn, YouTube, Instagram)</w:t>
            </w:r>
          </w:p>
        </w:tc>
        <w:tc>
          <w:tcPr>
            <w:shd w:fill="FFFFFF" w:val="clear"/>
          </w:tcPr>
          <w:p>
            <w:r>
              <w:rPr>
                <w:rFonts w:ascii="Times New Roman" w:cs="Times New Roman" w:eastAsia="Times New Roman" w:hAnsi="Times New Roman"/>
                <w:color w:val="1F2937"/>
                <w:sz w:val="20"/>
                <w:szCs w:val="20"/>
              </w:rPr>
              <w:t xml:space="preserve">0 € (temps ≠ argent)</w:t>
            </w:r>
          </w:p>
        </w:tc>
        <w:tc>
          <w:tcPr>
            <w:shd w:fill="FFFFFF" w:val="clear"/>
          </w:tcPr>
          <w:p>
            <w:r>
              <w:rPr>
                <w:rFonts w:ascii="Times New Roman" w:cs="Times New Roman" w:eastAsia="Times New Roman" w:hAnsi="Times New Roman"/>
                <w:color w:val="1F2937"/>
                <w:sz w:val="20"/>
                <w:szCs w:val="20"/>
              </w:rPr>
              <w:t xml:space="preserve">Coût en heures !</w:t>
            </w:r>
          </w:p>
        </w:tc>
      </w:tr>
      <w:tr>
        <w:tc>
          <w:tcPr>
            <w:shd w:fill="EEF2F7" w:val="clear"/>
          </w:tcPr>
          <w:p>
            <w:r>
              <w:rPr>
                <w:rFonts w:ascii="Times New Roman" w:cs="Times New Roman" w:eastAsia="Times New Roman" w:hAnsi="Times New Roman"/>
                <w:color w:val="1F2937"/>
                <w:sz w:val="20"/>
                <w:szCs w:val="20"/>
              </w:rPr>
              <w:t xml:space="preserve">Marketplace externe</w:t>
            </w:r>
          </w:p>
        </w:tc>
        <w:tc>
          <w:tcPr>
            <w:shd w:fill="EEF2F7" w:val="clear"/>
          </w:tcPr>
          <w:p>
            <w:r>
              <w:rPr>
                <w:rFonts w:ascii="Times New Roman" w:cs="Times New Roman" w:eastAsia="Times New Roman" w:hAnsi="Times New Roman"/>
                <w:color w:val="1F2937"/>
                <w:sz w:val="20"/>
                <w:szCs w:val="20"/>
              </w:rPr>
              <w:t xml:space="preserve">(ex. Gumroad Discover, Amazon KDP)</w:t>
            </w:r>
          </w:p>
        </w:tc>
        <w:tc>
          <w:tcPr>
            <w:shd w:fill="EEF2F7" w:val="clear"/>
          </w:tcPr>
          <w:p>
            <w:r>
              <w:rPr>
                <w:rFonts w:ascii="Times New Roman" w:cs="Times New Roman" w:eastAsia="Times New Roman" w:hAnsi="Times New Roman"/>
                <w:color w:val="1F2937"/>
                <w:sz w:val="20"/>
                <w:szCs w:val="20"/>
              </w:rPr>
              <w:t xml:space="preserve">Commission par vente</w:t>
            </w:r>
          </w:p>
        </w:tc>
        <w:tc>
          <w:tcPr>
            <w:shd w:fill="EEF2F7" w:val="clear"/>
          </w:tcPr>
          <w:p>
            <w:r>
              <w:rPr>
                <w:rFonts w:ascii="Times New Roman" w:cs="Times New Roman" w:eastAsia="Times New Roman" w:hAnsi="Times New Roman"/>
                <w:color w:val="1F2937"/>
                <w:sz w:val="20"/>
                <w:szCs w:val="20"/>
              </w:rPr>
              <w:t xml:space="preserve">Trafic inclus, marge réduite</w:t>
            </w:r>
          </w:p>
        </w:tc>
      </w:tr>
    </w:tbl>
    <w:p>
      <w:pPr>
        <w:spacing w:after="100" w:before="100"/>
      </w:pPr>
    </w:p>
    <w:p>
      <w:pPr>
        <w:spacing w:after="80" w:before="80"/>
      </w:pPr>
      <w:r>
        <w:rPr>
          <w:rFonts w:ascii="Times New Roman" w:cs="Times New Roman" w:eastAsia="Times New Roman" w:hAnsi="Times New Roman"/>
          <w:color w:val="1F2937"/>
          <w:sz w:val="22"/>
          <w:szCs w:val="22"/>
        </w:rPr>
        <w:t xml:space="preserve">Questions de réflexion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Quelle est ta source de trafic principale aujourd'hui ? Est-elle sous ton contrôle (liste email) ou dépend-elle d'une plateforme tierce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Si Brevo ou Mailchimp te désactivait ton compte demain (ce qui arrive aux comptes inactifs ou suspectés de spam), quel serait l'impact sur tes revenus ? As-tu une copie exportable de ta liste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À quel seuil de listes (abonnés email) ton outil email marketing actuel te coûtera-t-il de l'argent ?</w:t>
      </w:r>
    </w:p>
    <w:p>
      <w:pPr>
        <w:spacing w:after="100" w:before="100"/>
      </w:pPr>
    </w:p>
    <w:p>
      <w:pPr>
        <w:pStyle w:val="Heading2"/>
        <w:spacing w:after="100" w:before="280"/>
      </w:pPr>
      <w:r>
        <w:rPr>
          <w:rFonts w:ascii="Times New Roman" w:cs="Times New Roman" w:eastAsia="Times New Roman" w:hAnsi="Times New Roman"/>
          <w:b/>
          <w:bCs/>
          <w:color w:val="1B3A6B"/>
          <w:sz w:val="30"/>
          <w:szCs w:val="30"/>
        </w:rPr>
        <w:t xml:space="preserve">🎯 Challenge — Budget prévisionnel outillage pour ton projet</w:t>
      </w:r>
    </w:p>
    <w:p>
      <w:pPr>
        <w:spacing w:after="80" w:before="80"/>
      </w:pPr>
      <w:r>
        <w:rPr>
          <w:rFonts w:ascii="Times New Roman" w:cs="Times New Roman" w:eastAsia="Times New Roman" w:hAnsi="Times New Roman"/>
          <w:color w:val="1F2937"/>
          <w:sz w:val="22"/>
          <w:szCs w:val="22"/>
        </w:rPr>
        <w:t xml:space="preserve">Objectif : construire un budget mensuel réaliste sur 3 horizons (démarrage / croissance / régime de croisière) pour la stack création + hébergement + paiement + distribution de TON projet passif.</w:t>
      </w:r>
    </w:p>
    <w:p>
      <w:pPr>
        <w:spacing w:after="80" w:before="80"/>
      </w:pPr>
      <w:r>
        <w:rPr>
          <w:rFonts w:ascii="Times New Roman" w:cs="Times New Roman" w:eastAsia="Times New Roman" w:hAnsi="Times New Roman"/>
          <w:color w:val="1F2937"/>
          <w:sz w:val="22"/>
          <w:szCs w:val="22"/>
        </w:rPr>
        <w:t xml:space="preserve">Instructions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Choisis un projet passif parmi ceux vus aux leçons 5, 6 et 7 (produit numérique, newsletter payante, micro-SaaS simple).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Pour chaque maillon (création, hébergement, paiement, distribution), sélectionne UN outil et justifie en un mot ta raison (coût, simplicité, MoR…).</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Calcule le coût mensuel total à 3 stades : 0 vente/mois, 20 ventes/mois à 29 €, 100 ventes/mois à 29 €.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Identifie à quel stade tu changes d'outil (ex. : passer de Gumroad à Stripe+hébergement propre).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Identifie le risque numéro 1 dans ta stack (lock-in ? dépendance à un seul canal ? TVA non gérée ?).</w:t>
      </w:r>
    </w:p>
    <w:p>
      <w:pPr>
        <w:spacing w:after="80" w:before="80"/>
      </w:pPr>
      <w:r>
        <w:rPr>
          <w:rFonts w:ascii="Times New Roman" w:cs="Times New Roman" w:eastAsia="Times New Roman" w:hAnsi="Times New Roman"/>
          <w:color w:val="1F2937"/>
          <w:sz w:val="22"/>
          <w:szCs w:val="22"/>
        </w:rPr>
        <w:t xml:space="preserve">Exemple de structure de réponse attendue :</w:t>
      </w:r>
    </w:p>
    <w:p>
      <w:pPr>
        <w:pBdr>
          <w:left w:val="thick" w:color="1B3A6B" w:sz="12" w:space="8"/>
        </w:pBdr>
        <w:shd w:fill="EEF2F7" w:val="clear"/>
        <w:spacing w:after="100" w:before="100"/>
        <w:ind w:left="576"/>
      </w:pPr>
      <w:r>
        <w:rPr>
          <w:rFonts w:ascii="Times New Roman" w:cs="Times New Roman" w:eastAsia="Times New Roman" w:hAnsi="Times New Roman"/>
          <w:i/>
          <w:iCs/>
          <w:color w:val="1F2937"/>
          <w:sz w:val="22"/>
          <w:szCs w:val="22"/>
        </w:rPr>
        <w:t xml:space="preserve">Projet : ebook de recettes végétales à 19 €.
Démarrage (0 vente) : Gumroad gratuit = 0 €/mois. Pas d'hébergement nécessaire.
20 ventes/mois : 20 × (10 % + 0,50 $) ≈ 20 × 2,37 € = ~47,40 € de commissions prélevées.
100 ventes/mois : 100 × 2,37 € = ~237 €. Coût OVH+Stripe serait : 2,99 € + 100 × 0,535 € = ~56,5 €.
→ Seuil de bascule Gumroad → Stripe+OVH : autour de 3-4 ventes/mois (comme calculé en exercice 1).
Risque n°1 : pas de liste email propre ; si Gumroad ferme le compte, les acheteurs passés sont perdus.</w:t>
      </w:r>
    </w:p>
    <w:p>
      <w:pPr>
        <w:spacing w:after="100" w:before="100"/>
      </w:pPr>
    </w:p>
    <w:p>
      <w:pPr>
        <w:pStyle w:val="Heading2"/>
        <w:spacing w:after="100" w:before="280"/>
      </w:pPr>
      <w:r>
        <w:rPr>
          <w:rFonts w:ascii="Times New Roman" w:cs="Times New Roman" w:eastAsia="Times New Roman" w:hAnsi="Times New Roman"/>
          <w:b/>
          <w:bCs/>
          <w:color w:val="1B3A6B"/>
          <w:sz w:val="30"/>
          <w:szCs w:val="30"/>
        </w:rPr>
        <w:t xml:space="preserve">📚 Ressources cliquables — Sources de cette leçon</w:t>
      </w:r>
    </w:p>
    <w:p>
      <w:pPr>
        <w:spacing w:after="80" w:before="80"/>
      </w:pPr>
      <w:r>
        <w:rPr>
          <w:rFonts w:ascii="Times New Roman" w:cs="Times New Roman" w:eastAsia="Times New Roman" w:hAnsi="Times New Roman"/>
          <w:color w:val="1F2937"/>
          <w:sz w:val="22"/>
          <w:szCs w:val="22"/>
        </w:rPr>
        <w:t xml:space="preserve">Tous les liens ci-dessous ont été testés le 13 septembre 2026 (réponse HTTP 200).</w:t>
      </w:r>
    </w:p>
    <w:p>
      <w:pPr>
        <w:pStyle w:val="ListParagraph"/>
        <w:numPr>
          <w:ilvl w:val="0"/>
          <w:numId w:val="1"/>
        </w:numPr>
        <w:spacing w:after="60" w:before="60"/>
      </w:pPr>
      <w:hyperlink w:history="1" r:id="rId5hbsscsxavg57ohmrvkug">
        <w:r>
          <w:rPr>
            <w:rFonts w:ascii="Times New Roman" w:cs="Times New Roman" w:eastAsia="Times New Roman" w:hAnsi="Times New Roman"/>
            <w:color w:val="1155CC"/>
            <w:sz w:val="22"/>
            <w:szCs w:val="22"/>
            <w:u w:val="single" w:color="1155CC"/>
          </w:rPr>
          <w:t xml:space="preserve">Stripe — Tarifs et frais (paiements en ligne, standard, EEE et international)</w:t>
        </w:r>
      </w:hyperlink>
    </w:p>
    <w:p>
      <w:pPr>
        <w:pStyle w:val="ListParagraph"/>
        <w:numPr>
          <w:ilvl w:val="0"/>
          <w:numId w:val="1"/>
        </w:numPr>
        <w:spacing w:after="60" w:before="60"/>
      </w:pPr>
      <w:hyperlink w:history="1" r:id="rIds5ikdm_jc47d7jpe4pivp">
        <w:r>
          <w:rPr>
            <w:rFonts w:ascii="Times New Roman" w:cs="Times New Roman" w:eastAsia="Times New Roman" w:hAnsi="Times New Roman"/>
            <w:color w:val="1155CC"/>
            <w:sz w:val="22"/>
            <w:szCs w:val="22"/>
            <w:u w:val="single" w:color="1155CC"/>
          </w:rPr>
          <w:t xml:space="preserve">Gumroad — Pricing (10 % + 0,50 $ direct ; 30 % via Discover ; Merchant of Record depuis jan. 2025)</w:t>
        </w:r>
      </w:hyperlink>
    </w:p>
    <w:p>
      <w:pPr>
        <w:pStyle w:val="ListParagraph"/>
        <w:numPr>
          <w:ilvl w:val="0"/>
          <w:numId w:val="1"/>
        </w:numPr>
        <w:spacing w:after="60" w:before="60"/>
      </w:pPr>
      <w:hyperlink w:history="1" r:id="rIdeqtbiwwysnxwkn7sk-mhb">
        <w:r>
          <w:rPr>
            <w:rFonts w:ascii="Times New Roman" w:cs="Times New Roman" w:eastAsia="Times New Roman" w:hAnsi="Times New Roman"/>
            <w:color w:val="1155CC"/>
            <w:sz w:val="22"/>
            <w:szCs w:val="22"/>
            <w:u w:val="single" w:color="1155CC"/>
          </w:rPr>
          <w:t xml:space="preserve">Lemon Squeezy — Pricing (5 % + 0,50 $ par transaction ; email marketing gratuit jusqu'à 500 abonnés)</w:t>
        </w:r>
      </w:hyperlink>
    </w:p>
    <w:p>
      <w:pPr>
        <w:pStyle w:val="ListParagraph"/>
        <w:numPr>
          <w:ilvl w:val="0"/>
          <w:numId w:val="1"/>
        </w:numPr>
        <w:spacing w:after="60" w:before="60"/>
      </w:pPr>
      <w:hyperlink w:history="1" r:id="rIduyekv4hise93n-ykiznab">
        <w:r>
          <w:rPr>
            <w:rFonts w:ascii="Times New Roman" w:cs="Times New Roman" w:eastAsia="Times New Roman" w:hAnsi="Times New Roman"/>
            <w:color w:val="1155CC"/>
            <w:sz w:val="22"/>
            <w:szCs w:val="22"/>
            <w:u w:val="single" w:color="1155CC"/>
          </w:rPr>
          <w:t xml:space="preserve">Ghost(Pro) — Plans &amp; pricing (Starter $18/mo, Publisher $29/mo, Business $199/mo — annuel, aucun frais par transaction)</w:t>
        </w:r>
      </w:hyperlink>
    </w:p>
    <w:p>
      <w:pPr>
        <w:pStyle w:val="ListParagraph"/>
        <w:numPr>
          <w:ilvl w:val="0"/>
          <w:numId w:val="1"/>
        </w:numPr>
        <w:spacing w:after="60" w:before="60"/>
      </w:pPr>
      <w:hyperlink w:history="1" r:id="rIdhoybr5k8lvzxib3wedubf">
        <w:r>
          <w:rPr>
            <w:rFonts w:ascii="Times New Roman" w:cs="Times New Roman" w:eastAsia="Times New Roman" w:hAnsi="Times New Roman"/>
            <w:color w:val="1155CC"/>
            <w:sz w:val="22"/>
            <w:szCs w:val="22"/>
            <w:u w:val="single" w:color="1155CC"/>
          </w:rPr>
          <w:t xml:space="preserve">Substack — Going paid (les créateurs gardent 90 % des revenus, Substack prend 10 %)</w:t>
        </w:r>
      </w:hyperlink>
    </w:p>
    <w:p>
      <w:pPr>
        <w:pStyle w:val="ListParagraph"/>
        <w:numPr>
          <w:ilvl w:val="0"/>
          <w:numId w:val="1"/>
        </w:numPr>
        <w:spacing w:after="60" w:before="60"/>
      </w:pPr>
      <w:hyperlink w:history="1" r:id="rId84rpk_gw3xh2hczafy4cg">
        <w:r>
          <w:rPr>
            <w:rFonts w:ascii="Times New Roman" w:cs="Times New Roman" w:eastAsia="Times New Roman" w:hAnsi="Times New Roman"/>
            <w:color w:val="1155CC"/>
            <w:sz w:val="22"/>
            <w:szCs w:val="22"/>
            <w:u w:val="single" w:color="1155CC"/>
          </w:rPr>
          <w:t xml:space="preserve">OVHcloud — Hébergement web (Starter 1,59 € HT/mois promo, renouvellement 2,59 €/mois ; Perso 2,99 €/renouvellement 5,99 €/mois)</w:t>
        </w:r>
      </w:hyperlink>
    </w:p>
    <w:p>
      <w:pPr>
        <w:pStyle w:val="ListParagraph"/>
        <w:numPr>
          <w:ilvl w:val="0"/>
          <w:numId w:val="1"/>
        </w:numPr>
        <w:spacing w:after="60" w:before="60"/>
      </w:pPr>
      <w:hyperlink w:history="1" r:id="rId8cxgx6im0zuuy5k39ayrb">
        <w:r>
          <w:rPr>
            <w:rFonts w:ascii="Times New Roman" w:cs="Times New Roman" w:eastAsia="Times New Roman" w:hAnsi="Times New Roman"/>
            <w:color w:val="1155CC"/>
            <w:sz w:val="22"/>
            <w:szCs w:val="22"/>
            <w:u w:val="single" w:color="1155CC"/>
          </w:rPr>
          <w:t xml:space="preserve">WordPress.com — Tarifs (Premium : 18 €/mois mensuel, 8 €/mois annuel 1 an)</w:t>
        </w:r>
      </w:hyperlink>
    </w:p>
    <w:p>
      <w:pPr>
        <w:pStyle w:val="ListParagraph"/>
        <w:numPr>
          <w:ilvl w:val="0"/>
          <w:numId w:val="1"/>
        </w:numPr>
        <w:spacing w:after="60" w:before="60"/>
      </w:pPr>
      <w:hyperlink w:history="1" r:id="rIdxjhvseamd9urjoqdb-6db">
        <w:r>
          <w:rPr>
            <w:rFonts w:ascii="Times New Roman" w:cs="Times New Roman" w:eastAsia="Times New Roman" w:hAnsi="Times New Roman"/>
            <w:color w:val="1155CC"/>
            <w:sz w:val="22"/>
            <w:szCs w:val="22"/>
            <w:u w:val="single" w:color="1155CC"/>
          </w:rPr>
          <w:t xml:space="preserve">Brevo — Tarifs (offre gratuite permanente ; Starter dès 5 000 emails/mois ; -10 % annuel)</w:t>
        </w:r>
      </w:hyperlink>
    </w:p>
    <w:p>
      <w:pPr>
        <w:pStyle w:val="ListParagraph"/>
        <w:numPr>
          <w:ilvl w:val="0"/>
          <w:numId w:val="1"/>
        </w:numPr>
        <w:spacing w:after="60" w:before="60"/>
      </w:pPr>
      <w:hyperlink w:history="1" r:id="rIdmlkxorrnf6fmmkaemlmp1">
        <w:r>
          <w:rPr>
            <w:rFonts w:ascii="Times New Roman" w:cs="Times New Roman" w:eastAsia="Times New Roman" w:hAnsi="Times New Roman"/>
            <w:color w:val="1155CC"/>
            <w:sz w:val="22"/>
            <w:szCs w:val="22"/>
            <w:u w:val="single" w:color="1155CC"/>
          </w:rPr>
          <w:t xml:space="preserve">AMF — Espace épargnants (listes noires des acteurs non autorisés, conseils anti-arnaques)</w:t>
        </w:r>
      </w:hyperlink>
    </w:p>
    <w:p>
      <w:pPr>
        <w:spacing w:after="100" w:before="100"/>
      </w:pPr>
    </w:p>
    <w:p>
      <w:pPr>
        <w:pStyle w:val="Heading2"/>
        <w:spacing w:after="100" w:before="280"/>
      </w:pPr>
      <w:r>
        <w:rPr>
          <w:rFonts w:ascii="Times New Roman" w:cs="Times New Roman" w:eastAsia="Times New Roman" w:hAnsi="Times New Roman"/>
          <w:b/>
          <w:bCs/>
          <w:color w:val="1B3A6B"/>
          <w:sz w:val="30"/>
          <w:szCs w:val="30"/>
        </w:rPr>
        <w:t xml:space="preserve">🔜 Prochaine leçon — n°09</w:t>
      </w:r>
    </w:p>
    <w:p>
      <w:pPr>
        <w:spacing w:after="80" w:before="80"/>
      </w:pPr>
      <w:r>
        <w:rPr>
          <w:rFonts w:ascii="Times New Roman" w:cs="Times New Roman" w:eastAsia="Times New Roman" w:hAnsi="Times New Roman"/>
          <w:color w:val="1F2937"/>
          <w:sz w:val="22"/>
          <w:szCs w:val="22"/>
        </w:rPr>
        <w:t xml:space="preserve">Les outils par type de business (2/2) : automatisation, IA, mesure et maintenance. On couvrira la partie invisible de la stack — les outils qui font tourner les processus automatiques, mesurent la performance et maintiennent le business en état de marche sans intervention quotidienne. Budget complet (stack 1/2 + stack 2/2) pour chaque famille de business.</w:t>
      </w:r>
    </w:p>
    <w:p>
      <w:pPr>
        <w:spacing w:after="100" w:before="100"/>
      </w:pPr>
    </w:p>
    <w:sectPr>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5hbsscsxavg57ohmrvkug" Type="http://schemas.openxmlformats.org/officeDocument/2006/relationships/hyperlink" Target="https://stripe.com/fr/pricing" TargetMode="External"/><Relationship Id="rIds5ikdm_jc47d7jpe4pivp" Type="http://schemas.openxmlformats.org/officeDocument/2006/relationships/hyperlink" Target="https://gumroad.com/pricing" TargetMode="External"/><Relationship Id="rIdeqtbiwwysnxwkn7sk-mhb" Type="http://schemas.openxmlformats.org/officeDocument/2006/relationships/hyperlink" Target="https://www.lemonsqueezy.com/pricing" TargetMode="External"/><Relationship Id="rIduyekv4hise93n-ykiznab" Type="http://schemas.openxmlformats.org/officeDocument/2006/relationships/hyperlink" Target="https://ghost.org/pricing/" TargetMode="External"/><Relationship Id="rIdhoybr5k8lvzxib3wedubf" Type="http://schemas.openxmlformats.org/officeDocument/2006/relationships/hyperlink" Target="https://substack.com/going-paid" TargetMode="External"/><Relationship Id="rId84rpk_gw3xh2hczafy4cg" Type="http://schemas.openxmlformats.org/officeDocument/2006/relationships/hyperlink" Target="https://www.ovhcloud.com/fr/web-hosting/" TargetMode="External"/><Relationship Id="rId8cxgx6im0zuuy5k39ayrb" Type="http://schemas.openxmlformats.org/officeDocument/2006/relationships/hyperlink" Target="https://wordpress.com/fr/pricing/" TargetMode="External"/><Relationship Id="rIdxjhvseamd9urjoqdb-6db" Type="http://schemas.openxmlformats.org/officeDocument/2006/relationships/hyperlink" Target="https://www.brevo.com/fr/pricing/" TargetMode="External"/><Relationship Id="rIdmlkxorrnf6fmmkaemlmp1" Type="http://schemas.openxmlformats.org/officeDocument/2006/relationships/hyperlink" Target="https://www.amf-france.org/fr/espace-epargnants"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2026-09-13T05:09:32.171Z</dcterms:created>
  <dcterms:modified xsi:type="dcterms:W3CDTF">2026-09-13T05:09:32.193Z</dcterms:modified>
</cp:coreProperties>
</file>

<file path=docProps/custom.xml><?xml version="1.0" encoding="utf-8"?>
<Properties xmlns="http://schemas.openxmlformats.org/officeDocument/2006/custom-properties" xmlns:vt="http://schemas.openxmlformats.org/officeDocument/2006/docPropsVTypes"/>
</file>