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Placement financier n°20 — BILAN</w:t>
      </w:r>
    </w:p>
    <w:p>
      <w:pPr>
        <w:pStyle w:val="Heading1"/>
        <w:spacing w:after="200"/>
        <w:jc w:val="center"/>
      </w:pPr>
      <w:r>
        <w:rPr>
          <w:rFonts w:ascii="Times New Roman" w:cs="Times New Roman" w:eastAsia="Times New Roman" w:hAnsi="Times New Roman"/>
          <w:b/>
          <w:bCs/>
          <w:color w:val="1B3A6B"/>
          <w:sz w:val="52"/>
          <w:szCs w:val="52"/>
        </w:rPr>
        <w:t xml:space="preserve">Synthèse du parcours et feuille de route personnelle</w:t>
      </w:r>
    </w:p>
    <w:p>
      <w:pPr>
        <w:spacing w:after="120"/>
      </w:pPr>
      <w:r>
        <w:rPr>
          <w:rFonts w:ascii="Times New Roman" w:cs="Times New Roman" w:eastAsia="Times New Roman" w:hAnsi="Times New Roman"/>
          <w:b w:val="false"/>
          <w:bCs w:val="false"/>
          <w:i w:val="false"/>
          <w:iCs w:val="false"/>
          <w:color w:val="1B3A6B"/>
          <w:sz w:val="22"/>
          <w:szCs w:val="22"/>
        </w:rPr>
        <w:t xml:space="preserve">Date : 24 octobre 2026   ·   Leçon 20 / 20</w:t>
      </w:r>
    </w:p>
    <w:p>
      <w:pPr>
        <w:spacing w:after="80"/>
      </w:pPr>
      <w:r>
        <w:t xml:space="preserve"/>
      </w:r>
    </w:p>
    <w:p>
      <w:pPr>
        <w:pStyle w:val="Heading2"/>
        <w:spacing w:after="120" w:before="24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l'issue de cette leçon, tu seras en mesure de dresser une cartographie claire de tes 19 semaines de formation, d'identifier les concepts que tu maîtrises, ceux qui méritent un approfondissement, et de rédiger ta propre feuille de route patrimoniale. C'est la leçon de fermeture : elle ne traite pas un thème nouveau, elle relie ce qui a été vu et ouvre les pistes d'approfondissement autonome pour la suite.</w:t>
      </w:r>
    </w:p>
    <w:p>
      <w:pPr>
        <w:spacing w:after="120"/>
      </w:pPr>
      <w:r>
        <w:rPr>
          <w:rFonts w:ascii="Times New Roman" w:cs="Times New Roman" w:eastAsia="Times New Roman" w:hAnsi="Times New Roman"/>
          <w:b w:val="false"/>
          <w:bCs w:val="false"/>
          <w:i w:val="false"/>
          <w:iCs w:val="false"/>
          <w:color w:val="1F2937"/>
          <w:sz w:val="22"/>
          <w:szCs w:val="22"/>
        </w:rPr>
        <w:t xml:space="preserve">Lien avec la leçon 19 : la leçon précédente a posé le cadre d'une allocation cohérente et la manière de la tenir dans la durée — rééquilibrage périodique, corridor de tolérance, investissement programmé (DCA). Cette leçon 20 s'appuie sur cet ancrage pour dresser le bilan d'ensemble du parcours.</w:t>
      </w:r>
    </w:p>
    <w:p>
      <w:pPr>
        <w:spacing w:after="80"/>
      </w:pPr>
      <w:r>
        <w:t xml:space="preserve"/>
      </w:r>
    </w:p>
    <w:p>
      <w:pPr>
        <w:pStyle w:val="Heading2"/>
        <w:spacing w:after="120" w:before="240"/>
      </w:pPr>
      <w:r>
        <w:rPr>
          <w:rFonts w:ascii="Times New Roman" w:cs="Times New Roman" w:eastAsia="Times New Roman" w:hAnsi="Times New Roman"/>
          <w:b/>
          <w:bCs/>
          <w:color w:val="1B3A6B"/>
          <w:sz w:val="30"/>
          <w:szCs w:val="30"/>
        </w:rPr>
        <w:t xml:space="preserve">⚖️ Rappel</w:t>
      </w:r>
    </w:p>
    <w:p>
      <w:pPr>
        <w:shd w:fill="F3F4F6" w:val="clear"/>
        <w:spacing w:after="120" w:before="120"/>
        <w:ind w:left="431" w:right="431"/>
      </w:pPr>
      <w:r>
        <w:rPr>
          <w:rFonts w:ascii="Times New Roman" w:cs="Times New Roman" w:eastAsia="Times New Roman" w:hAnsi="Times New Roman"/>
          <w:i/>
          <w:iCs/>
          <w:color w:val="1F2937"/>
          <w:sz w:val="22"/>
          <w:szCs w:val="22"/>
        </w:rPr>
        <w:t xml:space="preserve">Rappel déontologique final : ce parcours de 20 leçons relève de l'éducation financière générale. Il ne constitue en aucun cas un conseil en investissement personnalisé. Les produits d'épargne comportent un risque de perte en capital, variable selon leur nature. Pour toute décision patrimoniale, consulte un conseiller en gestion de patrimoine (CGP) ou un conseiller en investissements financiers (CIF) agréé AMF.</w:t>
      </w:r>
    </w:p>
    <w:p>
      <w:pPr>
        <w:spacing w:after="80"/>
      </w:pPr>
      <w:r>
        <w:t xml:space="preserve"/>
      </w:r>
    </w:p>
    <w:p>
      <w:pPr>
        <w:pStyle w:val="Heading2"/>
        <w:spacing w:after="120" w:before="240"/>
      </w:pPr>
      <w:r>
        <w:rPr>
          <w:rFonts w:ascii="Times New Roman" w:cs="Times New Roman" w:eastAsia="Times New Roman" w:hAnsi="Times New Roman"/>
          <w:b/>
          <w:bCs/>
          <w:color w:val="1B3A6B"/>
          <w:sz w:val="30"/>
          <w:szCs w:val="30"/>
        </w:rPr>
        <w:t xml:space="preserve">🔬 Théorie (20 %) — Cartographie du parcours</w:t>
      </w:r>
    </w:p>
    <w:p>
      <w:pPr>
        <w:pStyle w:val="Heading3"/>
        <w:spacing w:after="80" w:before="160"/>
      </w:pPr>
      <w:r>
        <w:rPr>
          <w:rFonts w:ascii="Times New Roman" w:cs="Times New Roman" w:eastAsia="Times New Roman" w:hAnsi="Times New Roman"/>
          <w:b/>
          <w:bCs/>
          <w:color w:val="1F2937"/>
          <w:sz w:val="26"/>
          <w:szCs w:val="26"/>
        </w:rPr>
        <w:t xml:space="preserve">Les 20 leçons en un tableau</w:t>
      </w:r>
    </w:p>
    <w:p>
      <w:pPr>
        <w:spacing w:after="120"/>
      </w:pPr>
      <w:r>
        <w:rPr>
          <w:rFonts w:ascii="Times New Roman" w:cs="Times New Roman" w:eastAsia="Times New Roman" w:hAnsi="Times New Roman"/>
          <w:b w:val="false"/>
          <w:bCs w:val="false"/>
          <w:i w:val="false"/>
          <w:iCs w:val="false"/>
          <w:color w:val="1F2937"/>
          <w:sz w:val="22"/>
          <w:szCs w:val="22"/>
        </w:rPr>
        <w:t xml:space="preserve">Le tableau ci-dessous recense les 20 leçons, leur famille thématique et les concepts clés abordés. Il sert à la fois de mémo et de point de départ pour l'auto-évaluation de l'exercice 1.</w:t>
      </w:r>
    </w:p>
    <w:p>
      <w:pPr>
        <w:spacing w:after="80"/>
      </w:pPr>
      <w: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2257"/>
        <w:gridCol w:w="2257"/>
        <w:gridCol w:w="2257"/>
        <w:gridCol w:w="2257"/>
      </w:tblGrid>
      <w:tr>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N°</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Thème</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Famille</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Concepts clés</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01</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Fondations : objectif, horizon, risque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Fondations</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Profil d'investisseur, capacité d'épargne, tolérance au risque</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02</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Rendement, risque, diversification</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Fondations</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Couple rendement/risque, diversification des actifs</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03</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Classes d'actifs et comportement historique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Fondations</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Actions, obligations, immobilier, liquidités, matières premières</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04</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Intérêts composés, inflation, rendement réel</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Fondations</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Effet boule de neige, rendement réel = nominal − inflation</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05</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Enveloppes françaises — panorama</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Enveloppes</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PEA, assurance-vie, PER, Livret A, CTO, PEE/PERECO</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06</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Assurance-vie : fonds euros, UC, fiscalité</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Enveloppes</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Abattement 4 600/9 200 €, taux 7,5 % après 8 ans, PS 17,2–18,6 %</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07</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PER et préparation de la retraite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Enveloppes</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Déductibilité, sortie en rente ou capital, PFU/barème à la sortie</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08</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Immobilier, SCPI, pierre-papier</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Actifs réels</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Rendement locatif, SCPI de rendement, pierre-papier vs direct</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09</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Frais et leur impact sur le long terme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Coûts</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Frais d'entrée, de gestion, d'arbitrage ; réduction cible &lt; 0,5 %</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10</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Fiscalité des revenus du capital</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Fiscalité</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PFU 31,4 %, barème sur option, PS 17,2/18,6 % selon produit/date</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11</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Épargne salariale : PEE, PERECO</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Enveloppes</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Intéressement, participation, abondement, déblocages anticipés</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12</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Obligations et fonds obligataires</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Actifs financiers</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Coupon, pair, duration, TRA, notation agence + date</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13</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ETF et gestion indicielle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Actifs financiers</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Réplication physique/synthétique, TER &lt; 0,25 %, tracking error</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14</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Gestion libre, pilotée, mandat d'arbitrage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Pilotage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Profilage risque, questionnaire convenance, frais de mandat</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15</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Biais comportementaux</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Comportement</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Aversion aux pertes, ancrage, confirmation, disponibilité, gregarious</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16</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Transmission, succession, démembrement</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Transmission</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Abattements, barème progressif par tranches, nue-propriété/usufruit</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17</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Arnaques et signaux d'alerte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Protection</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Liste noire AMF, promesses de rendement élevé, pression temporelle</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18</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Droits à la retraite : reconstitution</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Retraite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Relevé de carrière, EIG, trimestres, décote/surcote, retraite complémentaire</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19</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Allocation cohérente — la tenir dans la durée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Allocation</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Rééquilibrage périodique, corridor de tolérance, DCA</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20</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BILAN — Feuille de route personnelle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Synthèse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Mise en relation des 19 leçons, lacunes, prochaines étapes</w:t>
            </w:r>
          </w:p>
        </w:tc>
      </w:tr>
    </w:tbl>
    <w:p>
      <w:pPr>
        <w:spacing w:after="80"/>
      </w:pPr>
      <w:r>
        <w:t xml:space="preserve"/>
      </w:r>
    </w:p>
    <w:p>
      <w:pPr>
        <w:pStyle w:val="Heading3"/>
        <w:spacing w:after="80" w:before="160"/>
      </w:pPr>
      <w:r>
        <w:rPr>
          <w:rFonts w:ascii="Times New Roman" w:cs="Times New Roman" w:eastAsia="Times New Roman" w:hAnsi="Times New Roman"/>
          <w:b/>
          <w:bCs/>
          <w:color w:val="1F2937"/>
          <w:sz w:val="26"/>
          <w:szCs w:val="26"/>
        </w:rPr>
        <w:t xml:space="preserve">Cinq grandes familles : comment les leçons se relient</w:t>
      </w:r>
    </w:p>
    <w:p>
      <w:pPr>
        <w:spacing w:after="120"/>
      </w:pPr>
      <w:r>
        <w:rPr>
          <w:rFonts w:ascii="Times New Roman" w:cs="Times New Roman" w:eastAsia="Times New Roman" w:hAnsi="Times New Roman"/>
          <w:b w:val="false"/>
          <w:bCs w:val="false"/>
          <w:i w:val="false"/>
          <w:iCs w:val="false"/>
          <w:color w:val="1F2937"/>
          <w:sz w:val="22"/>
          <w:szCs w:val="22"/>
        </w:rPr>
        <w:t xml:space="preserve">Famille 1 — Fondations (L1 à L4) : les quatre premières leçons forment le socle indispensable. Sans une définition claire de son horizon, de sa tolérance au risque et de la mécanique des intérêts composés, toute décision de placement manque de base.</w:t>
      </w:r>
    </w:p>
    <w:p>
      <w:pPr>
        <w:spacing w:after="120"/>
      </w:pPr>
      <w:r>
        <w:rPr>
          <w:rFonts w:ascii="Times New Roman" w:cs="Times New Roman" w:eastAsia="Times New Roman" w:hAnsi="Times New Roman"/>
          <w:b w:val="false"/>
          <w:bCs w:val="false"/>
          <w:i w:val="false"/>
          <w:iCs w:val="false"/>
          <w:color w:val="1F2937"/>
          <w:sz w:val="22"/>
          <w:szCs w:val="22"/>
        </w:rPr>
        <w:t xml:space="preserve">Famille 2 — Enveloppes et produits (L5, L6, L7, L8, L11, L12, L13) : sept leçons couvrent les véhicules disponibles en France — assurance-vie, PER, PEA, immobilier, épargne salariale, obligations, ETF. Connaître les règles fiscales et les mécanismes propres à chaque enveloppe permet de choisir le bon contenant avant de choisir les actifs.</w:t>
      </w:r>
    </w:p>
    <w:p>
      <w:pPr>
        <w:spacing w:after="120"/>
      </w:pPr>
      <w:r>
        <w:rPr>
          <w:rFonts w:ascii="Times New Roman" w:cs="Times New Roman" w:eastAsia="Times New Roman" w:hAnsi="Times New Roman"/>
          <w:b w:val="false"/>
          <w:bCs w:val="false"/>
          <w:i w:val="false"/>
          <w:iCs w:val="false"/>
          <w:color w:val="1F2937"/>
          <w:sz w:val="22"/>
          <w:szCs w:val="22"/>
        </w:rPr>
        <w:t xml:space="preserve">Famille 3 — Coûts et fiscalité (L9, L10) : deux leçons consacrées à ce qui ampute le rendement réel. Un dixième de point de frais en moins sur 20 ans représente des milliers d'euros. La fiscalité — PFU à 31,4 % depuis le 1er janvier 2026, prélèvements sociaux à 18,6 % sauf exceptions — doit être intégrée à tout calcul de rendement net.</w:t>
      </w:r>
    </w:p>
    <w:p>
      <w:pPr>
        <w:spacing w:after="120"/>
      </w:pPr>
      <w:r>
        <w:rPr>
          <w:rFonts w:ascii="Times New Roman" w:cs="Times New Roman" w:eastAsia="Times New Roman" w:hAnsi="Times New Roman"/>
          <w:b w:val="false"/>
          <w:bCs w:val="false"/>
          <w:i w:val="false"/>
          <w:iCs w:val="false"/>
          <w:color w:val="1F2937"/>
          <w:sz w:val="22"/>
          <w:szCs w:val="22"/>
        </w:rPr>
        <w:t xml:space="preserve">Famille 4 — Comportement et pilotage (L14, L15, L19) : trois leçons sur ce qui détermine souvent plus que la technique : les biais cognitifs, le mode de gestion (libre, pilotée, mandat), et la capacité à tenir une allocation dans la durée. La recherche en finance comportementale montre que l'écart de performance entre un investisseur discipliné et un investisseur émotif peut dépasser l'écart lié au choix des produits.</w:t>
      </w:r>
    </w:p>
    <w:p>
      <w:pPr>
        <w:spacing w:after="120"/>
      </w:pPr>
      <w:r>
        <w:rPr>
          <w:rFonts w:ascii="Times New Roman" w:cs="Times New Roman" w:eastAsia="Times New Roman" w:hAnsi="Times New Roman"/>
          <w:b w:val="false"/>
          <w:bCs w:val="false"/>
          <w:i w:val="false"/>
          <w:iCs w:val="false"/>
          <w:color w:val="1F2937"/>
          <w:sz w:val="22"/>
          <w:szCs w:val="22"/>
        </w:rPr>
        <w:t xml:space="preserve">Famille 5 — Sujets avancés (L16, L17, L18) : transmission et succession, protection contre les arnaques, reconstitution des droits à la retraite. Ces trois leçons touchent à des décisions à forte conséquence — irréversibles ou quasi-irréversibles — qui justifient systématiquement un accompagnement par un professionnel agréé.</w:t>
      </w:r>
    </w:p>
    <w:p>
      <w:pPr>
        <w:spacing w:after="80"/>
      </w:pPr>
      <w:r>
        <w:t xml:space="preserve"/>
      </w:r>
    </w:p>
    <w:p>
      <w:pPr>
        <w:pStyle w:val="Heading3"/>
        <w:spacing w:after="80" w:before="160"/>
      </w:pPr>
      <w:r>
        <w:rPr>
          <w:rFonts w:ascii="Times New Roman" w:cs="Times New Roman" w:eastAsia="Times New Roman" w:hAnsi="Times New Roman"/>
          <w:b/>
          <w:bCs/>
          <w:color w:val="1F2937"/>
          <w:sz w:val="26"/>
          <w:szCs w:val="26"/>
        </w:rPr>
        <w:t xml:space="preserve">Ce que ce parcours n'a pas couvert — lacunes signalées</w:t>
      </w:r>
    </w:p>
    <w:p>
      <w:pPr>
        <w:spacing w:after="120"/>
      </w:pPr>
      <w:r>
        <w:rPr>
          <w:rFonts w:ascii="Times New Roman" w:cs="Times New Roman" w:eastAsia="Times New Roman" w:hAnsi="Times New Roman"/>
          <w:b w:val="false"/>
          <w:bCs w:val="false"/>
          <w:i w:val="false"/>
          <w:iCs w:val="false"/>
          <w:color w:val="1F2937"/>
          <w:sz w:val="22"/>
          <w:szCs w:val="22"/>
        </w:rPr>
        <w:t xml:space="preserve">Par construction, un parcours de 20 leçons ne peut pas tout aborder. Les thèmes suivants n'ont pas été traités ou l'ont été superficiellement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Produits dérivés (options, futures, warrants) : instruments de couverture ou de spéculation, hors portée d'un profil d'épargnant standard.</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Private equity et capital-investissement non côté : illiquidité élevée, horizon long, réservés aux investisseurs avertis (article L533-16 du Code monétaire et financier).</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Produits structurés : mécanismes de protection du capital conditionnelle, formules complexes, frais souvent opaques.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FCPI et FIP : fonds communs de placement dans l'innovation, avantage fiscal en contrepartie d'une immobilisation longue et d'un risque de perte total.</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Investissement socialement responsable (ISR) et labels : Label ISR, Greenfin, Finansol — leur contenu, leurs limites et leur pertinence pour un épargnant attentif aux enjeux ESG.</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Expatriation et fiscalité internationale : conventions fiscales, PEA à l'étranger, double imposition — hors périmètre d'un foyer résidant en France.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Cryptoactifs : régime fiscal (PFU sur les cessions en euros), volatilité extrême, absence de garantie institutionnelle — mentionnés uniquement en leçon 17 comme terrain d'arnaque.</w:t>
      </w:r>
    </w:p>
    <w:p>
      <w:pPr>
        <w:spacing w:after="80"/>
      </w:pPr>
      <w:r>
        <w:t xml:space="preserve"/>
      </w:r>
    </w:p>
    <w:p>
      <w:pPr>
        <w:pStyle w:val="Heading2"/>
        <w:spacing w:after="120" w:before="240"/>
      </w:pPr>
      <w:r>
        <w:rPr>
          <w:rFonts w:ascii="Times New Roman" w:cs="Times New Roman" w:eastAsia="Times New Roman" w:hAnsi="Times New Roman"/>
          <w:b/>
          <w:bCs/>
          <w:color w:val="1B3A6B"/>
          <w:sz w:val="30"/>
          <w:szCs w:val="30"/>
        </w:rPr>
        <w:t xml:space="preserve">🛠️ Pratique (80 %) — Trois exercices d'apprentissage actif</w:t>
      </w:r>
    </w:p>
    <w:p>
      <w:pPr>
        <w:pStyle w:val="Heading3"/>
        <w:spacing w:after="80" w:before="160"/>
      </w:pPr>
      <w:r>
        <w:rPr>
          <w:rFonts w:ascii="Times New Roman" w:cs="Times New Roman" w:eastAsia="Times New Roman" w:hAnsi="Times New Roman"/>
          <w:b/>
          <w:bCs/>
          <w:color w:val="1F2937"/>
          <w:sz w:val="26"/>
          <w:szCs w:val="26"/>
        </w:rPr>
        <w:t xml:space="preserve">Exercice 1 — Auto-évaluation : où en suis-je sur chaque famille ?</w:t>
      </w:r>
    </w:p>
    <w:p>
      <w:pPr>
        <w:spacing w:after="120"/>
      </w:pPr>
      <w:r>
        <w:rPr>
          <w:rFonts w:ascii="Times New Roman" w:cs="Times New Roman" w:eastAsia="Times New Roman" w:hAnsi="Times New Roman"/>
          <w:b w:val="false"/>
          <w:bCs w:val="false"/>
          <w:i w:val="false"/>
          <w:iCs w:val="false"/>
          <w:color w:val="1F2937"/>
          <w:sz w:val="22"/>
          <w:szCs w:val="22"/>
        </w:rPr>
        <w:t xml:space="preserve">Objectif : identifier tes zones de maîtrise réelle et tes angles morts. Ce n'est pas un quiz noté — c'est une boussole pour la suite.</w:t>
      </w:r>
    </w:p>
    <w:p>
      <w:pPr>
        <w:spacing w:after="120"/>
      </w:pPr>
      <w:r>
        <w:rPr>
          <w:rFonts w:ascii="Times New Roman" w:cs="Times New Roman" w:eastAsia="Times New Roman" w:hAnsi="Times New Roman"/>
          <w:b w:val="false"/>
          <w:bCs w:val="false"/>
          <w:i w:val="false"/>
          <w:iCs w:val="false"/>
          <w:color w:val="1F2937"/>
          <w:sz w:val="22"/>
          <w:szCs w:val="22"/>
        </w:rPr>
        <w:t xml:space="preserve">Mode d'emploi : pour chaque famille ci-dessous, coche « À l'aise » si tu peux expliquer le concept principal à un tiers sans regarder tes notes. Coche « À retravailler » si des zones d'ombre subsistent. Puis note dans la colonne priorité le n° de leçon à relire en premier.</w:t>
      </w:r>
    </w:p>
    <w:p>
      <w:pPr>
        <w:spacing w:after="80"/>
      </w:pPr>
      <w: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2257"/>
        <w:gridCol w:w="2257"/>
        <w:gridCol w:w="2257"/>
        <w:gridCol w:w="2257"/>
      </w:tblGrid>
      <w:tr>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Thème</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Je me sens à l'aise</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À retravailler</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Priorité d'approfondissement</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Fondations (L1–L4)</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(à compléter)</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Enveloppes (L5–L7, L11)</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(à compléter)</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Actifs réels (L8)</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(à compléter)</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Coûts et fiscalité (L9–L10)</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(à compléter)</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Actifs financiers (L12–L13)</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(à compléter)</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Pilotage (L14–L15)</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(à compléter)</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Transmission (L16)</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(à compléter)</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Protection (L17)</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(à compléter)</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Retraite (L18)</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(à compléter)</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Allocation (L19)</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  ☑</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(à compléter)</w:t>
            </w:r>
          </w:p>
        </w:tc>
      </w:tr>
    </w:tbl>
    <w:p>
      <w:pPr>
        <w:spacing w:after="80"/>
      </w:pPr>
      <w: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Questions de vérification rapide (répondre sans ouvrir les notes)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Quelle est la différence entre rendement nominal et rendement réel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Quel est le taux de prélèvements sociaux applicable aux intérêts d'une assurance-vie ouverte en 2015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Pourquoi les frais de gestion d'un fonds actif à 2 % sont-ils problématiques face à un ETF à 0,20 % sur 20 ans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Qu'est-ce que la duration d'une obligation, et pourquoi importe-t-elle quand les taux montent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Cite trois biais comportementaux qui conduisent à vendre au mauvais moment.</w:t>
      </w:r>
    </w:p>
    <w:p>
      <w:pPr>
        <w:spacing w:after="80"/>
      </w:pPr>
      <w:r>
        <w:t xml:space="preserve"/>
      </w:r>
    </w:p>
    <w:p>
      <w:pPr>
        <w:pStyle w:val="Heading3"/>
        <w:spacing w:after="80" w:before="160"/>
      </w:pPr>
      <w:r>
        <w:rPr>
          <w:rFonts w:ascii="Times New Roman" w:cs="Times New Roman" w:eastAsia="Times New Roman" w:hAnsi="Times New Roman"/>
          <w:b/>
          <w:bCs/>
          <w:color w:val="1F2937"/>
          <w:sz w:val="26"/>
          <w:szCs w:val="26"/>
        </w:rPr>
        <w:t xml:space="preserve">Exercice 2 — Construire ta feuille de route patrimoniale</w:t>
      </w:r>
    </w:p>
    <w:p>
      <w:pPr>
        <w:spacing w:after="120"/>
      </w:pPr>
      <w:r>
        <w:rPr>
          <w:rFonts w:ascii="Times New Roman" w:cs="Times New Roman" w:eastAsia="Times New Roman" w:hAnsi="Times New Roman"/>
          <w:b w:val="false"/>
          <w:bCs w:val="false"/>
          <w:i w:val="false"/>
          <w:iCs w:val="false"/>
          <w:color w:val="1F2937"/>
          <w:sz w:val="22"/>
          <w:szCs w:val="22"/>
        </w:rPr>
        <w:t xml:space="preserve">Objectif : passer de la connaissance à l'action en structurant tes décisions à prendre. Ce tableau est un outil de préparation à un rendez-vous avec un CGP ou CIF agréé — non une recommandation.</w:t>
      </w:r>
    </w:p>
    <w:p>
      <w:pPr>
        <w:spacing w:after="120"/>
      </w:pPr>
      <w:r>
        <w:rPr>
          <w:rFonts w:ascii="Times New Roman" w:cs="Times New Roman" w:eastAsia="Times New Roman" w:hAnsi="Times New Roman"/>
          <w:b w:val="false"/>
          <w:bCs w:val="false"/>
          <w:i w:val="false"/>
          <w:iCs w:val="false"/>
          <w:color w:val="1F2937"/>
          <w:sz w:val="22"/>
          <w:szCs w:val="22"/>
        </w:rPr>
        <w:t xml:space="preserve">Mode d'emploi : remplis les colonnes « Ma situation actuelle » et « Objectif à 7–8 ans » pour chaque dimension. La colonne « Prochaine action concrète » reste volontairement ouverte : elle est à compléter après avoir consulté un professionnel.</w:t>
      </w:r>
    </w:p>
    <w:p>
      <w:pPr>
        <w:spacing w:after="80"/>
      </w:pPr>
      <w: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60"/>
          <w:bottom w:type="dxa" w:w="60"/>
          <w:right w:type="dxa" w:w="60"/>
        </w:tblCellMar>
      </w:tblPr>
      <w:tblGrid>
        <w:gridCol w:w="2257"/>
        <w:gridCol w:w="2257"/>
        <w:gridCol w:w="2257"/>
        <w:gridCol w:w="2257"/>
      </w:tblGrid>
      <w:tr>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Dimension</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Ma situation actuelle</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Objectif à 7–8 ans</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Prochaine action concrète</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Épargne de précaution (L1, L5)</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Enveloppe principale (L5–L7)</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Exposition aux actifs risqués (L2–L3)</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Niveau de frais (L9)</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Situation fiscale (L10)</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Épargne salariale (L11)</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Immobilier / SCPI (L8)</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r>
      <w:tr>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Retraite — droits estimés (L18)</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FFFFFF"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r>
      <w:tr>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Transmission — mesures anticipées (L16)</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c>
          <w:tcPr>
            <w:shd w:fill="EEF2F7" w:val="clear"/>
            <w:tcMar>
              <w:top w:type="dxa" w:w="60"/>
              <w:left w:type="dxa" w:w="100"/>
              <w:bottom w:type="dxa" w:w="60"/>
              <w:right w:type="dxa" w:w="100"/>
            </w:tcMar>
          </w:tcPr>
          <w:p>
            <w:r>
              <w:rPr>
                <w:rFonts w:ascii="Times New Roman" w:cs="Times New Roman" w:eastAsia="Times New Roman" w:hAnsi="Times New Roman"/>
                <w:b w:val="false"/>
                <w:bCs w:val="false"/>
                <w:color w:val="1F2937"/>
                <w:sz w:val="20"/>
                <w:szCs w:val="20"/>
              </w:rPr>
              <w:t xml:space="preserve">…</w:t>
            </w:r>
          </w:p>
        </w:tc>
      </w:tr>
    </w:tbl>
    <w:p>
      <w:pPr>
        <w:spacing w:after="80"/>
      </w:pPr>
      <w:r>
        <w:t xml:space="preserve"/>
      </w:r>
    </w:p>
    <w:p>
      <w:pPr>
        <w:shd w:fill="F3F4F6" w:val="clear"/>
        <w:spacing w:after="120" w:before="120"/>
        <w:ind w:left="431" w:right="431"/>
      </w:pPr>
      <w:r>
        <w:rPr>
          <w:rFonts w:ascii="Times New Roman" w:cs="Times New Roman" w:eastAsia="Times New Roman" w:hAnsi="Times New Roman"/>
          <w:i/>
          <w:iCs/>
          <w:color w:val="1F2937"/>
          <w:sz w:val="22"/>
          <w:szCs w:val="22"/>
        </w:rPr>
        <w:t xml:space="preserve">⚠️ Rappel déontologique : ce tableau est un outil pédagogique personnel. Aucune case remplie ne constitue une recommandation d'investissement. Les décisions de placement dépendent de ta situation complète — revenus, charges, patrimoine global, régime fiscal, projets familiaux — que seul un conseiller agréé peut évaluer dans sa totalité.</w:t>
      </w:r>
    </w:p>
    <w:p>
      <w:pPr>
        <w:spacing w:after="80"/>
      </w:pPr>
      <w:r>
        <w:t xml:space="preserve"/>
      </w:r>
    </w:p>
    <w:p>
      <w:pPr>
        <w:pStyle w:val="Heading3"/>
        <w:spacing w:after="80" w:before="160"/>
      </w:pPr>
      <w:r>
        <w:rPr>
          <w:rFonts w:ascii="Times New Roman" w:cs="Times New Roman" w:eastAsia="Times New Roman" w:hAnsi="Times New Roman"/>
          <w:b/>
          <w:bCs/>
          <w:color w:val="1F2937"/>
          <w:sz w:val="26"/>
          <w:szCs w:val="26"/>
        </w:rPr>
        <w:t xml:space="preserve">Exercice 3 — Préparer cinq questions pour ton premier rendez-vous avec un CGP/CIF</w:t>
      </w:r>
    </w:p>
    <w:p>
      <w:pPr>
        <w:spacing w:after="120"/>
      </w:pPr>
      <w:r>
        <w:rPr>
          <w:rFonts w:ascii="Times New Roman" w:cs="Times New Roman" w:eastAsia="Times New Roman" w:hAnsi="Times New Roman"/>
          <w:b w:val="false"/>
          <w:bCs w:val="false"/>
          <w:i w:val="false"/>
          <w:iCs w:val="false"/>
          <w:color w:val="1F2937"/>
          <w:sz w:val="22"/>
          <w:szCs w:val="22"/>
        </w:rPr>
        <w:t xml:space="preserve">Objectif : arriver préparé à un entretien avec un professionnel agréé, et tirer le meilleur parti de ce rendez-vous. Un client préparé est un client qui prend de meilleures décisions.</w:t>
      </w:r>
    </w:p>
    <w:p>
      <w:pPr>
        <w:spacing w:after="120"/>
      </w:pPr>
      <w:r>
        <w:rPr>
          <w:rFonts w:ascii="Times New Roman" w:cs="Times New Roman" w:eastAsia="Times New Roman" w:hAnsi="Times New Roman"/>
          <w:b w:val="false"/>
          <w:bCs w:val="false"/>
          <w:i w:val="false"/>
          <w:iCs w:val="false"/>
          <w:color w:val="1F2937"/>
          <w:sz w:val="22"/>
          <w:szCs w:val="22"/>
        </w:rPr>
        <w:t xml:space="preserve">Rédige tes cinq questions en repartant de ton tableau de la feuille de route (exercice 2) et des lacunes du parcours. Exemple de structure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Question 1 (enveloppes) : « Compte tenu de mon horizon de 7–8 ans et de ma tranche marginale d'imposition, quelle combinaison assurance-vie/PER serait la plus adaptée à une sécurisation progressive à partir de 2031 ?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Question 2 (fiscalité) : « Mon contrat d'assurance-vie a été ouvert avant 2005 — quel est l'impact fiscal exact sur les rachats, et y a-t-il intérêt à le conserver ou à en ouvrir un nouveau ?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Question 3 (frais) : « Quels sont tous les frais de mon mandat d'arbitrage actuel, directs et indirects (frais de gestion des unités de compte inclus), et comment les comparer à une gestion indicielle autonome ?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Question 4 (transmission) : « Quelles mesures puis-je anticiper dès maintenant pour optimiser la transmission de mon patrimoine dans le cadre réglementaire en vigueur, sans attendre que la succession soit ouverte ?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Question 5 (retraite) : « Mon EIG indique N trimestres validés. Quel serait l'impact financier d'une départ à taux plein à 64 ans vs à 67 ans, et quelle est la meilleure stratégie de sécurisation pour les 3 à 5 ans précédant l'échéance ? »</w:t>
      </w:r>
    </w:p>
    <w:p>
      <w:pPr>
        <w:spacing w:after="120"/>
      </w:pPr>
      <w:r>
        <w:rPr>
          <w:rFonts w:ascii="Times New Roman" w:cs="Times New Roman" w:eastAsia="Times New Roman" w:hAnsi="Times New Roman"/>
          <w:b w:val="false"/>
          <w:bCs w:val="false"/>
          <w:i w:val="false"/>
          <w:iCs w:val="false"/>
          <w:color w:val="1F2937"/>
          <w:sz w:val="22"/>
          <w:szCs w:val="22"/>
        </w:rPr>
        <w:t xml:space="preserve">Adapte ces cinq questions à ta situation personnelle avant le rendez-vous.</w:t>
      </w:r>
    </w:p>
    <w:p>
      <w:pPr>
        <w:spacing w:after="80"/>
      </w:pPr>
      <w:r>
        <w:t xml:space="preserve"/>
      </w:r>
    </w:p>
    <w:p>
      <w:pPr>
        <w:pStyle w:val="Heading2"/>
        <w:spacing w:after="120" w:before="240"/>
      </w:pPr>
      <w:r>
        <w:rPr>
          <w:rFonts w:ascii="Times New Roman" w:cs="Times New Roman" w:eastAsia="Times New Roman" w:hAnsi="Times New Roman"/>
          <w:b/>
          <w:bCs/>
          <w:color w:val="1B3A6B"/>
          <w:sz w:val="30"/>
          <w:szCs w:val="30"/>
        </w:rPr>
        <w:t xml:space="preserve">🎯 Challenge — Synthèse : dix lignes sur ton profil d'investisseur</w:t>
      </w:r>
    </w:p>
    <w:p>
      <w:pPr>
        <w:spacing w:after="120"/>
      </w:pPr>
      <w:r>
        <w:rPr>
          <w:rFonts w:ascii="Times New Roman" w:cs="Times New Roman" w:eastAsia="Times New Roman" w:hAnsi="Times New Roman"/>
          <w:b w:val="false"/>
          <w:bCs w:val="false"/>
          <w:i w:val="false"/>
          <w:iCs w:val="false"/>
          <w:color w:val="1F2937"/>
          <w:sz w:val="22"/>
          <w:szCs w:val="22"/>
        </w:rPr>
        <w:t xml:space="preserve">Rédige une synthèse personnelle de ton profil d'investisseur en dix lignes (pas plus, pas moins). Elle doit obligatoirement mobiliser les concepts du parcours et répondre à ces cinq questions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1. Quel est mon horizon de placement réel, et comment a-t-il évolué dans ma réflexion depuis la leçon 1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2. Quelle est ma tolérance au risque réelle (pas celle que je pensais avoir au départ) — et sur quelle expérience concrète je la fonde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3. Quelle est la leçon du parcours qui a le plus changé ma façon de voir mes placements actuels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4. Quel est le biais comportemental qui me concerne le plus, et quelle règle de décision ai-je décidé d'adopter pour le contrebalancer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5. Quelle est ma prochaine action concrète — datée — avant de consulter un professionnel ?</w:t>
      </w:r>
    </w:p>
    <w:p>
      <w:pPr>
        <w:spacing w:after="120"/>
      </w:pPr>
      <w:r>
        <w:rPr>
          <w:rFonts w:ascii="Times New Roman" w:cs="Times New Roman" w:eastAsia="Times New Roman" w:hAnsi="Times New Roman"/>
          <w:b w:val="false"/>
          <w:bCs w:val="false"/>
          <w:i w:val="false"/>
          <w:iCs w:val="false"/>
          <w:color w:val="1F2937"/>
          <w:sz w:val="22"/>
          <w:szCs w:val="22"/>
        </w:rPr>
        <w:t xml:space="preserve">Ce texte n'a pas vocation à être partagé. C'est un outil de clarté personnelle, pas un document institutionnel.</w:t>
      </w:r>
    </w:p>
    <w:p>
      <w:pPr>
        <w:spacing w:after="80"/>
      </w:pPr>
      <w:r>
        <w:t xml:space="preserve"/>
      </w:r>
    </w:p>
    <w:p>
      <w:pPr>
        <w:pStyle w:val="Heading2"/>
        <w:spacing w:after="120" w:before="240"/>
      </w:pPr>
      <w:r>
        <w:rPr>
          <w:rFonts w:ascii="Times New Roman" w:cs="Times New Roman" w:eastAsia="Times New Roman" w:hAnsi="Times New Roman"/>
          <w:b/>
          <w:bCs/>
          <w:color w:val="1B3A6B"/>
          <w:sz w:val="30"/>
          <w:szCs w:val="30"/>
        </w:rPr>
        <w:t xml:space="preserve">🌉 Pont pro (optionnel)</w:t>
      </w:r>
    </w:p>
    <w:p>
      <w:pPr>
        <w:spacing w:after="120"/>
      </w:pPr>
      <w:r>
        <w:rPr>
          <w:rFonts w:ascii="Times New Roman" w:cs="Times New Roman" w:eastAsia="Times New Roman" w:hAnsi="Times New Roman"/>
          <w:b w:val="false"/>
          <w:bCs w:val="false"/>
          <w:i w:val="false"/>
          <w:iCs w:val="false"/>
          <w:color w:val="1F2937"/>
          <w:sz w:val="22"/>
          <w:szCs w:val="22"/>
        </w:rPr>
        <w:t xml:space="preserve">En tant que chef de service en ESSMS, la culture financière personnelle acquise dans ce parcours nourrit un regard plus informé sur les réalités économiques des personnes accompagnées. La leçon sur les biais comportementaux (L15) est directement transposable à l'analyse des situations de surendettement ou de vulnérabilité économique — les biais d'ancrage, d'aversion aux pertes et de disponibilité y jouent un rôle documenté. La leçon sur la transmission et la succession (L16) peut éclairer des situations de tutelle ou de curatelle où la protection du patrimoine d'un adulte vulnérable est en jeu.</w:t>
      </w:r>
    </w:p>
    <w:p>
      <w:pPr>
        <w:spacing w:after="120"/>
      </w:pPr>
      <w:r>
        <w:rPr>
          <w:rFonts w:ascii="Times New Roman" w:cs="Times New Roman" w:eastAsia="Times New Roman" w:hAnsi="Times New Roman"/>
          <w:b w:val="false"/>
          <w:bCs w:val="false"/>
          <w:i w:val="false"/>
          <w:iCs w:val="false"/>
          <w:color w:val="1F2937"/>
          <w:sz w:val="22"/>
          <w:szCs w:val="22"/>
        </w:rPr>
        <w:t xml:space="preserve">Ce pont reste dans la sphère de la connaissance personnelle : ces leçons ne constituent pas un outil professionnel opposable et ne remplacent pas les formations réglementaires du secteur médico-social.</w:t>
      </w:r>
    </w:p>
    <w:p>
      <w:pPr>
        <w:spacing w:after="80"/>
      </w:pPr>
      <w:r>
        <w:t xml:space="preserve"/>
      </w:r>
    </w:p>
    <w:p>
      <w:pPr>
        <w:pStyle w:val="Heading2"/>
        <w:spacing w:after="120" w:before="240"/>
      </w:pPr>
      <w:r>
        <w:rPr>
          <w:rFonts w:ascii="Times New Roman" w:cs="Times New Roman" w:eastAsia="Times New Roman" w:hAnsi="Times New Roman"/>
          <w:b/>
          <w:bCs/>
          <w:color w:val="1B3A6B"/>
          <w:sz w:val="30"/>
          <w:szCs w:val="30"/>
        </w:rPr>
        <w:t xml:space="preserve">📚 Ressources pour aller plus loin</w:t>
      </w:r>
    </w:p>
    <w:p>
      <w:pPr>
        <w:spacing w:after="120"/>
      </w:pPr>
      <w:r>
        <w:rPr>
          <w:rFonts w:ascii="Times New Roman" w:cs="Times New Roman" w:eastAsia="Times New Roman" w:hAnsi="Times New Roman"/>
          <w:b w:val="false"/>
          <w:bCs w:val="false"/>
          <w:i w:val="false"/>
          <w:iCs w:val="false"/>
          <w:color w:val="1F2937"/>
          <w:sz w:val="22"/>
          <w:szCs w:val="22"/>
        </w:rPr>
        <w:t xml:space="preserve">Toutes les URL ci-dessous ont été vérifiées (HTTP 200) le 24/10/2026.</w:t>
      </w:r>
    </w:p>
    <w:p>
      <w:pPr>
        <w:spacing w:after="80"/>
      </w:pPr>
      <w:r>
        <w:t xml:space="preserve"/>
      </w:r>
    </w:p>
    <w:p>
      <w:pPr>
        <w:spacing w:after="100"/>
      </w:pPr>
      <w:r>
        <w:rPr>
          <w:rFonts w:ascii="Times New Roman" w:cs="Times New Roman" w:eastAsia="Times New Roman" w:hAnsi="Times New Roman"/>
          <w:color w:val="1F2937"/>
          <w:sz w:val="22"/>
          <w:szCs w:val="22"/>
        </w:rPr>
        <w:t xml:space="preserve">→ </w:t>
      </w:r>
      <w:hyperlink w:history="1" r:id="rIdv-ct0qiid5ldub1dmgeaq">
        <w:r>
          <w:rPr>
            <w:rFonts w:ascii="Times New Roman" w:cs="Times New Roman" w:eastAsia="Times New Roman" w:hAnsi="Times New Roman"/>
            <w:color w:val="1155CC"/>
            <w:sz w:val="22"/>
            <w:szCs w:val="22"/>
            <w:u w:val="single"/>
          </w:rPr>
          <w:t xml:space="preserve">La finance pour tous — Centre de ressources Placements</w:t>
        </w:r>
      </w:hyperlink>
    </w:p>
    <w:p>
      <w:pPr>
        <w:spacing w:after="120"/>
      </w:pPr>
      <w:r>
        <w:rPr>
          <w:rFonts w:ascii="Times New Roman" w:cs="Times New Roman" w:eastAsia="Times New Roman" w:hAnsi="Times New Roman"/>
          <w:b w:val="false"/>
          <w:bCs w:val="false"/>
          <w:i w:val="false"/>
          <w:iCs w:val="false"/>
          <w:color w:val="1F2937"/>
          <w:sz w:val="22"/>
          <w:szCs w:val="22"/>
        </w:rPr>
        <w:t xml:space="preserve">Institut public d'éducation financière (IEFP) — ressource pédagogique publique couvrant les questions clés avant d'investir, les livrets réglementés, les actions, les obligations, les OPC, le PEA, l'assurance-vie, la finance durable et les placements atypiques. Point d'entrée recommandé pour l'approfondissement autonome après ce parcours.</w:t>
      </w:r>
    </w:p>
    <w:p>
      <w:pPr>
        <w:spacing w:after="80"/>
      </w:pPr>
      <w:r>
        <w:t xml:space="preserve"/>
      </w:r>
    </w:p>
    <w:p>
      <w:pPr>
        <w:spacing w:after="100"/>
      </w:pPr>
      <w:r>
        <w:rPr>
          <w:rFonts w:ascii="Times New Roman" w:cs="Times New Roman" w:eastAsia="Times New Roman" w:hAnsi="Times New Roman"/>
          <w:color w:val="1F2937"/>
          <w:sz w:val="22"/>
          <w:szCs w:val="22"/>
        </w:rPr>
        <w:t xml:space="preserve">→ </w:t>
      </w:r>
      <w:hyperlink w:history="1" r:id="rIdy1pl5ieukpplqpq5ft86_">
        <w:r>
          <w:rPr>
            <w:rFonts w:ascii="Times New Roman" w:cs="Times New Roman" w:eastAsia="Times New Roman" w:hAnsi="Times New Roman"/>
            <w:color w:val="1155CC"/>
            <w:sz w:val="22"/>
            <w:szCs w:val="22"/>
            <w:u w:val="single"/>
          </w:rPr>
          <w:t xml:space="preserve">La finance pour tous — Horizon, objectifs, tempérament : les questions avant d'investir</w:t>
        </w:r>
      </w:hyperlink>
    </w:p>
    <w:p>
      <w:pPr>
        <w:spacing w:after="120"/>
      </w:pPr>
      <w:r>
        <w:rPr>
          <w:rFonts w:ascii="Times New Roman" w:cs="Times New Roman" w:eastAsia="Times New Roman" w:hAnsi="Times New Roman"/>
          <w:b w:val="false"/>
          <w:bCs w:val="false"/>
          <w:i w:val="false"/>
          <w:iCs w:val="false"/>
          <w:color w:val="1F2937"/>
          <w:sz w:val="22"/>
          <w:szCs w:val="22"/>
        </w:rPr>
        <w:t xml:space="preserve">Synthèse pédagogique sur les trois piliers de la décision d'investissement : horizon temporel, objectif de rendement, et tolérance personnelle au risque. Écho direct à la leçon n°1 du parcours.</w:t>
      </w:r>
    </w:p>
    <w:p>
      <w:pPr>
        <w:spacing w:after="80"/>
      </w:pPr>
      <w:r>
        <w:t xml:space="preserve"/>
      </w:r>
    </w:p>
    <w:p>
      <w:pPr>
        <w:spacing w:after="100"/>
      </w:pPr>
      <w:r>
        <w:rPr>
          <w:rFonts w:ascii="Times New Roman" w:cs="Times New Roman" w:eastAsia="Times New Roman" w:hAnsi="Times New Roman"/>
          <w:color w:val="1F2937"/>
          <w:sz w:val="22"/>
          <w:szCs w:val="22"/>
        </w:rPr>
        <w:t xml:space="preserve">→ </w:t>
      </w:r>
      <w:hyperlink w:history="1" r:id="rIdvdmtnfsnbszpku9fesegu">
        <w:r>
          <w:rPr>
            <w:rFonts w:ascii="Times New Roman" w:cs="Times New Roman" w:eastAsia="Times New Roman" w:hAnsi="Times New Roman"/>
            <w:color w:val="1155CC"/>
            <w:sz w:val="22"/>
            <w:szCs w:val="22"/>
            <w:u w:val="single"/>
          </w:rPr>
          <w:t xml:space="preserve">La finance pour tous — Pourquoi et comment investir à long terme</w:t>
        </w:r>
      </w:hyperlink>
    </w:p>
    <w:p>
      <w:pPr>
        <w:spacing w:after="120"/>
      </w:pPr>
      <w:r>
        <w:rPr>
          <w:rFonts w:ascii="Times New Roman" w:cs="Times New Roman" w:eastAsia="Times New Roman" w:hAnsi="Times New Roman"/>
          <w:b w:val="false"/>
          <w:bCs w:val="false"/>
          <w:i w:val="false"/>
          <w:iCs w:val="false"/>
          <w:color w:val="1F2937"/>
          <w:sz w:val="22"/>
          <w:szCs w:val="22"/>
        </w:rPr>
        <w:t xml:space="preserve">Argumentaire pédagogique sur les bénéfices de l'investissement de long terme : réduction de la volatilité, lissage des cycles, importance de rester investi. Complète les leçons 2, 3 et 19.</w:t>
      </w:r>
    </w:p>
    <w:p>
      <w:pPr>
        <w:spacing w:after="80"/>
      </w:pPr>
      <w:r>
        <w:t xml:space="preserve"/>
      </w:r>
    </w:p>
    <w:p>
      <w:pPr>
        <w:spacing w:after="100"/>
      </w:pPr>
      <w:r>
        <w:rPr>
          <w:rFonts w:ascii="Times New Roman" w:cs="Times New Roman" w:eastAsia="Times New Roman" w:hAnsi="Times New Roman"/>
          <w:color w:val="1F2937"/>
          <w:sz w:val="22"/>
          <w:szCs w:val="22"/>
        </w:rPr>
        <w:t xml:space="preserve">→ </w:t>
      </w:r>
      <w:hyperlink w:history="1" r:id="rIdmvrw-jy4jya1l2ek4wzv2">
        <w:r>
          <w:rPr>
            <w:rFonts w:ascii="Times New Roman" w:cs="Times New Roman" w:eastAsia="Times New Roman" w:hAnsi="Times New Roman"/>
            <w:color w:val="1155CC"/>
            <w:sz w:val="22"/>
            <w:szCs w:val="22"/>
            <w:u w:val="single"/>
          </w:rPr>
          <w:t xml:space="preserve">La finance pour tous — S'informer avant d'investir : à qui s'adresser ?</w:t>
        </w:r>
      </w:hyperlink>
    </w:p>
    <w:p>
      <w:pPr>
        <w:spacing w:after="120"/>
      </w:pPr>
      <w:r>
        <w:rPr>
          <w:rFonts w:ascii="Times New Roman" w:cs="Times New Roman" w:eastAsia="Times New Roman" w:hAnsi="Times New Roman"/>
          <w:b w:val="false"/>
          <w:bCs w:val="false"/>
          <w:i w:val="false"/>
          <w:iCs w:val="false"/>
          <w:color w:val="1F2937"/>
          <w:sz w:val="22"/>
          <w:szCs w:val="22"/>
        </w:rPr>
        <w:t xml:space="preserve">Guide pratique pour identifier le bon interlocuteur : banquier, CGP, CIF, robo-advisor — statuts, obligations réglementaires, mode de rémunération. Indispensable avant de choisir un conseiller.</w:t>
      </w:r>
    </w:p>
    <w:p>
      <w:pPr>
        <w:spacing w:after="80"/>
      </w:pPr>
      <w:r>
        <w:t xml:space="preserve"/>
      </w:r>
    </w:p>
    <w:p>
      <w:pPr>
        <w:spacing w:after="100"/>
      </w:pPr>
      <w:r>
        <w:rPr>
          <w:rFonts w:ascii="Times New Roman" w:cs="Times New Roman" w:eastAsia="Times New Roman" w:hAnsi="Times New Roman"/>
          <w:color w:val="1F2937"/>
          <w:sz w:val="22"/>
          <w:szCs w:val="22"/>
        </w:rPr>
        <w:t xml:space="preserve">→ </w:t>
      </w:r>
      <w:hyperlink w:history="1" r:id="rIdhn_r5wvvwwppzmshimcwy">
        <w:r>
          <w:rPr>
            <w:rFonts w:ascii="Times New Roman" w:cs="Times New Roman" w:eastAsia="Times New Roman" w:hAnsi="Times New Roman"/>
            <w:color w:val="1155CC"/>
            <w:sz w:val="22"/>
            <w:szCs w:val="22"/>
            <w:u w:val="single"/>
          </w:rPr>
          <w:t xml:space="preserve">AMF — Espace Épargnants : outils, guides et alertes</w:t>
        </w:r>
      </w:hyperlink>
    </w:p>
    <w:p>
      <w:pPr>
        <w:spacing w:after="120"/>
      </w:pPr>
      <w:r>
        <w:rPr>
          <w:rFonts w:ascii="Times New Roman" w:cs="Times New Roman" w:eastAsia="Times New Roman" w:hAnsi="Times New Roman"/>
          <w:b w:val="false"/>
          <w:bCs w:val="false"/>
          <w:i w:val="false"/>
          <w:iCs w:val="false"/>
          <w:color w:val="1F2937"/>
          <w:sz w:val="22"/>
          <w:szCs w:val="22"/>
        </w:rPr>
        <w:t xml:space="preserve">Autorité des marchés financiers : simulateurs d'épargne, calculateur de frais, liste noire des arnaques (Protect Épargne), lexique, médiateur. Ressource officielle de référence pour le régulateur français des marchés.</w:t>
      </w:r>
    </w:p>
    <w:p>
      <w:pPr>
        <w:spacing w:after="80"/>
      </w:pPr>
      <w:r>
        <w:t xml:space="preserve"/>
      </w:r>
    </w:p>
    <w:p>
      <w:pPr>
        <w:spacing w:after="100"/>
      </w:pPr>
      <w:r>
        <w:rPr>
          <w:rFonts w:ascii="Times New Roman" w:cs="Times New Roman" w:eastAsia="Times New Roman" w:hAnsi="Times New Roman"/>
          <w:color w:val="1F2937"/>
          <w:sz w:val="22"/>
          <w:szCs w:val="22"/>
        </w:rPr>
        <w:t xml:space="preserve">→ </w:t>
      </w:r>
      <w:hyperlink w:history="1" r:id="rIdx_en815drsa2e30pwyuc4">
        <w:r>
          <w:rPr>
            <w:rFonts w:ascii="Times New Roman" w:cs="Times New Roman" w:eastAsia="Times New Roman" w:hAnsi="Times New Roman"/>
            <w:color w:val="1155CC"/>
            <w:sz w:val="22"/>
            <w:szCs w:val="22"/>
            <w:u w:val="single"/>
          </w:rPr>
          <w:t xml:space="preserve">ABE Infoservice — Assurance Banque Épargne Info Service</w:t>
        </w:r>
      </w:hyperlink>
    </w:p>
    <w:p>
      <w:pPr>
        <w:spacing w:after="120"/>
      </w:pPr>
      <w:r>
        <w:rPr>
          <w:rFonts w:ascii="Times New Roman" w:cs="Times New Roman" w:eastAsia="Times New Roman" w:hAnsi="Times New Roman"/>
          <w:b w:val="false"/>
          <w:bCs w:val="false"/>
          <w:i w:val="false"/>
          <w:iCs w:val="false"/>
          <w:color w:val="1F2937"/>
          <w:sz w:val="22"/>
          <w:szCs w:val="22"/>
        </w:rPr>
        <w:t xml:space="preserve">Service officiel commun AMF/ACPR : réponses aux questions sur les placements, l'épargne bancaire et les produits d'assurance-vie. Point de contact gratuit pour les litiges ou les doutes sur un produit ou un intermédiaire.</w:t>
      </w:r>
    </w:p>
    <w:p>
      <w:pPr>
        <w:spacing w:after="80"/>
      </w:pPr>
      <w:r>
        <w:t xml:space="preserve"/>
      </w:r>
    </w:p>
    <w:p>
      <w:pPr>
        <w:pStyle w:val="Heading2"/>
        <w:spacing w:after="120" w:before="240"/>
      </w:pPr>
      <w:r>
        <w:rPr>
          <w:rFonts w:ascii="Times New Roman" w:cs="Times New Roman" w:eastAsia="Times New Roman" w:hAnsi="Times New Roman"/>
          <w:b/>
          <w:bCs/>
          <w:color w:val="1B3A6B"/>
          <w:sz w:val="30"/>
          <w:szCs w:val="30"/>
        </w:rPr>
        <w:t xml:space="preserve">👤 Pour aller plus loin avec un professionnel</w:t>
      </w:r>
    </w:p>
    <w:p>
      <w:pPr>
        <w:spacing w:after="120"/>
      </w:pPr>
      <w:r>
        <w:rPr>
          <w:rFonts w:ascii="Times New Roman" w:cs="Times New Roman" w:eastAsia="Times New Roman" w:hAnsi="Times New Roman"/>
          <w:b w:val="false"/>
          <w:bCs w:val="false"/>
          <w:i w:val="false"/>
          <w:iCs w:val="false"/>
          <w:color w:val="1F2937"/>
          <w:sz w:val="22"/>
          <w:szCs w:val="22"/>
        </w:rPr>
        <w:t xml:space="preserve">Trois questions à poser à un conseiller en gestion de patrimoine (CGP) ou CIF agréé AMF lors d'un bilan patrimonial complet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 Compte tenu de mon horizon de 7 à 8 ans et de ma situation fiscale actuelle, quelle stratégie de sécurisation progressive me recommandez-vous — et à partir de quelle date et de quel signal déclencheriez-vous les premiers arbitrages ?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 Mon patrimoine inclut [tel produit] ouvert il y a [X] ans — y a-t-il intérêt à le conserver, à le transformer, ou à transférer certains droits acquis dans une enveloppe plus récente, et quelles sont les implications fiscales précises de chaque scénario ?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 Quels documents dois-je vous apporter pour que vous puissiez évaluer ma situation complète — bulletin de salaire, relevés d'épargne, EIG, actes notariaux, tableau d'amortissement immobilier — et dans quel délai puis-je avoir une première synthèse écrite ? »</w:t>
      </w:r>
    </w:p>
    <w:p>
      <w:pPr>
        <w:spacing w:after="80"/>
      </w:pPr>
      <w:r>
        <w:t xml:space="preserve"/>
      </w:r>
    </w:p>
    <w:p>
      <w:pPr>
        <w:pStyle w:val="Heading2"/>
        <w:spacing w:after="120" w:before="240"/>
      </w:pPr>
      <w:r>
        <w:rPr>
          <w:rFonts w:ascii="Times New Roman" w:cs="Times New Roman" w:eastAsia="Times New Roman" w:hAnsi="Times New Roman"/>
          <w:b/>
          <w:bCs/>
          <w:color w:val="1B3A6B"/>
          <w:sz w:val="30"/>
          <w:szCs w:val="30"/>
        </w:rPr>
        <w:t xml:space="preserve">✅ Clôture du parcours</w:t>
      </w:r>
    </w:p>
    <w:p>
      <w:pPr>
        <w:spacing w:after="120"/>
      </w:pPr>
      <w:r>
        <w:rPr>
          <w:rFonts w:ascii="Times New Roman" w:cs="Times New Roman" w:eastAsia="Times New Roman" w:hAnsi="Times New Roman"/>
          <w:b/>
          <w:bCs/>
          <w:i w:val="false"/>
          <w:iCs w:val="false"/>
          <w:color w:val="1F2937"/>
          <w:sz w:val="22"/>
          <w:szCs w:val="22"/>
        </w:rPr>
        <w:t xml:space="preserve">Ce bilan marque la fin du parcours Placement financier en 20 leçons.</w:t>
      </w:r>
    </w:p>
    <w:p>
      <w:pPr>
        <w:spacing w:after="120"/>
      </w:pPr>
      <w:r>
        <w:rPr>
          <w:rFonts w:ascii="Times New Roman" w:cs="Times New Roman" w:eastAsia="Times New Roman" w:hAnsi="Times New Roman"/>
          <w:b w:val="false"/>
          <w:bCs w:val="false"/>
          <w:i w:val="false"/>
          <w:iCs w:val="false"/>
          <w:color w:val="1F2937"/>
          <w:sz w:val="22"/>
          <w:szCs w:val="22"/>
        </w:rPr>
        <w:t xml:space="preserve">Vingt semaines de formation, de la définition des fondations (L1) à la construction d'une allocation (L19) en passant par toutes les enveloppes, les coûts, la fiscalité, le comportement et les sujets avancés : c'est un parcours complet pour un épargnant qui part de zéro ou qui souhaite structurer des connaissances déjà partielles.</w:t>
      </w:r>
    </w:p>
    <w:p>
      <w:pPr>
        <w:spacing w:after="120"/>
      </w:pPr>
      <w:r>
        <w:rPr>
          <w:rFonts w:ascii="Times New Roman" w:cs="Times New Roman" w:eastAsia="Times New Roman" w:hAnsi="Times New Roman"/>
          <w:b w:val="false"/>
          <w:bCs w:val="false"/>
          <w:i w:val="false"/>
          <w:iCs w:val="false"/>
          <w:color w:val="1F2937"/>
          <w:sz w:val="22"/>
          <w:szCs w:val="22"/>
        </w:rPr>
        <w:t xml:space="preserve">Deux rappels pour clore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Ce parcours est de l'éducation financière générale. Il ne se substitue pas au jugement d'un professionnel agréé sur ta situation personnelle.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Les règles fiscales, les plafonds et les taux évoluent chaque année. Les chiffres cités dans les 20 leçons reflètent le droit en vigueur à leur date de génération — vérifie toujours la valeur en vigueur sur les sources primaires (impots.gouv.fr, service-public.fr, amf-france.org) avant d'agir.</w:t>
      </w:r>
    </w:p>
    <w:p>
      <w:pPr>
        <w:spacing w:after="80"/>
      </w:pPr>
      <w:r>
        <w:t xml:space="preserve"/>
      </w:r>
    </w:p>
    <w:p>
      <w:pPr>
        <w:pStyle w:val="Heading2"/>
        <w:spacing w:after="120" w:before="24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b w:val="false"/>
          <w:bCs w:val="false"/>
          <w:i w:val="false"/>
          <w:iCs w:val="false"/>
          <w:color w:val="1F2937"/>
          <w:sz w:val="22"/>
          <w:szCs w:val="22"/>
        </w:rPr>
        <w:t xml:space="preserve">Il n'y a pas de prochaine leçon dans ce parcours.</w:t>
      </w:r>
    </w:p>
    <w:p>
      <w:pPr>
        <w:spacing w:after="120"/>
      </w:pPr>
      <w:r>
        <w:rPr>
          <w:rFonts w:ascii="Times New Roman" w:cs="Times New Roman" w:eastAsia="Times New Roman" w:hAnsi="Times New Roman"/>
          <w:b w:val="false"/>
          <w:bCs w:val="false"/>
          <w:i w:val="false"/>
          <w:iCs w:val="false"/>
          <w:color w:val="1F2937"/>
          <w:sz w:val="22"/>
          <w:szCs w:val="22"/>
        </w:rPr>
        <w:t xml:space="preserve">⛔ PARCOURS FERMÉ — 20 LEÇONS. Ce parcours compte exactement 20 leçons. La leçon 20 (ce bilan) est la dernière. Ce job peut désormais être supprimé.</w:t>
      </w:r>
    </w:p>
    <w:p>
      <w:pPr>
        <w:spacing w:after="120"/>
      </w:pPr>
      <w:r>
        <w:rPr>
          <w:rFonts w:ascii="Times New Roman" w:cs="Times New Roman" w:eastAsia="Times New Roman" w:hAnsi="Times New Roman"/>
          <w:b w:val="false"/>
          <w:bCs w:val="false"/>
          <w:i w:val="false"/>
          <w:iCs w:val="false"/>
          <w:color w:val="1F2937"/>
          <w:sz w:val="22"/>
          <w:szCs w:val="22"/>
        </w:rPr>
        <w:t xml:space="preserve">Thèmes annoncés : aucun — fin du parcours Placement financier.</w:t>
      </w:r>
    </w:p>
    <w:p>
      <w:pPr>
        <w:spacing w:after="80"/>
      </w:pPr>
      <w:r>
        <w:t xml:space="preserve"/>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v-ct0qiid5ldub1dmgeaq" Type="http://schemas.openxmlformats.org/officeDocument/2006/relationships/hyperlink" Target="https://www.lafinancepourtous.com/pratique/placements/" TargetMode="External"/><Relationship Id="rIdy1pl5ieukpplqpq5ft86_" Type="http://schemas.openxmlformats.org/officeDocument/2006/relationships/hyperlink" Target="https://www.lafinancepourtous.com/pratique/placements/les-questions-clefs-avant-d-investir/horizon-objectifs-temperament/" TargetMode="External"/><Relationship Id="rIdvdmtnfsnbszpku9fesegu" Type="http://schemas.openxmlformats.org/officeDocument/2006/relationships/hyperlink" Target="https://www.lafinancepourtous.com/pratique/placements/les-questions-clefs-avant-d-investir/investir-long-terme/" TargetMode="External"/><Relationship Id="rIdmvrw-jy4jya1l2ek4wzv2" Type="http://schemas.openxmlformats.org/officeDocument/2006/relationships/hyperlink" Target="https://www.lafinancepourtous.com/pratique/placements/les-questions-clefs-avant-d-investir/comment-s-informer-a-qui-s-adresser-avant-d-investir/" TargetMode="External"/><Relationship Id="rIdhn_r5wvvwwppzmshimcwy" Type="http://schemas.openxmlformats.org/officeDocument/2006/relationships/hyperlink" Target="https://www.amf-france.org/fr/espace-epargnants" TargetMode="External"/><Relationship Id="rIdx_en815drsa2e30pwyuc4" Type="http://schemas.openxmlformats.org/officeDocument/2006/relationships/hyperlink" Target="https://www.abe-infoservice.fr/"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2026-10-24T06:10:53.984Z</dcterms:created>
  <dcterms:modified xsi:type="dcterms:W3CDTF">2026-10-24T06:10:53.985Z</dcterms:modified>
</cp:coreProperties>
</file>

<file path=docProps/custom.xml><?xml version="1.0" encoding="utf-8"?>
<Properties xmlns="http://schemas.openxmlformats.org/officeDocument/2006/custom-properties" xmlns:vt="http://schemas.openxmlformats.org/officeDocument/2006/docPropsVTypes"/>
</file>