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Times New Roman" w:cs="Times New Roman" w:eastAsia="Times New Roman" w:hAnsi="Times New Roman"/>
          <w:b/>
          <w:bCs/>
          <w:i w:val="false"/>
          <w:iCs w:val="false"/>
          <w:color w:val="1B3A6B"/>
          <w:sz w:val="52"/>
          <w:szCs w:val="52"/>
        </w:rPr>
        <w:t xml:space="preserve">Leçon Entretien Motivationnel n°07 — Intégration &amp; entraînement (fidélité, MITI)</w:t>
      </w:r>
    </w:p>
    <w:p>
      <w:pPr>
        <w:spacing w:after="240"/>
        <w:jc w:val="center"/>
      </w:pPr>
      <w:r>
        <w:rPr>
          <w:rFonts w:ascii="Times New Roman" w:cs="Times New Roman" w:eastAsia="Times New Roman" w:hAnsi="Times New Roman"/>
          <w:b w:val="false"/>
          <w:bCs w:val="false"/>
          <w:i/>
          <w:iCs/>
          <w:color w:val="1B3A6B"/>
          <w:sz w:val="22"/>
          <w:szCs w:val="22"/>
        </w:rPr>
        <w:t xml:space="preserve">14 juillet 2026 · Module Fondamental (clôture) — leçon 07 · dernier jour intensif</w:t>
      </w:r>
    </w:p>
    <w:p>
      <w:pPr>
        <w:spacing w:after="120" w:before="260"/>
      </w:pPr>
      <w:r>
        <w:rPr>
          <w:rFonts w:ascii="Times New Roman" w:cs="Times New Roman" w:eastAsia="Times New Roman" w:hAnsi="Times New Roman"/>
          <w:b/>
          <w:bCs/>
          <w:i w:val="false"/>
          <w:iCs w:val="false"/>
          <w:color w:val="1B3A6B"/>
          <w:sz w:val="30"/>
          <w:szCs w:val="30"/>
        </w:rPr>
        <w:t xml:space="preserve">🎯 Objectif &amp; continuité</w:t>
      </w:r>
    </w:p>
    <w:p>
      <w:pPr>
        <w:spacing w:after="120"/>
      </w:pPr>
      <w:r>
        <w:rPr>
          <w:rFonts w:ascii="Times New Roman" w:cs="Times New Roman" w:eastAsia="Times New Roman" w:hAnsi="Times New Roman"/>
          <w:b w:val="false"/>
          <w:bCs w:val="false"/>
          <w:i w:val="false"/>
          <w:iCs w:val="false"/>
          <w:color w:val="1F2937"/>
          <w:sz w:val="22"/>
          <w:szCs w:val="22"/>
        </w:rPr>
        <w:t xml:space="preserve">À la fin de cette leçon, tu sauras ce qu'est la fidélité à l'EM et comment on l'évalue (aperçu du MITI), tu disposeras d'un plan de pratique personnel, et tu comprendras ce qu'implique une posture motivationnelle en équipe. Cette leçon clôt le module fondamental et ouvre l'entraînement durable.</w:t>
      </w:r>
    </w:p>
    <w:p>
      <w:pPr>
        <w:spacing w:after="120"/>
      </w:pPr>
      <w:r>
        <w:rPr>
          <w:rFonts w:ascii="Times New Roman" w:cs="Times New Roman" w:eastAsia="Times New Roman" w:hAnsi="Times New Roman"/>
          <w:b w:val="false"/>
          <w:bCs w:val="false"/>
          <w:i w:val="false"/>
          <w:iCs w:val="false"/>
          <w:color w:val="1F2937"/>
          <w:sz w:val="22"/>
          <w:szCs w:val="22"/>
        </w:rPr>
        <w:t xml:space="preserve">Rappel de continuité : </w:t>
      </w:r>
      <w:r>
        <w:rPr>
          <w:rFonts w:ascii="Times New Roman" w:cs="Times New Roman" w:eastAsia="Times New Roman" w:hAnsi="Times New Roman"/>
          <w:b w:val="false"/>
          <w:bCs w:val="false"/>
          <w:i w:val="false"/>
          <w:iCs w:val="false"/>
          <w:color w:val="1F2937"/>
          <w:sz w:val="22"/>
          <w:szCs w:val="22"/>
        </w:rPr>
        <w:t xml:space="preserve">les leçons n°01→06 ont posé l'esprit (PACE), l'ambivalence, les quatre processus, OARS, le discours-changement (DARN-CAT) et la discordance. Cette leçon n°07 </w:t>
      </w:r>
      <w:r>
        <w:rPr>
          <w:rFonts w:ascii="Times New Roman" w:cs="Times New Roman" w:eastAsia="Times New Roman" w:hAnsi="Times New Roman"/>
          <w:b/>
          <w:bCs/>
          <w:i w:val="false"/>
          <w:iCs w:val="false"/>
          <w:color w:val="1F2937"/>
          <w:sz w:val="22"/>
          <w:szCs w:val="22"/>
        </w:rPr>
        <w:t xml:space="preserve">intègre</w:t>
      </w:r>
      <w:r>
        <w:rPr>
          <w:rFonts w:ascii="Times New Roman" w:cs="Times New Roman" w:eastAsia="Times New Roman" w:hAnsi="Times New Roman"/>
          <w:b w:val="false"/>
          <w:bCs w:val="false"/>
          <w:i w:val="false"/>
          <w:iCs w:val="false"/>
          <w:color w:val="1F2937"/>
          <w:sz w:val="22"/>
          <w:szCs w:val="22"/>
        </w:rPr>
        <w:t xml:space="preserve"> le tout : passer des connaissances à une pratique fidèle et entraînée. C'est aussi la dernière leçon de la semaine intensive ; le parcours passe ensuite en rythme hebdomadaire (jeudi).</w:t>
      </w:r>
    </w:p>
    <w:p>
      <w:pPr>
        <w:spacing w:after="120" w:before="260"/>
      </w:pPr>
      <w:r>
        <w:rPr>
          <w:rFonts w:ascii="Times New Roman" w:cs="Times New Roman" w:eastAsia="Times New Roman" w:hAnsi="Times New Roman"/>
          <w:b/>
          <w:bCs/>
          <w:i w:val="false"/>
          <w:iCs w:val="false"/>
          <w:color w:val="1B3A6B"/>
          <w:sz w:val="30"/>
          <w:szCs w:val="30"/>
        </w:rPr>
        <w:t xml:space="preserve">🔬 Théorie (20%)</w:t>
      </w:r>
    </w:p>
    <w:p>
      <w:pPr>
        <w:spacing w:after="80" w:before="160"/>
      </w:pPr>
      <w:r>
        <w:rPr>
          <w:rFonts w:ascii="Times New Roman" w:cs="Times New Roman" w:eastAsia="Times New Roman" w:hAnsi="Times New Roman"/>
          <w:b/>
          <w:bCs/>
          <w:i w:val="false"/>
          <w:iCs w:val="false"/>
          <w:color w:val="1F2937"/>
          <w:sz w:val="26"/>
          <w:szCs w:val="26"/>
        </w:rPr>
        <w:t xml:space="preserve">La fidélité : faire de l'EM, vraiment</w:t>
      </w:r>
    </w:p>
    <w:p>
      <w:pPr>
        <w:spacing w:after="120"/>
      </w:pPr>
      <w:r>
        <w:rPr>
          <w:rFonts w:ascii="Times New Roman" w:cs="Times New Roman" w:eastAsia="Times New Roman" w:hAnsi="Times New Roman"/>
          <w:b w:val="false"/>
          <w:bCs w:val="false"/>
          <w:i w:val="false"/>
          <w:iCs w:val="false"/>
          <w:color w:val="1F2937"/>
          <w:sz w:val="22"/>
          <w:szCs w:val="22"/>
        </w:rPr>
        <w:t xml:space="preserve">Connaître l'EM ne garantit pas de le pratiquer : on peut poser des questions ouvertes tout en glissant des conseils non sollicités (réflexe correcteur). La « fidélité » (treatment integrity) désigne le degré auquel une pratique correspond réellement à l'EM. C'est un garde-fou honnête contre l'illusion de compétence.</w:t>
      </w:r>
    </w:p>
    <w:p>
      <w:pPr>
        <w:spacing w:after="80" w:before="160"/>
      </w:pPr>
      <w:r>
        <w:rPr>
          <w:rFonts w:ascii="Times New Roman" w:cs="Times New Roman" w:eastAsia="Times New Roman" w:hAnsi="Times New Roman"/>
          <w:b/>
          <w:bCs/>
          <w:i w:val="false"/>
          <w:iCs w:val="false"/>
          <w:color w:val="1F2937"/>
          <w:sz w:val="26"/>
          <w:szCs w:val="26"/>
        </w:rPr>
        <w:t xml:space="preserve">Le MITI en survol</w:t>
      </w:r>
    </w:p>
    <w:p>
      <w:pPr>
        <w:spacing w:after="120"/>
      </w:pPr>
      <w:r>
        <w:rPr>
          <w:rFonts w:ascii="Times New Roman" w:cs="Times New Roman" w:eastAsia="Times New Roman" w:hAnsi="Times New Roman"/>
          <w:b w:val="false"/>
          <w:bCs w:val="false"/>
          <w:i w:val="false"/>
          <w:iCs w:val="false"/>
          <w:color w:val="1F2937"/>
          <w:sz w:val="22"/>
          <w:szCs w:val="22"/>
        </w:rPr>
        <w:t xml:space="preserve">Le </w:t>
      </w:r>
      <w:r>
        <w:rPr>
          <w:rFonts w:ascii="Times New Roman" w:cs="Times New Roman" w:eastAsia="Times New Roman" w:hAnsi="Times New Roman"/>
          <w:b/>
          <w:bCs/>
          <w:i w:val="false"/>
          <w:iCs w:val="false"/>
          <w:color w:val="1F2937"/>
          <w:sz w:val="22"/>
          <w:szCs w:val="22"/>
        </w:rPr>
        <w:t xml:space="preserve">MITI</w:t>
      </w:r>
      <w:r>
        <w:rPr>
          <w:rFonts w:ascii="Times New Roman" w:cs="Times New Roman" w:eastAsia="Times New Roman" w:hAnsi="Times New Roman"/>
          <w:b w:val="false"/>
          <w:bCs w:val="false"/>
          <w:i w:val="false"/>
          <w:iCs w:val="false"/>
          <w:color w:val="1F2937"/>
          <w:sz w:val="22"/>
          <w:szCs w:val="22"/>
        </w:rPr>
        <w:t xml:space="preserve"> (Motivational Interviewing Treatment Integrity, version 4.2.1) est le système de codage le plus utilisé pour évaluer la fidélité d'un entretien à partir d'un enregistrement. Il combine deux volets : des </w:t>
      </w:r>
      <w:r>
        <w:rPr>
          <w:rFonts w:ascii="Times New Roman" w:cs="Times New Roman" w:eastAsia="Times New Roman" w:hAnsi="Times New Roman"/>
          <w:b/>
          <w:bCs/>
          <w:i w:val="false"/>
          <w:iCs w:val="false"/>
          <w:color w:val="1F2937"/>
          <w:sz w:val="22"/>
          <w:szCs w:val="22"/>
        </w:rPr>
        <w:t xml:space="preserve">scores globaux</w:t>
      </w:r>
      <w:r>
        <w:rPr>
          <w:rFonts w:ascii="Times New Roman" w:cs="Times New Roman" w:eastAsia="Times New Roman" w:hAnsi="Times New Roman"/>
          <w:b w:val="false"/>
          <w:bCs w:val="false"/>
          <w:i w:val="false"/>
          <w:iCs w:val="false"/>
          <w:color w:val="1F2937"/>
          <w:sz w:val="22"/>
          <w:szCs w:val="22"/>
        </w:rPr>
        <w:t xml:space="preserve"> (ex. cultiver le discours-changement, adoucir le discours-maintien, partenariat, empathie) et des </w:t>
      </w:r>
      <w:r>
        <w:rPr>
          <w:rFonts w:ascii="Times New Roman" w:cs="Times New Roman" w:eastAsia="Times New Roman" w:hAnsi="Times New Roman"/>
          <w:b/>
          <w:bCs/>
          <w:i w:val="false"/>
          <w:iCs w:val="false"/>
          <w:color w:val="1F2937"/>
          <w:sz w:val="22"/>
          <w:szCs w:val="22"/>
        </w:rPr>
        <w:t xml:space="preserve">comptages de comportements</w:t>
      </w:r>
      <w:r>
        <w:rPr>
          <w:rFonts w:ascii="Times New Roman" w:cs="Times New Roman" w:eastAsia="Times New Roman" w:hAnsi="Times New Roman"/>
          <w:b w:val="false"/>
          <w:bCs w:val="false"/>
          <w:i w:val="false"/>
          <w:iCs w:val="false"/>
          <w:color w:val="1F2937"/>
          <w:sz w:val="22"/>
          <w:szCs w:val="22"/>
        </w:rPr>
        <w:t xml:space="preserve"> (questions, reflets, informations, etc.). Un indicateur clé : le </w:t>
      </w:r>
      <w:r>
        <w:rPr>
          <w:rFonts w:ascii="Times New Roman" w:cs="Times New Roman" w:eastAsia="Times New Roman" w:hAnsi="Times New Roman"/>
          <w:b/>
          <w:bCs/>
          <w:i w:val="false"/>
          <w:iCs w:val="false"/>
          <w:color w:val="1F2937"/>
          <w:sz w:val="22"/>
          <w:szCs w:val="22"/>
        </w:rPr>
        <w:t xml:space="preserve">ratio reflets/questions</w:t>
      </w:r>
      <w:r>
        <w:rPr>
          <w:rFonts w:ascii="Times New Roman" w:cs="Times New Roman" w:eastAsia="Times New Roman" w:hAnsi="Times New Roman"/>
          <w:b w:val="false"/>
          <w:bCs w:val="false"/>
          <w:i w:val="false"/>
          <w:iCs w:val="false"/>
          <w:color w:val="1F2937"/>
          <w:sz w:val="22"/>
          <w:szCs w:val="22"/>
        </w:rPr>
        <w:t xml:space="preserve"> (viser au moins 1, idéalement 2).</w:t>
      </w:r>
    </w:p>
    <w:p>
      <w:pPr>
        <w:pBdr>
          <w:left w:val="single" w:color="1B3A6B" w:sz="18" w:space="8"/>
        </w:pBdr>
        <w:shd w:fill="EEF2F7"/>
        <w:spacing w:after="140" w:before="100"/>
        <w:ind w:left="360"/>
      </w:pPr>
      <w:r>
        <w:rPr>
          <w:rFonts w:ascii="Times New Roman" w:cs="Times New Roman" w:eastAsia="Times New Roman" w:hAnsi="Times New Roman"/>
          <w:b w:val="false"/>
          <w:bCs w:val="false"/>
          <w:i/>
          <w:iCs/>
          <w:color w:val="1B3A6B"/>
          <w:sz w:val="22"/>
          <w:szCs w:val="22"/>
        </w:rPr>
        <w:t xml:space="preserve">Malgré une formation et une supervision approfondies, la plupart des praticiens n'atteignent pas d'emblée un bon niveau de compétence en EM : la fidélité s'acquiert par la pratique enregistrée et le feedback.</w:t>
      </w:r>
      <w:r>
        <w:rPr>
          <w:rFonts w:ascii="Times New Roman" w:cs="Times New Roman" w:eastAsia="Times New Roman" w:hAnsi="Times New Roman"/>
          <w:b w:val="false"/>
          <w:bCs w:val="false"/>
          <w:i/>
          <w:iCs/>
          <w:color w:val="1B3A6B"/>
          <w:sz w:val="20"/>
          <w:szCs w:val="20"/>
        </w:rPr>
        <w:t xml:space="preserve">  — Constat des études de fidélité (MITI)</w:t>
      </w:r>
    </w:p>
    <w:p>
      <w:pPr>
        <w:spacing w:after="80" w:before="160"/>
      </w:pPr>
      <w:r>
        <w:rPr>
          <w:rFonts w:ascii="Times New Roman" w:cs="Times New Roman" w:eastAsia="Times New Roman" w:hAnsi="Times New Roman"/>
          <w:b/>
          <w:bCs/>
          <w:i w:val="false"/>
          <w:iCs w:val="false"/>
          <w:color w:val="1F2937"/>
          <w:sz w:val="26"/>
          <w:szCs w:val="26"/>
        </w:rPr>
        <w:t xml:space="preserve">Practice makes fidelity</w:t>
      </w:r>
    </w:p>
    <w:p>
      <w:pPr>
        <w:spacing w:after="120"/>
      </w:pPr>
      <w:r>
        <w:rPr>
          <w:rFonts w:ascii="Times New Roman" w:cs="Times New Roman" w:eastAsia="Times New Roman" w:hAnsi="Times New Roman"/>
          <w:b w:val="false"/>
          <w:bCs w:val="false"/>
          <w:i w:val="false"/>
          <w:iCs w:val="false"/>
          <w:color w:val="1F2937"/>
          <w:sz w:val="22"/>
          <w:szCs w:val="22"/>
        </w:rPr>
        <w:t xml:space="preserve">La leçon des recherches est claire : la lecture ne suffit pas. Ce qui fait progresser, c'est la pratique délibérée + le feedback (idéalement supervisé, via enregistrements codés). D'où l'importance d'un plan de pratique réaliste et régulier.</w:t>
      </w:r>
    </w:p>
    <w:p>
      <w:pPr>
        <w:spacing w:after="120" w:before="260"/>
      </w:pPr>
      <w:r>
        <w:rPr>
          <w:rFonts w:ascii="Times New Roman" w:cs="Times New Roman" w:eastAsia="Times New Roman" w:hAnsi="Times New Roman"/>
          <w:b/>
          <w:bCs/>
          <w:i w:val="false"/>
          <w:iCs w:val="false"/>
          <w:color w:val="1B3A6B"/>
          <w:sz w:val="30"/>
          <w:szCs w:val="30"/>
        </w:rPr>
        <w:t xml:space="preserve">🛠️ Pratique (80%)</w:t>
      </w:r>
    </w:p>
    <w:p>
      <w:pPr>
        <w:spacing w:after="80" w:before="160"/>
      </w:pPr>
      <w:r>
        <w:rPr>
          <w:rFonts w:ascii="Times New Roman" w:cs="Times New Roman" w:eastAsia="Times New Roman" w:hAnsi="Times New Roman"/>
          <w:b/>
          <w:bCs/>
          <w:i w:val="false"/>
          <w:iCs w:val="false"/>
          <w:color w:val="1F2937"/>
          <w:sz w:val="26"/>
          <w:szCs w:val="26"/>
        </w:rPr>
        <w:t xml:space="preserve">Exercice 1 — Auto-codage simplifié</w:t>
      </w:r>
    </w:p>
    <w:p>
      <w:pPr>
        <w:spacing w:after="120"/>
      </w:pPr>
      <w:r>
        <w:rPr>
          <w:rFonts w:ascii="Times New Roman" w:cs="Times New Roman" w:eastAsia="Times New Roman" w:hAnsi="Times New Roman"/>
          <w:b w:val="false"/>
          <w:bCs w:val="false"/>
          <w:i w:val="false"/>
          <w:iCs w:val="false"/>
          <w:color w:val="1F2937"/>
          <w:sz w:val="22"/>
          <w:szCs w:val="22"/>
        </w:rPr>
        <w:t xml:space="preserve">Reprends un des dialogues écrits des leçons précédentes (ou écris-en un de 12 répliques). Compte tes interventions : questions vs reflets. Calcule ton ratio reflets/questions. Repère aussi chaque « conseil non sollicité » (réflexe correcteur). Objectif : mesurer, pas juger — le chiffre éclaire la marge de progrès.</w:t>
      </w:r>
    </w:p>
    <w:p>
      <w:pPr>
        <w:spacing w:after="80" w:before="160"/>
      </w:pPr>
      <w:r>
        <w:rPr>
          <w:rFonts w:ascii="Times New Roman" w:cs="Times New Roman" w:eastAsia="Times New Roman" w:hAnsi="Times New Roman"/>
          <w:b/>
          <w:bCs/>
          <w:i w:val="false"/>
          <w:iCs w:val="false"/>
          <w:color w:val="1F2937"/>
          <w:sz w:val="26"/>
          <w:szCs w:val="26"/>
        </w:rPr>
        <w:t xml:space="preserve">Exercice 2 — Bâtir mon plan de pratique (8 semaines)</w:t>
      </w:r>
    </w:p>
    <w:p>
      <w:pPr>
        <w:spacing w:after="120"/>
      </w:pPr>
      <w:r>
        <w:rPr>
          <w:rFonts w:ascii="Times New Roman" w:cs="Times New Roman" w:eastAsia="Times New Roman" w:hAnsi="Times New Roman"/>
          <w:b w:val="false"/>
          <w:bCs w:val="false"/>
          <w:i w:val="false"/>
          <w:iCs w:val="false"/>
          <w:color w:val="1F2937"/>
          <w:sz w:val="22"/>
          <w:szCs w:val="22"/>
        </w:rPr>
        <w:t xml:space="preserve">Écris un plan concret : (a) une micro-compétence par semaine (ex. S1 reflets simples, S2 reflets complexes, S3 questions évocatrices…) ; (b) un support d'entraînement (jeux de rôle écrits, échanges réels avec accord, auto-enregistrement) ; (c) un rituel de feedback (relire, auto-coder, ou solliciter un pair). Réaliste avant tout : 15 min, 3 fois/semaine, vaut mieux qu'un plan ambitieux abandonné.</w:t>
      </w:r>
    </w:p>
    <w:p>
      <w:pPr>
        <w:spacing w:after="80" w:before="160"/>
      </w:pPr>
      <w:r>
        <w:rPr>
          <w:rFonts w:ascii="Times New Roman" w:cs="Times New Roman" w:eastAsia="Times New Roman" w:hAnsi="Times New Roman"/>
          <w:b/>
          <w:bCs/>
          <w:i w:val="false"/>
          <w:iCs w:val="false"/>
          <w:color w:val="1F2937"/>
          <w:sz w:val="26"/>
          <w:szCs w:val="26"/>
        </w:rPr>
        <w:t xml:space="preserve">Exercice 3 — EM en posture d'équipe</w:t>
      </w:r>
    </w:p>
    <w:p>
      <w:pPr>
        <w:spacing w:after="120"/>
      </w:pPr>
      <w:r>
        <w:rPr>
          <w:rFonts w:ascii="Times New Roman" w:cs="Times New Roman" w:eastAsia="Times New Roman" w:hAnsi="Times New Roman"/>
          <w:b w:val="false"/>
          <w:bCs w:val="false"/>
          <w:i w:val="false"/>
          <w:iCs w:val="false"/>
          <w:color w:val="1F2937"/>
          <w:sz w:val="22"/>
          <w:szCs w:val="22"/>
        </w:rPr>
        <w:t xml:space="preserve">Identifie 2 situations de ton quotidien professionnel où une posture motivationnelle (écouter l'ambivalence, évoquer, respecter l'autonomie) serait plus utile qu'une posture directive. Pour chacune, écris une phrase d'ouverture « EM-cohérente ». Rappel déontologique : diffuser l'EM en équipe suppose formation et supervision — ici, tu prépares ta propre posture.</w:t>
      </w:r>
    </w:p>
    <w:p>
      <w:pPr>
        <w:spacing w:after="120" w:before="260"/>
      </w:pPr>
      <w:r>
        <w:rPr>
          <w:rFonts w:ascii="Times New Roman" w:cs="Times New Roman" w:eastAsia="Times New Roman" w:hAnsi="Times New Roman"/>
          <w:b/>
          <w:bCs/>
          <w:i w:val="false"/>
          <w:iCs w:val="false"/>
          <w:color w:val="1B3A6B"/>
          <w:sz w:val="30"/>
          <w:szCs w:val="30"/>
        </w:rPr>
        <w:t xml:space="preserve">🎯 Challenge</w:t>
      </w:r>
    </w:p>
    <w:p>
      <w:pPr>
        <w:spacing w:after="120"/>
      </w:pPr>
      <w:r>
        <w:rPr>
          <w:rFonts w:ascii="Times New Roman" w:cs="Times New Roman" w:eastAsia="Times New Roman" w:hAnsi="Times New Roman"/>
          <w:b w:val="false"/>
          <w:bCs w:val="false"/>
          <w:i w:val="false"/>
          <w:iCs w:val="false"/>
          <w:color w:val="1F2937"/>
          <w:sz w:val="22"/>
          <w:szCs w:val="22"/>
        </w:rPr>
        <w:t xml:space="preserve">Enregistre-toi (ou écris intégralement) un entretien simulé de 15 répliques mobilisant tout le parcours : engager → focaliser → évoquer (DARN-CAT) → répondre à la discordance → amorcer un plan. Puis auto-évalue avec 4 critères MITI simplifiés (partenariat, empathie, évocation du changement, ratio reflets/questions ≥ 1). Note un point fort et un axe de travail pour tes 8 prochaines semaines.</w:t>
      </w:r>
    </w:p>
    <w:p>
      <w:pPr>
        <w:spacing w:after="120" w:before="260"/>
      </w:pPr>
      <w:r>
        <w:rPr>
          <w:rFonts w:ascii="Times New Roman" w:cs="Times New Roman" w:eastAsia="Times New Roman" w:hAnsi="Times New Roman"/>
          <w:b/>
          <w:bCs/>
          <w:i w:val="false"/>
          <w:iCs w:val="false"/>
          <w:color w:val="1B3A6B"/>
          <w:sz w:val="30"/>
          <w:szCs w:val="30"/>
        </w:rPr>
        <w:t xml:space="preserve">🌉 Pont pro (ESSMS)</w:t>
      </w:r>
    </w:p>
    <w:p>
      <w:pPr>
        <w:spacing w:after="120"/>
      </w:pPr>
      <w:r>
        <w:rPr>
          <w:rFonts w:ascii="Times New Roman" w:cs="Times New Roman" w:eastAsia="Times New Roman" w:hAnsi="Times New Roman"/>
          <w:b w:val="false"/>
          <w:bCs w:val="false"/>
          <w:i w:val="false"/>
          <w:iCs w:val="false"/>
          <w:color w:val="1F2937"/>
          <w:sz w:val="22"/>
          <w:szCs w:val="22"/>
        </w:rPr>
        <w:t xml:space="preserve">La notion de fidélité est transposable au management : une pratique affichée (« on fait de la bientraitance / de la participation ») ne vaut que si elle est réellement mise en œuvre et vérifiée. S'auto-observer honnêtement — comme le MITI l'exige — est une compétence de chef de service autant qu'une compétence clinique.</w:t>
      </w:r>
    </w:p>
    <w:p>
      <w:pPr>
        <w:spacing w:after="120" w:before="260"/>
      </w:pPr>
      <w:r>
        <w:rPr>
          <w:rFonts w:ascii="Times New Roman" w:cs="Times New Roman" w:eastAsia="Times New Roman" w:hAnsi="Times New Roman"/>
          <w:b/>
          <w:bCs/>
          <w:i w:val="false"/>
          <w:iCs w:val="false"/>
          <w:color w:val="1B3A6B"/>
          <w:sz w:val="30"/>
          <w:szCs w:val="30"/>
        </w:rPr>
        <w:t xml:space="preserve">📚 Ressources cliquables</w:t>
      </w:r>
    </w:p>
    <w:p>
      <w:pPr>
        <w:spacing w:after="80"/>
        <w:ind w:left="360" w:hanging="220"/>
      </w:pPr>
      <w:r>
        <w:rPr>
          <w:rFonts w:ascii="Times New Roman" w:cs="Times New Roman" w:eastAsia="Times New Roman" w:hAnsi="Times New Roman"/>
          <w:b w:val="false"/>
          <w:bCs w:val="false"/>
          <w:i w:val="false"/>
          <w:iCs w:val="false"/>
          <w:color w:val="1F2937"/>
          <w:sz w:val="22"/>
          <w:szCs w:val="22"/>
        </w:rPr>
        <w:t xml:space="preserve">•  </w:t>
      </w:r>
      <w:hyperlink w:history="1" r:id="rId6uok9wmccl7kx7zerzjng">
        <w:r>
          <w:rPr>
            <w:rFonts w:ascii="Times New Roman" w:cs="Times New Roman" w:eastAsia="Times New Roman" w:hAnsi="Times New Roman"/>
            <w:b w:val="false"/>
            <w:bCs w:val="false"/>
            <w:i w:val="false"/>
            <w:iCs w:val="false"/>
            <w:color w:val="1155CC"/>
            <w:sz w:val="22"/>
            <w:szCs w:val="22"/>
            <w:u w:val="single"/>
          </w:rPr>
          <w:t xml:space="preserve">MINT — Coding &amp; MITI (fidelity coding)</w:t>
        </w:r>
      </w:hyperlink>
      <w:r>
        <w:rPr>
          <w:rFonts w:ascii="Times New Roman" w:cs="Times New Roman" w:eastAsia="Times New Roman" w:hAnsi="Times New Roman"/>
          <w:b w:val="false"/>
          <w:bCs w:val="false"/>
          <w:i w:val="false"/>
          <w:iCs w:val="false"/>
          <w:color w:val="1F2937"/>
          <w:sz w:val="22"/>
          <w:szCs w:val="22"/>
        </w:rPr>
        <w:t xml:space="preserve"> — formation et manuel de codage MITI 4.2.1</w:t>
      </w:r>
    </w:p>
    <w:p>
      <w:pPr>
        <w:spacing w:after="80"/>
        <w:ind w:left="360" w:hanging="220"/>
      </w:pPr>
      <w:r>
        <w:rPr>
          <w:rFonts w:ascii="Times New Roman" w:cs="Times New Roman" w:eastAsia="Times New Roman" w:hAnsi="Times New Roman"/>
          <w:b w:val="false"/>
          <w:bCs w:val="false"/>
          <w:i w:val="false"/>
          <w:iCs w:val="false"/>
          <w:color w:val="1F2937"/>
          <w:sz w:val="22"/>
          <w:szCs w:val="22"/>
        </w:rPr>
        <w:t xml:space="preserve">•  </w:t>
      </w:r>
      <w:hyperlink w:history="1" r:id="rIdiumopxifq96i4dlshgvls">
        <w:r>
          <w:rPr>
            <w:rFonts w:ascii="Times New Roman" w:cs="Times New Roman" w:eastAsia="Times New Roman" w:hAnsi="Times New Roman"/>
            <w:b w:val="false"/>
            <w:bCs w:val="false"/>
            <w:i w:val="false"/>
            <w:iCs w:val="false"/>
            <w:color w:val="1155CC"/>
            <w:sz w:val="22"/>
            <w:szCs w:val="22"/>
            <w:u w:val="single"/>
          </w:rPr>
          <w:t xml:space="preserve">Motivational interviewing — Wikipedia</w:t>
        </w:r>
      </w:hyperlink>
      <w:r>
        <w:rPr>
          <w:rFonts w:ascii="Times New Roman" w:cs="Times New Roman" w:eastAsia="Times New Roman" w:hAnsi="Times New Roman"/>
          <w:b w:val="false"/>
          <w:bCs w:val="false"/>
          <w:i w:val="false"/>
          <w:iCs w:val="false"/>
          <w:color w:val="1F2937"/>
          <w:sz w:val="22"/>
          <w:szCs w:val="22"/>
        </w:rPr>
        <w:t xml:space="preserve"> — vue d'ensemble, fidélité et efficacité (EN)</w:t>
      </w:r>
    </w:p>
    <w:p>
      <w:pPr>
        <w:spacing w:after="80"/>
        <w:ind w:left="360" w:hanging="220"/>
      </w:pPr>
      <w:r>
        <w:rPr>
          <w:rFonts w:ascii="Times New Roman" w:cs="Times New Roman" w:eastAsia="Times New Roman" w:hAnsi="Times New Roman"/>
          <w:b w:val="false"/>
          <w:bCs w:val="false"/>
          <w:i w:val="false"/>
          <w:iCs w:val="false"/>
          <w:color w:val="1F2937"/>
          <w:sz w:val="22"/>
          <w:szCs w:val="22"/>
        </w:rPr>
        <w:t xml:space="preserve">•  </w:t>
      </w:r>
      <w:hyperlink w:history="1" r:id="rIdfk7eaqpdjs0tdnft2stpi">
        <w:r>
          <w:rPr>
            <w:rFonts w:ascii="Times New Roman" w:cs="Times New Roman" w:eastAsia="Times New Roman" w:hAnsi="Times New Roman"/>
            <w:b w:val="false"/>
            <w:bCs w:val="false"/>
            <w:i w:val="false"/>
            <w:iCs w:val="false"/>
            <w:color w:val="1155CC"/>
            <w:sz w:val="22"/>
            <w:szCs w:val="22"/>
            <w:u w:val="single"/>
          </w:rPr>
          <w:t xml:space="preserve">MINT — réseau officiel des formateurs</w:t>
        </w:r>
      </w:hyperlink>
      <w:r>
        <w:rPr>
          <w:rFonts w:ascii="Times New Roman" w:cs="Times New Roman" w:eastAsia="Times New Roman" w:hAnsi="Times New Roman"/>
          <w:b w:val="false"/>
          <w:bCs w:val="false"/>
          <w:i w:val="false"/>
          <w:iCs w:val="false"/>
          <w:color w:val="1F2937"/>
          <w:sz w:val="22"/>
          <w:szCs w:val="22"/>
        </w:rPr>
        <w:t xml:space="preserve"> — trouver une formation/supervision certifiée</w:t>
      </w:r>
    </w:p>
    <w:p>
      <w:pPr>
        <w:spacing w:after="80"/>
        <w:ind w:left="360" w:hanging="220"/>
      </w:pPr>
      <w:r>
        <w:rPr>
          <w:rFonts w:ascii="Times New Roman" w:cs="Times New Roman" w:eastAsia="Times New Roman" w:hAnsi="Times New Roman"/>
          <w:b w:val="false"/>
          <w:bCs w:val="false"/>
          <w:i w:val="false"/>
          <w:iCs w:val="false"/>
          <w:color w:val="1F2937"/>
          <w:sz w:val="22"/>
          <w:szCs w:val="22"/>
        </w:rPr>
        <w:t xml:space="preserve">•  </w:t>
      </w:r>
      <w:hyperlink w:history="1" r:id="rId-in2sroldx9i-j5ueaqpa">
        <w:r>
          <w:rPr>
            <w:rFonts w:ascii="Times New Roman" w:cs="Times New Roman" w:eastAsia="Times New Roman" w:hAnsi="Times New Roman"/>
            <w:b w:val="false"/>
            <w:bCs w:val="false"/>
            <w:i w:val="false"/>
            <w:iCs w:val="false"/>
            <w:color w:val="1155CC"/>
            <w:sz w:val="22"/>
            <w:szCs w:val="22"/>
            <w:u w:val="single"/>
          </w:rPr>
          <w:t xml:space="preserve">AFDEM — ressources francophones sur l'EM</w:t>
        </w:r>
      </w:hyperlink>
      <w:r>
        <w:rPr>
          <w:rFonts w:ascii="Times New Roman" w:cs="Times New Roman" w:eastAsia="Times New Roman" w:hAnsi="Times New Roman"/>
          <w:b w:val="false"/>
          <w:bCs w:val="false"/>
          <w:i w:val="false"/>
          <w:iCs w:val="false"/>
          <w:color w:val="1F2937"/>
          <w:sz w:val="22"/>
          <w:szCs w:val="22"/>
        </w:rPr>
        <w:t xml:space="preserve"> — formation et pratique en français</w:t>
      </w:r>
    </w:p>
    <w:p>
      <w:pPr>
        <w:spacing w:after="120" w:before="260"/>
      </w:pPr>
      <w:r>
        <w:rPr>
          <w:rFonts w:ascii="Times New Roman" w:cs="Times New Roman" w:eastAsia="Times New Roman" w:hAnsi="Times New Roman"/>
          <w:b/>
          <w:bCs/>
          <w:i w:val="false"/>
          <w:iCs w:val="false"/>
          <w:color w:val="1B3A6B"/>
          <w:sz w:val="30"/>
          <w:szCs w:val="30"/>
        </w:rPr>
        <w:t xml:space="preserve">🔜 Prochaine leçon</w:t>
      </w:r>
    </w:p>
    <w:p>
      <w:pPr>
        <w:spacing w:after="120"/>
      </w:pPr>
      <w:r>
        <w:rPr>
          <w:rFonts w:ascii="Times New Roman" w:cs="Times New Roman" w:eastAsia="Times New Roman" w:hAnsi="Times New Roman"/>
          <w:b w:val="false"/>
          <w:bCs w:val="false"/>
          <w:i w:val="false"/>
          <w:iCs w:val="false"/>
          <w:color w:val="1F2937"/>
          <w:sz w:val="22"/>
          <w:szCs w:val="22"/>
        </w:rPr>
        <w:t xml:space="preserve">Leçon n°08 (rythme hebdomadaire, jeudi) — L'écoute reflective approfondie : reflets simples vs complexes, doubles reflets. On affine l'outil le plus puissant de l'EM.</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6uok9wmccl7kx7zerzjng" Type="http://schemas.openxmlformats.org/officeDocument/2006/relationships/hyperlink" Target="https://motivationalinterviewing.org/category/eventcategorytitle/coding" TargetMode="External"/><Relationship Id="rIdiumopxifq96i4dlshgvls" Type="http://schemas.openxmlformats.org/officeDocument/2006/relationships/hyperlink" Target="https://en.wikipedia.org/wiki/Motivational_interviewing" TargetMode="External"/><Relationship Id="rIdfk7eaqpdjs0tdnft2stpi" Type="http://schemas.openxmlformats.org/officeDocument/2006/relationships/hyperlink" Target="https://motivationalinterviewing.org/" TargetMode="External"/><Relationship Id="rId-in2sroldx9i-j5ueaqpa" Type="http://schemas.openxmlformats.org/officeDocument/2006/relationships/hyperlink" Target="https://www.entretienmotivationnel.org/"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2026-07-14T09:41:39.132Z</dcterms:created>
  <dcterms:modified xsi:type="dcterms:W3CDTF">2026-07-14T09:41:39.132Z</dcterms:modified>
</cp:coreProperties>
</file>

<file path=docProps/custom.xml><?xml version="1.0" encoding="utf-8"?>
<Properties xmlns="http://schemas.openxmlformats.org/officeDocument/2006/custom-properties" xmlns:vt="http://schemas.openxmlformats.org/officeDocument/2006/docPropsVTypes"/>
</file>