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jc w:val="center"/>
      </w:pPr>
      <w:r>
        <w:rPr>
          <w:rFonts w:ascii="Times New Roman" w:cs="Times New Roman" w:eastAsia="Times New Roman" w:hAnsi="Times New Roman"/>
          <w:b/>
          <w:bCs/>
          <w:color w:val="1B3A6B"/>
          <w:sz w:val="52"/>
          <w:szCs w:val="52"/>
        </w:rPr>
        <w:t xml:space="preserve">Leçon Entretien Motivationnel n°09</w:t>
      </w:r>
    </w:p>
    <w:p>
      <w:pPr>
        <w:pStyle w:val="Heading1"/>
        <w:spacing w:after="120" w:before="200"/>
        <w:jc w:val="center"/>
      </w:pPr>
      <w:r>
        <w:rPr>
          <w:rFonts w:ascii="Times New Roman" w:cs="Times New Roman" w:eastAsia="Times New Roman" w:hAnsi="Times New Roman"/>
          <w:b/>
          <w:bCs/>
          <w:color w:val="1B3A6B"/>
          <w:sz w:val="52"/>
          <w:szCs w:val="52"/>
        </w:rPr>
        <w:t xml:space="preserve">Évoquer puis consolider l'engagement : le processus de planification</w:t>
      </w:r>
    </w:p>
    <w:p>
      <w:pPr>
        <w:spacing w:after="40" w:before="80"/>
        <w:jc w:val="center"/>
      </w:pPr>
      <w:r>
        <w:rPr>
          <w:rFonts w:ascii="Times New Roman" w:cs="Times New Roman" w:eastAsia="Times New Roman" w:hAnsi="Times New Roman"/>
          <w:i/>
          <w:iCs/>
          <w:color w:val="555555"/>
          <w:sz w:val="20"/>
          <w:szCs w:val="20"/>
        </w:rPr>
        <w:t xml:space="preserve">📅 23 juillet 2026  |  Module Appliqué — Leçon 9/14</w:t>
      </w:r>
    </w:p>
    <w:p>
      <w:pPr>
        <w:spacing w:after="200" w:before="40"/>
        <w:jc w:val="center"/>
      </w:pPr>
      <w:r>
        <w:rPr>
          <w:rFonts w:ascii="Times New Roman" w:cs="Times New Roman" w:eastAsia="Times New Roman" w:hAnsi="Times New Roman"/>
          <w:b/>
          <w:bCs/>
          <w:color w:val="1B3A6B"/>
          <w:sz w:val="20"/>
          <w:szCs w:val="20"/>
        </w:rPr>
        <w:t xml:space="preserve">Position dans le parcours : Phase 3 — Du POURQUOI au COMMENT</w:t>
      </w:r>
    </w:p>
    <w:p>
      <w:pPr>
        <w:spacing w:after="160" w:before="160"/>
        <w:jc w:val="center"/>
      </w:pPr>
      <w:r>
        <w:rPr>
          <w:rFonts w:ascii="Times New Roman" w:cs="Times New Roman" w:eastAsia="Times New Roman" w:hAnsi="Times New Roman"/>
          <w:color w:val="CCCCCC"/>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l'issue de cette leçon, tu sauras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reconnaître les signes de disposition au changement qui annoncent l'entrée en planification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distinguer discours préparatoire (DARN) et discours de mobilisation (CAT)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poser les bonnes questions pour aider la personne à construire son propre plan de changement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utiliser le résumé de transition et l'exploration EPE (Éliciter-Partager-Éliciter) sans reprendre la main sur le plan.</w:t>
      </w:r>
    </w:p>
    <w:p>
      <w:r>
        <w:t xml:space="preserve"/>
      </w:r>
    </w:p>
    <w:p>
      <w:pPr>
        <w:spacing w:after="80" w:before="80"/>
      </w:pPr>
      <w:r>
        <w:rPr>
          <w:rFonts w:ascii="Times New Roman" w:cs="Times New Roman" w:eastAsia="Times New Roman" w:hAnsi="Times New Roman"/>
          <w:color w:val="1F2937"/>
          <w:sz w:val="22"/>
          <w:szCs w:val="22"/>
        </w:rPr>
        <w:t xml:space="preserve">Lien avec la leçon précédente (n°08 — Écoute réflective approfondie) : les reflets complexes, les doubles reflets et la reformulation du sens approfondis en leçon 8 sont exactement les outils que tu vas mobiliser ici pour renforcer le discours d'engagement. La planification ne s'improvise pas : elle s'ancre dans une écoute fine.</w:t>
      </w:r>
    </w:p>
    <w:p>
      <w:pPr>
        <w:spacing w:after="160" w:before="160"/>
        <w:jc w:val="center"/>
      </w:pPr>
      <w:r>
        <w:rPr>
          <w:rFonts w:ascii="Times New Roman" w:cs="Times New Roman" w:eastAsia="Times New Roman" w:hAnsi="Times New Roman"/>
          <w:color w:val="CCCCCC"/>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Théorie (20 %)</w:t>
      </w:r>
    </w:p>
    <w:p>
      <w:pPr>
        <w:pStyle w:val="Heading3"/>
        <w:spacing w:after="60" w:before="200"/>
      </w:pPr>
      <w:r>
        <w:rPr>
          <w:rFonts w:ascii="Times New Roman" w:cs="Times New Roman" w:eastAsia="Times New Roman" w:hAnsi="Times New Roman"/>
          <w:b/>
          <w:bCs/>
          <w:color w:val="1F2937"/>
          <w:sz w:val="26"/>
          <w:szCs w:val="26"/>
        </w:rPr>
        <w:t xml:space="preserve">1. Le quatrième processus : la planification</w:t>
      </w:r>
    </w:p>
    <w:p>
      <w:pPr>
        <w:spacing w:after="80" w:before="80"/>
      </w:pPr>
      <w:r>
        <w:rPr>
          <w:rFonts w:ascii="Times New Roman" w:cs="Times New Roman" w:eastAsia="Times New Roman" w:hAnsi="Times New Roman"/>
          <w:color w:val="1F2937"/>
          <w:sz w:val="22"/>
          <w:szCs w:val="22"/>
        </w:rPr>
        <w:t xml:space="preserve">L'EM s'organise autour de quatre processus : engager, focaliser, évoquer, planifier. Les trois premiers explorent le POURQUOI du changement. La planification explore le COMMENT. Ce n'est pas une étape séquentielle imposée : on y entre lorsque la personne est prête, et on peut y revenir après être retourné à l'évocation si la résistance réapparaît.</w:t>
      </w:r>
    </w:p>
    <w:p>
      <w:r>
        <w:t xml:space="preserve"/>
      </w:r>
    </w:p>
    <w:p>
      <w:pPr>
        <w:spacing w:after="80" w:before="80"/>
      </w:pPr>
      <w:r>
        <w:rPr>
          <w:rFonts w:ascii="Times New Roman" w:cs="Times New Roman" w:eastAsia="Times New Roman" w:hAnsi="Times New Roman"/>
          <w:color w:val="1F2937"/>
          <w:sz w:val="22"/>
          <w:szCs w:val="22"/>
        </w:rPr>
        <w:t xml:space="preserve">Selon Miller &amp; Rollnick (Motivational Interviewing, 3e éd., 2013), la planification consiste à « soutenir la personne pour consolider son engagement envers le changement et développer un plan basé sur ses propres insights et son expertise ». Le praticien reste facilitateur : c'est la personne qui sait ce qui est réaliste pour elle.</w:t>
      </w:r>
    </w:p>
    <w:p>
      <w:pPr>
        <w:pStyle w:val="Heading3"/>
        <w:spacing w:after="60" w:before="200"/>
      </w:pPr>
      <w:r>
        <w:rPr>
          <w:rFonts w:ascii="Times New Roman" w:cs="Times New Roman" w:eastAsia="Times New Roman" w:hAnsi="Times New Roman"/>
          <w:b/>
          <w:bCs/>
          <w:color w:val="1F2937"/>
          <w:sz w:val="26"/>
          <w:szCs w:val="26"/>
        </w:rPr>
        <w:t xml:space="preserve">2. Les signes de disposition au changement</w:t>
      </w:r>
    </w:p>
    <w:p>
      <w:pPr>
        <w:spacing w:after="80" w:before="80"/>
      </w:pPr>
      <w:r>
        <w:rPr>
          <w:rFonts w:ascii="Times New Roman" w:cs="Times New Roman" w:eastAsia="Times New Roman" w:hAnsi="Times New Roman"/>
          <w:color w:val="1F2937"/>
          <w:sz w:val="22"/>
          <w:szCs w:val="22"/>
        </w:rPr>
        <w:t xml:space="preserve">Avant de proposer la planification, observe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une augmentation nette du discours-changement (fréquence, intensité, spécificité)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une résolution apparente de l'ambivalence (ton plus calme, moins d'ambivalence exprimée)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des questions sur le « comment » (« Par où commencer ? » / « Qu'est-ce qui marche, selon vous ? »)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une vision de la vie après le changement (projections positives, anticipation des bénéfices).</w:t>
      </w:r>
    </w:p>
    <w:p>
      <w:r>
        <w:t xml:space="preserve"/>
      </w:r>
    </w:p>
    <w:p>
      <w:pPr>
        <w:spacing w:after="80" w:before="80"/>
      </w:pPr>
      <w:r>
        <w:rPr>
          <w:rFonts w:ascii="Times New Roman" w:cs="Times New Roman" w:eastAsia="Times New Roman" w:hAnsi="Times New Roman"/>
          <w:color w:val="1F2937"/>
          <w:sz w:val="22"/>
          <w:szCs w:val="22"/>
        </w:rPr>
        <w:t xml:space="preserve">Erreur classique à éviter : anticiper ces signes et basculer en planification trop tôt, ce qui génère de la discordance. Si la personne n'est pas prête, retourner à l'évocation.</w:t>
      </w:r>
    </w:p>
    <w:p>
      <w:pPr>
        <w:pStyle w:val="Heading3"/>
        <w:spacing w:after="60" w:before="200"/>
      </w:pPr>
      <w:r>
        <w:rPr>
          <w:rFonts w:ascii="Times New Roman" w:cs="Times New Roman" w:eastAsia="Times New Roman" w:hAnsi="Times New Roman"/>
          <w:b/>
          <w:bCs/>
          <w:color w:val="1F2937"/>
          <w:sz w:val="26"/>
          <w:szCs w:val="26"/>
        </w:rPr>
        <w:t xml:space="preserve">3. Du DARN au CAT — le discours de mobilisation</w:t>
      </w:r>
    </w:p>
    <w:p>
      <w:pPr>
        <w:spacing w:after="80" w:before="80"/>
      </w:pPr>
      <w:r>
        <w:rPr>
          <w:rFonts w:ascii="Times New Roman" w:cs="Times New Roman" w:eastAsia="Times New Roman" w:hAnsi="Times New Roman"/>
          <w:color w:val="1F2937"/>
          <w:sz w:val="22"/>
          <w:szCs w:val="22"/>
        </w:rPr>
        <w:t xml:space="preserve">Tu as travaillé DARN en leçon 5 (discours préparatoire : Désir, Aptitude, Raisons, Nécessité). En planification, on cherche à faire émerger et renforcer le CAT :</w:t>
      </w:r>
    </w:p>
    <w:p>
      <w:r>
        <w:t xml:space="preserve"/>
      </w:r>
    </w:p>
    <w:p>
      <w:pPr>
        <w:spacing w:after="80" w:before="80"/>
        <w:ind w:left="576"/>
      </w:pPr>
      <w:r>
        <w:rPr>
          <w:rFonts w:ascii="Times New Roman" w:cs="Times New Roman" w:eastAsia="Times New Roman" w:hAnsi="Times New Roman"/>
          <w:b/>
          <w:bCs/>
          <w:color w:val="1B3A6B"/>
          <w:sz w:val="22"/>
          <w:szCs w:val="22"/>
        </w:rPr>
        <w:t xml:space="preserve">C</w:t>
      </w:r>
      <w:r>
        <w:rPr>
          <w:rFonts w:ascii="Times New Roman" w:cs="Times New Roman" w:eastAsia="Times New Roman" w:hAnsi="Times New Roman"/>
          <w:color w:val="1F2937"/>
          <w:sz w:val="22"/>
          <w:szCs w:val="22"/>
        </w:rPr>
        <w:t xml:space="preserve"> — Commitment (Engagement) : déclarations de promesse d'action future</w:t>
      </w:r>
    </w:p>
    <w:p>
      <w:pPr>
        <w:spacing w:after="40" w:before="40"/>
        <w:ind w:left="576"/>
      </w:pPr>
      <w:r>
        <w:rPr>
          <w:rFonts w:ascii="Times New Roman" w:cs="Times New Roman" w:eastAsia="Times New Roman" w:hAnsi="Times New Roman"/>
          <w:i/>
          <w:iCs/>
          <w:color w:val="555555"/>
          <w:sz w:val="22"/>
          <w:szCs w:val="22"/>
        </w:rPr>
        <w:t xml:space="preserve">      Exemple : </w:t>
      </w:r>
      <w:r>
        <w:rPr>
          <w:rFonts w:ascii="Times New Roman" w:cs="Times New Roman" w:eastAsia="Times New Roman" w:hAnsi="Times New Roman"/>
          <w:i/>
          <w:iCs/>
          <w:color w:val="1B3A6B"/>
          <w:sz w:val="22"/>
          <w:szCs w:val="22"/>
        </w:rPr>
        <w:t xml:space="preserve">« Je vais appeler le service demain. »</w:t>
      </w:r>
    </w:p>
    <w:p>
      <w:pPr>
        <w:spacing w:after="80" w:before="80"/>
        <w:ind w:left="576"/>
      </w:pPr>
      <w:r>
        <w:rPr>
          <w:rFonts w:ascii="Times New Roman" w:cs="Times New Roman" w:eastAsia="Times New Roman" w:hAnsi="Times New Roman"/>
          <w:b/>
          <w:bCs/>
          <w:color w:val="1B3A6B"/>
          <w:sz w:val="22"/>
          <w:szCs w:val="22"/>
        </w:rPr>
        <w:t xml:space="preserve">A</w:t>
      </w:r>
      <w:r>
        <w:rPr>
          <w:rFonts w:ascii="Times New Roman" w:cs="Times New Roman" w:eastAsia="Times New Roman" w:hAnsi="Times New Roman"/>
          <w:color w:val="1F2937"/>
          <w:sz w:val="22"/>
          <w:szCs w:val="22"/>
        </w:rPr>
        <w:t xml:space="preserve"> — Activation : expression de disponibilité/préparation à agir</w:t>
      </w:r>
    </w:p>
    <w:p>
      <w:pPr>
        <w:spacing w:after="40" w:before="40"/>
        <w:ind w:left="576"/>
      </w:pPr>
      <w:r>
        <w:rPr>
          <w:rFonts w:ascii="Times New Roman" w:cs="Times New Roman" w:eastAsia="Times New Roman" w:hAnsi="Times New Roman"/>
          <w:i/>
          <w:iCs/>
          <w:color w:val="555555"/>
          <w:sz w:val="22"/>
          <w:szCs w:val="22"/>
        </w:rPr>
        <w:t xml:space="preserve">      Exemple : </w:t>
      </w:r>
      <w:r>
        <w:rPr>
          <w:rFonts w:ascii="Times New Roman" w:cs="Times New Roman" w:eastAsia="Times New Roman" w:hAnsi="Times New Roman"/>
          <w:i/>
          <w:iCs/>
          <w:color w:val="1B3A6B"/>
          <w:sz w:val="22"/>
          <w:szCs w:val="22"/>
        </w:rPr>
        <w:t xml:space="preserve">« Je suis prêt à commencer. » / « Je me sens préparé. »</w:t>
      </w:r>
    </w:p>
    <w:p>
      <w:pPr>
        <w:spacing w:after="80" w:before="80"/>
        <w:ind w:left="576"/>
      </w:pPr>
      <w:r>
        <w:rPr>
          <w:rFonts w:ascii="Times New Roman" w:cs="Times New Roman" w:eastAsia="Times New Roman" w:hAnsi="Times New Roman"/>
          <w:b/>
          <w:bCs/>
          <w:color w:val="1B3A6B"/>
          <w:sz w:val="22"/>
          <w:szCs w:val="22"/>
        </w:rPr>
        <w:t xml:space="preserve">T</w:t>
      </w:r>
      <w:r>
        <w:rPr>
          <w:rFonts w:ascii="Times New Roman" w:cs="Times New Roman" w:eastAsia="Times New Roman" w:hAnsi="Times New Roman"/>
          <w:color w:val="1F2937"/>
          <w:sz w:val="22"/>
          <w:szCs w:val="22"/>
        </w:rPr>
        <w:t xml:space="preserve"> — Taking steps (Passage à l'action) : actions déjà entreprises</w:t>
      </w:r>
    </w:p>
    <w:p>
      <w:pPr>
        <w:spacing w:after="40" w:before="40"/>
        <w:ind w:left="576"/>
      </w:pPr>
      <w:r>
        <w:rPr>
          <w:rFonts w:ascii="Times New Roman" w:cs="Times New Roman" w:eastAsia="Times New Roman" w:hAnsi="Times New Roman"/>
          <w:i/>
          <w:iCs/>
          <w:color w:val="555555"/>
          <w:sz w:val="22"/>
          <w:szCs w:val="22"/>
        </w:rPr>
        <w:t xml:space="preserve">      Exemple : </w:t>
      </w:r>
      <w:r>
        <w:rPr>
          <w:rFonts w:ascii="Times New Roman" w:cs="Times New Roman" w:eastAsia="Times New Roman" w:hAnsi="Times New Roman"/>
          <w:i/>
          <w:iCs/>
          <w:color w:val="1B3A6B"/>
          <w:sz w:val="22"/>
          <w:szCs w:val="22"/>
        </w:rPr>
        <w:t xml:space="preserve">« J'ai déjà pris rendez-vous. » / « Hier, j'ai jeté mes cigarettes. »</w:t>
      </w:r>
    </w:p>
    <w:p>
      <w:r>
        <w:t xml:space="preserve"/>
      </w:r>
    </w:p>
    <w:p>
      <w:pPr>
        <w:spacing w:after="80" w:before="80"/>
      </w:pPr>
      <w:r>
        <w:rPr>
          <w:rFonts w:ascii="Times New Roman" w:cs="Times New Roman" w:eastAsia="Times New Roman" w:hAnsi="Times New Roman"/>
          <w:color w:val="1F2937"/>
          <w:sz w:val="22"/>
          <w:szCs w:val="22"/>
        </w:rPr>
        <w:t xml:space="preserve">Le CAT est le discours le plus prédictif du changement effectif. Plus les énoncés CAT sont précis et fréquents, plus le passage à l'action est probable. Le praticien EM renforce ces énoncés par des reflets et des valorisations ciblés.</w:t>
      </w:r>
    </w:p>
    <w:p>
      <w:pPr>
        <w:pStyle w:val="Heading3"/>
        <w:spacing w:after="60" w:before="200"/>
      </w:pPr>
      <w:r>
        <w:rPr>
          <w:rFonts w:ascii="Times New Roman" w:cs="Times New Roman" w:eastAsia="Times New Roman" w:hAnsi="Times New Roman"/>
          <w:b/>
          <w:bCs/>
          <w:color w:val="1F2937"/>
          <w:sz w:val="26"/>
          <w:szCs w:val="26"/>
        </w:rPr>
        <w:t xml:space="preserve">4. Le résumé de transition</w:t>
      </w:r>
    </w:p>
    <w:p>
      <w:pPr>
        <w:spacing w:after="80" w:before="80"/>
      </w:pPr>
      <w:r>
        <w:rPr>
          <w:rFonts w:ascii="Times New Roman" w:cs="Times New Roman" w:eastAsia="Times New Roman" w:hAnsi="Times New Roman"/>
          <w:color w:val="1F2937"/>
          <w:sz w:val="22"/>
          <w:szCs w:val="22"/>
        </w:rPr>
        <w:t xml:space="preserve">Avant d'entrer en planification, un résumé de transition est une technique clé : on récapitule ce que la personne a dit (motivations, valeurs, ambivalence résolue, discours-changement fort), puis on pose une question ouverte d'invitation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"Vous m'avez dit que... et que... Vous avez aussi parlé de l'importance que ça a pour vous. Où est-ce que tout ça vous mène, maintenant ?"</w:t>
      </w:r>
      <w:r>
        <w:rPr>
          <w:rFonts w:ascii="Times New Roman" w:cs="Times New Roman" w:eastAsia="Times New Roman" w:hAnsi="Times New Roman"/>
          <w:i/>
          <w:iCs/>
          <w:color w:val="555555"/>
          <w:sz w:val="20"/>
          <w:szCs w:val="20"/>
        </w:rPr>
        <w:t xml:space="preserve"> — formulation-type, synthèse non citation</w:t>
      </w:r>
    </w:p>
    <w:p>
      <w:r>
        <w:t xml:space="preserve"/>
      </w:r>
    </w:p>
    <w:p>
      <w:pPr>
        <w:spacing w:after="80" w:before="80"/>
      </w:pPr>
      <w:r>
        <w:rPr>
          <w:rFonts w:ascii="Times New Roman" w:cs="Times New Roman" w:eastAsia="Times New Roman" w:hAnsi="Times New Roman"/>
          <w:color w:val="1F2937"/>
          <w:sz w:val="22"/>
          <w:szCs w:val="22"/>
        </w:rPr>
        <w:t xml:space="preserve">Ce résumé ne doit pas être une liste froide : il doit refléter le sens, les valeurs, la tension vers le changement. C'est un acte d'écoute concentrée.</w:t>
      </w:r>
    </w:p>
    <w:p>
      <w:pPr>
        <w:pStyle w:val="Heading3"/>
        <w:spacing w:after="60" w:before="200"/>
      </w:pPr>
      <w:r>
        <w:rPr>
          <w:rFonts w:ascii="Times New Roman" w:cs="Times New Roman" w:eastAsia="Times New Roman" w:hAnsi="Times New Roman"/>
          <w:b/>
          <w:bCs/>
          <w:color w:val="1F2937"/>
          <w:sz w:val="26"/>
          <w:szCs w:val="26"/>
        </w:rPr>
        <w:t xml:space="preserve">5. La méthode EPE pour co-construire le plan</w:t>
      </w:r>
    </w:p>
    <w:p>
      <w:pPr>
        <w:spacing w:after="80" w:before="80"/>
      </w:pPr>
      <w:r>
        <w:rPr>
          <w:rFonts w:ascii="Times New Roman" w:cs="Times New Roman" w:eastAsia="Times New Roman" w:hAnsi="Times New Roman"/>
          <w:color w:val="1F2937"/>
          <w:sz w:val="22"/>
          <w:szCs w:val="22"/>
        </w:rPr>
        <w:t xml:space="preserve">Quand vient le moment d'aborder les stratégies concrètes, l'EM recommande la méthode EPE (Éliciter – Partager – Éliciter) plutôt que l'instruction directe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Éliciter d'abord : « Qu'est-ce que vous avez déjà essayé ? Qu'est-ce qui vous semble envisageable ?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Partager (avec permission) : « Puis-je partager ce qui a aidé d'autres personnes dans cette situation ?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Éliciter ensuite : « Qu'est-ce que ça vous inspire ? Est-ce que ça pourrait s'adapter à votre situation ? »</w:t>
      </w:r>
    </w:p>
    <w:p>
      <w:r>
        <w:t xml:space="preserve"/>
      </w:r>
    </w:p>
    <w:p>
      <w:pPr>
        <w:spacing w:after="80" w:before="80"/>
      </w:pPr>
      <w:r>
        <w:rPr>
          <w:rFonts w:ascii="Times New Roman" w:cs="Times New Roman" w:eastAsia="Times New Roman" w:hAnsi="Times New Roman"/>
          <w:color w:val="1F2937"/>
          <w:sz w:val="22"/>
          <w:szCs w:val="22"/>
        </w:rPr>
        <w:t xml:space="preserve">Cette séquence maintient l'autonomie de la personne et évite le « réflexe correcteur ». Le plan appartient à la personne, pas au praticien.</w:t>
      </w:r>
    </w:p>
    <w:p>
      <w:pPr>
        <w:spacing w:after="160" w:before="160"/>
        <w:jc w:val="center"/>
      </w:pPr>
      <w:r>
        <w:rPr>
          <w:rFonts w:ascii="Times New Roman" w:cs="Times New Roman" w:eastAsia="Times New Roman" w:hAnsi="Times New Roman"/>
          <w:color w:val="CCCCCC"/>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Pratique (80 %)</w:t>
      </w:r>
    </w:p>
    <w:p>
      <w:pPr>
        <w:pStyle w:val="Heading3"/>
        <w:spacing w:after="60" w:before="200"/>
      </w:pPr>
      <w:r>
        <w:rPr>
          <w:rFonts w:ascii="Times New Roman" w:cs="Times New Roman" w:eastAsia="Times New Roman" w:hAnsi="Times New Roman"/>
          <w:b/>
          <w:bCs/>
          <w:color w:val="1F2937"/>
          <w:sz w:val="26"/>
          <w:szCs w:val="26"/>
        </w:rPr>
        <w:t xml:space="preserve">Exercice 1 — Repérer les signes de disposition (lecture de verbatims)</w:t>
      </w:r>
    </w:p>
    <w:p>
      <w:pPr>
        <w:spacing w:after="80" w:before="80"/>
      </w:pPr>
      <w:r>
        <w:rPr>
          <w:rFonts w:ascii="Times New Roman" w:cs="Times New Roman" w:eastAsia="Times New Roman" w:hAnsi="Times New Roman"/>
          <w:color w:val="1F2937"/>
          <w:sz w:val="22"/>
          <w:szCs w:val="22"/>
        </w:rPr>
        <w:t xml:space="preserve">Lis les extraits suivants. Pour chacun, indique : (a) est-ce un signe de disposition à la planification ? (b) pourquoi ou pourquoi pas ?</w:t>
      </w:r>
    </w:p>
    <w:p>
      <w:r>
        <w:t xml:space="preserve"/>
      </w:r>
    </w:p>
    <w:p>
      <w:pPr>
        <w:spacing w:after="80" w:before="80"/>
      </w:pPr>
      <w:r>
        <w:rPr>
          <w:rFonts w:ascii="Times New Roman" w:cs="Times New Roman" w:eastAsia="Times New Roman" w:hAnsi="Times New Roman"/>
          <w:b/>
          <w:bCs/>
          <w:color w:val="1F2937"/>
          <w:sz w:val="22"/>
          <w:szCs w:val="22"/>
        </w:rPr>
        <w:t xml:space="preserve">Verbatim A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"Je sais pas... des fois je me dis que ça serait bien, mais le lendemain je re-bascule. C'est compliqué."</w:t>
      </w:r>
      <w:r>
        <w:rPr>
          <w:rFonts w:ascii="Times New Roman" w:cs="Times New Roman" w:eastAsia="Times New Roman" w:hAnsi="Times New Roman"/>
          <w:i/>
          <w:iCs/>
          <w:color w:val="555555"/>
          <w:sz w:val="20"/>
          <w:szCs w:val="20"/>
        </w:rPr>
        <w:t xml:space="preserve"> — (personne accompagnée, contexte addictions)</w:t>
      </w:r>
    </w:p>
    <w:p>
      <w:pPr>
        <w:spacing w:after="80" w:before="80"/>
      </w:pPr>
      <w:r>
        <w:rPr>
          <w:rFonts w:ascii="Times New Roman" w:cs="Times New Roman" w:eastAsia="Times New Roman" w:hAnsi="Times New Roman"/>
          <w:color w:val="1F2937"/>
          <w:sz w:val="22"/>
          <w:szCs w:val="22"/>
        </w:rPr>
        <w:t xml:space="preserve">→ Ta réponse :</w:t>
      </w:r>
    </w:p>
    <w:p>
      <w:r>
        <w:t xml:space="preserve"/>
      </w:r>
    </w:p>
    <w:p>
      <w:pPr>
        <w:spacing w:after="80" w:before="80"/>
      </w:pPr>
      <w:r>
        <w:rPr>
          <w:rFonts w:ascii="Times New Roman" w:cs="Times New Roman" w:eastAsia="Times New Roman" w:hAnsi="Times New Roman"/>
          <w:b/>
          <w:bCs/>
          <w:color w:val="1F2937"/>
          <w:sz w:val="22"/>
          <w:szCs w:val="22"/>
        </w:rPr>
        <w:t xml:space="preserve">Verbatim B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"Là, j'en peux plus de la situation actuelle. Je veux vraiment que ça change. Je me demande si je devrais aller voir un médecin ou contacter directement l'assistante sociale."</w:t>
      </w:r>
      <w:r>
        <w:rPr>
          <w:rFonts w:ascii="Times New Roman" w:cs="Times New Roman" w:eastAsia="Times New Roman" w:hAnsi="Times New Roman"/>
          <w:i/>
          <w:iCs/>
          <w:color w:val="555555"/>
          <w:sz w:val="20"/>
          <w:szCs w:val="20"/>
        </w:rPr>
        <w:t xml:space="preserve"> — (personne accompagnée, contexte habitat)</w:t>
      </w:r>
    </w:p>
    <w:p>
      <w:pPr>
        <w:spacing w:after="80" w:before="80"/>
      </w:pPr>
      <w:r>
        <w:rPr>
          <w:rFonts w:ascii="Times New Roman" w:cs="Times New Roman" w:eastAsia="Times New Roman" w:hAnsi="Times New Roman"/>
          <w:color w:val="1F2937"/>
          <w:sz w:val="22"/>
          <w:szCs w:val="22"/>
        </w:rPr>
        <w:t xml:space="preserve">→ Ta réponse :</w:t>
      </w:r>
    </w:p>
    <w:p>
      <w:r>
        <w:t xml:space="preserve"/>
      </w:r>
    </w:p>
    <w:p>
      <w:pPr>
        <w:spacing w:after="80" w:before="80"/>
      </w:pPr>
      <w:r>
        <w:rPr>
          <w:rFonts w:ascii="Times New Roman" w:cs="Times New Roman" w:eastAsia="Times New Roman" w:hAnsi="Times New Roman"/>
          <w:b/>
          <w:bCs/>
          <w:color w:val="1F2937"/>
          <w:sz w:val="22"/>
          <w:szCs w:val="22"/>
        </w:rPr>
        <w:t xml:space="preserve">Verbatim C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"La semaine dernière, j'ai appelé le service. Ils m'ont dit qu'il fallait un dossier. J'ai commencé à le remplir."</w:t>
      </w:r>
      <w:r>
        <w:rPr>
          <w:rFonts w:ascii="Times New Roman" w:cs="Times New Roman" w:eastAsia="Times New Roman" w:hAnsi="Times New Roman"/>
          <w:i/>
          <w:iCs/>
          <w:color w:val="555555"/>
          <w:sz w:val="20"/>
          <w:szCs w:val="20"/>
        </w:rPr>
        <w:t xml:space="preserve"> — (personne accompagnée, démarche administrative)</w:t>
      </w:r>
    </w:p>
    <w:p>
      <w:pPr>
        <w:spacing w:after="80" w:before="80"/>
      </w:pPr>
      <w:r>
        <w:rPr>
          <w:rFonts w:ascii="Times New Roman" w:cs="Times New Roman" w:eastAsia="Times New Roman" w:hAnsi="Times New Roman"/>
          <w:color w:val="1F2937"/>
          <w:sz w:val="22"/>
          <w:szCs w:val="22"/>
        </w:rPr>
        <w:t xml:space="preserve">→ Ta réponse :</w:t>
      </w:r>
    </w:p>
    <w:p>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exercice 1</w:t>
      </w:r>
    </w:p>
    <w:p>
      <w:pPr>
        <w:spacing w:after="80" w:before="80"/>
      </w:pPr>
      <w:r>
        <w:rPr>
          <w:rFonts w:ascii="Times New Roman" w:cs="Times New Roman" w:eastAsia="Times New Roman" w:hAnsi="Times New Roman"/>
          <w:b/>
          <w:bCs/>
          <w:color w:val="1F2937"/>
          <w:sz w:val="22"/>
          <w:szCs w:val="22"/>
        </w:rPr>
        <w:t xml:space="preserve">Verbatim A :</w:t>
      </w:r>
    </w:p>
    <w:p>
      <w:pPr>
        <w:spacing w:after="80" w:before="80"/>
      </w:pPr>
      <w:r>
        <w:rPr>
          <w:rFonts w:ascii="Times New Roman" w:cs="Times New Roman" w:eastAsia="Times New Roman" w:hAnsi="Times New Roman"/>
          <w:color w:val="1F2937"/>
          <w:sz w:val="22"/>
          <w:szCs w:val="22"/>
        </w:rPr>
        <w:t xml:space="preserve">Ce n'est pas encore un signe de disposition suffisant. La personne exprime de l'ambivalence (« des fois... mais le lendemain »). La résolution n'est pas atteinte. Continuer en évocation (reflets doubles, exploration des valeurs). Ne pas basculer en planification.</w:t>
      </w:r>
    </w:p>
    <w:p>
      <w:r>
        <w:t xml:space="preserve"/>
      </w:r>
    </w:p>
    <w:p>
      <w:pPr>
        <w:spacing w:after="80" w:before="80"/>
      </w:pPr>
      <w:r>
        <w:rPr>
          <w:rFonts w:ascii="Times New Roman" w:cs="Times New Roman" w:eastAsia="Times New Roman" w:hAnsi="Times New Roman"/>
          <w:b/>
          <w:bCs/>
          <w:color w:val="1F2937"/>
          <w:sz w:val="22"/>
          <w:szCs w:val="22"/>
        </w:rPr>
        <w:t xml:space="preserve">Verbatim B :</w:t>
      </w:r>
    </w:p>
    <w:p>
      <w:pPr>
        <w:spacing w:after="80" w:before="80"/>
      </w:pPr>
      <w:r>
        <w:rPr>
          <w:rFonts w:ascii="Times New Roman" w:cs="Times New Roman" w:eastAsia="Times New Roman" w:hAnsi="Times New Roman"/>
          <w:color w:val="1F2937"/>
          <w:sz w:val="22"/>
          <w:szCs w:val="22"/>
        </w:rPr>
        <w:t xml:space="preserve">Oui, c'est un signe fort. On repère : urgence ressentie (« j'en peux plus »), désir clair (« je veux vraiment »), et l'apparition de questions sur le comment (« je me demande si... »). C'est l'invitation à un résumé de transition suivi d'une ouverture vers la planification.</w:t>
      </w:r>
    </w:p>
    <w:p>
      <w:r>
        <w:t xml:space="preserve"/>
      </w:r>
    </w:p>
    <w:p>
      <w:pPr>
        <w:spacing w:after="80" w:before="80"/>
      </w:pPr>
      <w:r>
        <w:rPr>
          <w:rFonts w:ascii="Times New Roman" w:cs="Times New Roman" w:eastAsia="Times New Roman" w:hAnsi="Times New Roman"/>
          <w:b/>
          <w:bCs/>
          <w:color w:val="1F2937"/>
          <w:sz w:val="22"/>
          <w:szCs w:val="22"/>
        </w:rPr>
        <w:t xml:space="preserve">Verbatim C :</w:t>
      </w:r>
    </w:p>
    <w:p>
      <w:pPr>
        <w:spacing w:after="80" w:before="80"/>
      </w:pPr>
      <w:r>
        <w:rPr>
          <w:rFonts w:ascii="Times New Roman" w:cs="Times New Roman" w:eastAsia="Times New Roman" w:hAnsi="Times New Roman"/>
          <w:color w:val="1F2937"/>
          <w:sz w:val="22"/>
          <w:szCs w:val="22"/>
        </w:rPr>
        <w:t xml:space="preserve">C'est du CAT — « Taking steps » : la personne a déjà commencé à agir (appel téléphonique, début du dossier). Elle est en planification de fait. Le praticien valorise et explore la suite : « Vous avez déjà pris contact et commencé le dossier. Quelle est la prochaine étape pour vous ? »</w:t>
      </w:r>
    </w:p>
    <w:p>
      <w:pPr>
        <w:spacing w:after="160" w:before="160"/>
        <w:jc w:val="center"/>
      </w:pPr>
      <w:r>
        <w:rPr>
          <w:rFonts w:ascii="Times New Roman" w:cs="Times New Roman" w:eastAsia="Times New Roman" w:hAnsi="Times New Roman"/>
          <w:color w:val="CCCCCC"/>
          <w:sz w:val="18"/>
          <w:szCs w:val="18"/>
        </w:rPr>
        <w:t xml:space="preserve">─────────────────────────────────────────────</w:t>
      </w:r>
    </w:p>
    <w:p>
      <w:pPr>
        <w:pStyle w:val="Heading3"/>
        <w:spacing w:after="60" w:before="200"/>
      </w:pPr>
      <w:r>
        <w:rPr>
          <w:rFonts w:ascii="Times New Roman" w:cs="Times New Roman" w:eastAsia="Times New Roman" w:hAnsi="Times New Roman"/>
          <w:b/>
          <w:bCs/>
          <w:color w:val="1F2937"/>
          <w:sz w:val="26"/>
          <w:szCs w:val="26"/>
        </w:rPr>
        <w:t xml:space="preserve">Exercice 2 — Classer des énoncés DARN ou CAT</w:t>
      </w:r>
    </w:p>
    <w:p>
      <w:pPr>
        <w:spacing w:after="80" w:before="80"/>
      </w:pPr>
      <w:r>
        <w:rPr>
          <w:rFonts w:ascii="Times New Roman" w:cs="Times New Roman" w:eastAsia="Times New Roman" w:hAnsi="Times New Roman"/>
          <w:color w:val="1F2937"/>
          <w:sz w:val="22"/>
          <w:szCs w:val="22"/>
        </w:rPr>
        <w:t xml:space="preserve">Pour chaque énoncé ci-dessous, indique s'il s'agit de DARN (préparatoire) ou de CAT (mobilisation), et précise la composante exacte (D, A, R, N, C, A-activation, T).</w:t>
      </w:r>
    </w:p>
    <w:p>
      <w:r>
        <w:t xml:space="preserve"/>
      </w:r>
    </w:p>
    <w:p>
      <w:pPr>
        <w:spacing w:after="40" w:before="60"/>
        <w:ind w:left="431"/>
      </w:pPr>
      <w:r>
        <w:rPr>
          <w:rFonts w:ascii="Times New Roman" w:cs="Times New Roman" w:eastAsia="Times New Roman" w:hAnsi="Times New Roman"/>
          <w:color w:val="1F2937"/>
          <w:sz w:val="22"/>
          <w:szCs w:val="22"/>
        </w:rPr>
        <w:t xml:space="preserve">1. « Je pourrais réduire le sucre dans mon alimentation. »</w:t>
      </w:r>
    </w:p>
    <w:p>
      <w:pPr>
        <w:spacing w:after="40" w:before="40"/>
        <w:ind w:left="431"/>
      </w:pPr>
      <w:r>
        <w:rPr>
          <w:rFonts w:ascii="Times New Roman" w:cs="Times New Roman" w:eastAsia="Times New Roman" w:hAnsi="Times New Roman"/>
          <w:color w:val="1F2937"/>
          <w:sz w:val="22"/>
          <w:szCs w:val="22"/>
        </w:rPr>
        <w:t xml:space="preserve">2. « J'ai envie de me lever plus tôt le matin. »</w:t>
      </w:r>
    </w:p>
    <w:p>
      <w:pPr>
        <w:spacing w:after="40" w:before="40"/>
        <w:ind w:left="431"/>
      </w:pPr>
      <w:r>
        <w:rPr>
          <w:rFonts w:ascii="Times New Roman" w:cs="Times New Roman" w:eastAsia="Times New Roman" w:hAnsi="Times New Roman"/>
          <w:color w:val="1F2937"/>
          <w:sz w:val="22"/>
          <w:szCs w:val="22"/>
        </w:rPr>
        <w:t xml:space="preserve">3. « J'ai besoin de changer cette situation, c'est nécessaire pour ma santé. »</w:t>
      </w:r>
    </w:p>
    <w:p>
      <w:pPr>
        <w:spacing w:after="40" w:before="40"/>
        <w:ind w:left="431"/>
      </w:pPr>
      <w:r>
        <w:rPr>
          <w:rFonts w:ascii="Times New Roman" w:cs="Times New Roman" w:eastAsia="Times New Roman" w:hAnsi="Times New Roman"/>
          <w:color w:val="1F2937"/>
          <w:sz w:val="22"/>
          <w:szCs w:val="22"/>
        </w:rPr>
        <w:t xml:space="preserve">4. « Je suis prêt à essayer dès demain. »</w:t>
      </w:r>
    </w:p>
    <w:p>
      <w:pPr>
        <w:spacing w:after="40" w:before="40"/>
        <w:ind w:left="431"/>
      </w:pPr>
      <w:r>
        <w:rPr>
          <w:rFonts w:ascii="Times New Roman" w:cs="Times New Roman" w:eastAsia="Times New Roman" w:hAnsi="Times New Roman"/>
          <w:color w:val="1F2937"/>
          <w:sz w:val="22"/>
          <w:szCs w:val="22"/>
        </w:rPr>
        <w:t xml:space="preserve">5. « Hier, j'ai fait une demie-heure de marche. »</w:t>
      </w:r>
    </w:p>
    <w:p>
      <w:pPr>
        <w:spacing w:after="80" w:before="40"/>
        <w:ind w:left="431"/>
      </w:pPr>
      <w:r>
        <w:rPr>
          <w:rFonts w:ascii="Times New Roman" w:cs="Times New Roman" w:eastAsia="Times New Roman" w:hAnsi="Times New Roman"/>
          <w:color w:val="1F2937"/>
          <w:sz w:val="22"/>
          <w:szCs w:val="22"/>
        </w:rPr>
        <w:t xml:space="preserve">6. « Je vais arrêter de fumer à partir du 1er août. »</w:t>
      </w:r>
    </w:p>
    <w:p>
      <w:r>
        <w:t xml:space="preserve"/>
      </w:r>
    </w:p>
    <w:p>
      <w:pPr>
        <w:spacing w:after="80" w:before="80"/>
      </w:pPr>
      <w:r>
        <w:rPr>
          <w:rFonts w:ascii="Times New Roman" w:cs="Times New Roman" w:eastAsia="Times New Roman" w:hAnsi="Times New Roman"/>
          <w:color w:val="1F2937"/>
          <w:sz w:val="22"/>
          <w:szCs w:val="22"/>
        </w:rPr>
        <w:t xml:space="preserve">→ Tes réponses :</w:t>
      </w:r>
    </w:p>
    <w:p>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exercice 2</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1. « Je pourrais… » → DARN — A (Aptitude : capacité perçue de faire)</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2. « J'ai envie de… » → DARN — D (Désir : souhait de changer)</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3. « J'ai besoin… » → DARN — N (Nécessité : importance urgente)</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4. « Je suis prêt à… dès demain » → CAT — A-activation (préparation active à agir)</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5. « Hier, j'ai fait… » → CAT — T (Taking steps : action déjà réalisée)</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6. « Je vais arrêter… à partir du 1er août » → CAT — C (Commitment : promesse d'action future datée)</w:t>
      </w:r>
    </w:p>
    <w:p>
      <w:r>
        <w:t xml:space="preserve"/>
      </w:r>
    </w:p>
    <w:p>
      <w:pPr>
        <w:spacing w:after="80" w:before="80"/>
      </w:pPr>
      <w:r>
        <w:rPr>
          <w:rFonts w:ascii="Times New Roman" w:cs="Times New Roman" w:eastAsia="Times New Roman" w:hAnsi="Times New Roman"/>
          <w:color w:val="1F2937"/>
          <w:sz w:val="22"/>
          <w:szCs w:val="22"/>
        </w:rPr>
        <w:t xml:space="preserve">Remarque : la distinction DARN / CAT n'est pas toujours tranchée. L'important est de reconnaître la direction et l'intensité du discours-changement, et de renforcer en priorité les énoncés CAT par des reflets et des valorisations.</w:t>
      </w:r>
    </w:p>
    <w:p>
      <w:pPr>
        <w:spacing w:after="160" w:before="160"/>
        <w:jc w:val="center"/>
      </w:pPr>
      <w:r>
        <w:rPr>
          <w:rFonts w:ascii="Times New Roman" w:cs="Times New Roman" w:eastAsia="Times New Roman" w:hAnsi="Times New Roman"/>
          <w:color w:val="CCCCCC"/>
          <w:sz w:val="18"/>
          <w:szCs w:val="18"/>
        </w:rPr>
        <w:t xml:space="preserve">─────────────────────────────────────────────</w:t>
      </w:r>
    </w:p>
    <w:p>
      <w:pPr>
        <w:pStyle w:val="Heading3"/>
        <w:spacing w:after="60" w:before="200"/>
      </w:pPr>
      <w:r>
        <w:rPr>
          <w:rFonts w:ascii="Times New Roman" w:cs="Times New Roman" w:eastAsia="Times New Roman" w:hAnsi="Times New Roman"/>
          <w:b/>
          <w:bCs/>
          <w:color w:val="1F2937"/>
          <w:sz w:val="26"/>
          <w:szCs w:val="26"/>
        </w:rPr>
        <w:t xml:space="preserve">Exercice 3 — Rédiger un résumé de transition + question ouverte de planification</w:t>
      </w:r>
    </w:p>
    <w:p>
      <w:pPr>
        <w:spacing w:after="80" w:before="80"/>
      </w:pPr>
      <w:r>
        <w:rPr>
          <w:rFonts w:ascii="Times New Roman" w:cs="Times New Roman" w:eastAsia="Times New Roman" w:hAnsi="Times New Roman"/>
          <w:color w:val="1F2937"/>
          <w:sz w:val="22"/>
          <w:szCs w:val="22"/>
        </w:rPr>
        <w:t xml:space="preserve">À partir des éléments suivants, rédige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(a) Un résumé de transition en langage EM (respectant le sens et les valeurs de la personne)</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(b) Une question ouverte pour ouvrir la planification</w:t>
      </w:r>
    </w:p>
    <w:p>
      <w:r>
        <w:t xml:space="preserve"/>
      </w:r>
    </w:p>
    <w:p>
      <w:pPr>
        <w:spacing w:after="80" w:before="80"/>
      </w:pPr>
      <w:r>
        <w:rPr>
          <w:rFonts w:ascii="Times New Roman" w:cs="Times New Roman" w:eastAsia="Times New Roman" w:hAnsi="Times New Roman"/>
          <w:b/>
          <w:bCs/>
          <w:color w:val="1F2937"/>
          <w:sz w:val="22"/>
          <w:szCs w:val="22"/>
        </w:rPr>
        <w:t xml:space="preserve">Éléments recueillis lors de l'entretien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La personne exprime sa fatigue de la situation actuelle.</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Elle a mentionné que sa famille lui manque et qu'elle voudrait « être fière d'elle » à leurs yeux.</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Elle a évoqué ses raisons : santé, estime de soi, lien familial.</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Elle a dit : « Je sais que je pourrais le faire si j'avais un peu d'aide. »</w:t>
      </w:r>
    </w:p>
    <w:p>
      <w:pPr>
        <w:spacing w:after="40" w:before="40"/>
        <w:ind w:left="431"/>
      </w:pPr>
      <w:r>
        <w:rPr>
          <w:rFonts w:ascii="Times New Roman" w:cs="Times New Roman" w:eastAsia="Times New Roman" w:hAnsi="Times New Roman"/>
          <w:color w:val="1B3A6B"/>
          <w:sz w:val="22"/>
          <w:szCs w:val="22"/>
        </w:rPr>
        <w:t xml:space="preserve">• </w:t>
      </w:r>
      <w:r>
        <w:rPr>
          <w:rFonts w:ascii="Times New Roman" w:cs="Times New Roman" w:eastAsia="Times New Roman" w:hAnsi="Times New Roman"/>
          <w:color w:val="1F2937"/>
          <w:sz w:val="22"/>
          <w:szCs w:val="22"/>
        </w:rPr>
        <w:t xml:space="preserve">En fin d'entretien : « Je pense que je suis prête à faire quelque chose de concret. »</w:t>
      </w:r>
    </w:p>
    <w:p>
      <w:r>
        <w:t xml:space="preserve"/>
      </w:r>
    </w:p>
    <w:p>
      <w:pPr>
        <w:spacing w:after="80" w:before="80"/>
      </w:pPr>
      <w:r>
        <w:rPr>
          <w:rFonts w:ascii="Times New Roman" w:cs="Times New Roman" w:eastAsia="Times New Roman" w:hAnsi="Times New Roman"/>
          <w:color w:val="1F2937"/>
          <w:sz w:val="22"/>
          <w:szCs w:val="22"/>
        </w:rPr>
        <w:t xml:space="preserve">→ Rédige le résumé de transition et la question d'invitation :</w:t>
      </w:r>
    </w:p>
    <w:p>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exercice 3</w:t>
      </w:r>
    </w:p>
    <w:p>
      <w:pPr>
        <w:spacing w:after="80" w:before="80"/>
      </w:pPr>
      <w:r>
        <w:rPr>
          <w:rFonts w:ascii="Times New Roman" w:cs="Times New Roman" w:eastAsia="Times New Roman" w:hAnsi="Times New Roman"/>
          <w:b/>
          <w:bCs/>
          <w:color w:val="1F2937"/>
          <w:sz w:val="22"/>
          <w:szCs w:val="22"/>
        </w:rPr>
        <w:t xml:space="preserve">Exemple de résumé de transition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"Vous m'avez confié à quel point vous êtes fatiguée de cette situation. Ce qui compte profondément pour vous, c'est votre famille — retrouver ce lien, être fière de vous à leurs yeux. Vous avez aussi parlé de votre santé et de l'estime que vous avez de vous-même. Et vous sentez que vous en avez la capacité, avec un peu de soutien. Là, vous dites que vous vous sentez prête à faire quelque chose de concret."</w:t>
      </w:r>
      <w:r>
        <w:rPr>
          <w:rFonts w:ascii="Times New Roman" w:cs="Times New Roman" w:eastAsia="Times New Roman" w:hAnsi="Times New Roman"/>
          <w:i/>
          <w:iCs/>
          <w:color w:val="555555"/>
          <w:sz w:val="20"/>
          <w:szCs w:val="20"/>
        </w:rPr>
        <w:t xml:space="preserve"> — (synthèse, non citation — reformulation de contenu fictif)</w:t>
      </w:r>
    </w:p>
    <w:p>
      <w:r>
        <w:t xml:space="preserve"/>
      </w:r>
    </w:p>
    <w:p>
      <w:pPr>
        <w:spacing w:after="80" w:before="80"/>
      </w:pPr>
      <w:r>
        <w:rPr>
          <w:rFonts w:ascii="Times New Roman" w:cs="Times New Roman" w:eastAsia="Times New Roman" w:hAnsi="Times New Roman"/>
          <w:b/>
          <w:bCs/>
          <w:color w:val="1F2937"/>
          <w:sz w:val="22"/>
          <w:szCs w:val="22"/>
        </w:rPr>
        <w:t xml:space="preserve">Question ouverte d'invitation à la planification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"Qu'est-ce que vous envisagez comme première étape ?"</w:t>
      </w:r>
      <w:r>
        <w:rPr>
          <w:rFonts w:ascii="Times New Roman" w:cs="Times New Roman" w:eastAsia="Times New Roman" w:hAnsi="Times New Roman"/>
          <w:i/>
          <w:iCs/>
          <w:color w:val="555555"/>
          <w:sz w:val="20"/>
          <w:szCs w:val="20"/>
        </w:rPr>
        <w:t xml:space="preserve"> — (formulation-type EPE)</w:t>
      </w:r>
    </w:p>
    <w:p>
      <w:r>
        <w:t xml:space="preserve"/>
      </w:r>
    </w:p>
    <w:p>
      <w:pPr>
        <w:spacing w:after="80" w:before="80"/>
      </w:pPr>
      <w:r>
        <w:rPr>
          <w:rFonts w:ascii="Times New Roman" w:cs="Times New Roman" w:eastAsia="Times New Roman" w:hAnsi="Times New Roman"/>
          <w:color w:val="1F2937"/>
          <w:sz w:val="22"/>
          <w:szCs w:val="22"/>
        </w:rPr>
        <w:t xml:space="preserve">Points de vigilance : le résumé ne doit pas paraître mécanique. Il reflète les valeurs, pas seulement les faits. Il crée un élan vers l'action en miroir de ce que la personne a elle-même exprimé. La question qui suit est ouverte et orientée vers le futur — elle n'impose rien.</w:t>
      </w:r>
    </w:p>
    <w:p>
      <w:pPr>
        <w:spacing w:after="160" w:before="160"/>
        <w:jc w:val="center"/>
      </w:pPr>
      <w:r>
        <w:rPr>
          <w:rFonts w:ascii="Times New Roman" w:cs="Times New Roman" w:eastAsia="Times New Roman" w:hAnsi="Times New Roman"/>
          <w:color w:val="CCCCCC"/>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Challenge — Jeu de rôle écrit : co-construire un plan avec EPE</w:t>
      </w:r>
    </w:p>
    <w:p>
      <w:pPr>
        <w:spacing w:after="80" w:before="80"/>
      </w:pPr>
      <w:r>
        <w:rPr>
          <w:rFonts w:ascii="Times New Roman" w:cs="Times New Roman" w:eastAsia="Times New Roman" w:hAnsi="Times New Roman"/>
          <w:color w:val="1F2937"/>
          <w:sz w:val="22"/>
          <w:szCs w:val="22"/>
        </w:rPr>
        <w:t xml:space="preserve">Voici la suite de l'entretien (extrait 3 de l'exercice précédent). La personne vient de dire qu'elle est prête. Tu joues le rôle du praticien EM. Rédige les 5 prochaines répliques du praticien, en appliquant la méthode EPE et les techniques OARS :</w:t>
      </w:r>
    </w:p>
    <w:p>
      <w:r>
        <w:t xml:space="preserve"/>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"Praticien : [résumé de transition déjà rédigé] Qu'est-ce que vous envisagez comme première étape ?"</w:t>
      </w:r>
      <w:r>
        <w:rPr>
          <w:rFonts w:ascii="Times New Roman" w:cs="Times New Roman" w:eastAsia="Times New Roman" w:hAnsi="Times New Roman"/>
          <w:i/>
          <w:iCs/>
          <w:color w:val="555555"/>
          <w:sz w:val="20"/>
          <w:szCs w:val="20"/>
        </w:rPr>
        <w:t xml:space="preserve"> — (synthèse exercice 3)</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"Personne : Je pensais contacter l'assistante sociale du foyer. Mais je sais pas trop si c'est la bonne porte d'entrée."</w:t>
      </w:r>
    </w:p>
    <w:p>
      <w:r>
        <w:t xml:space="preserve"/>
      </w:r>
    </w:p>
    <w:p>
      <w:pPr>
        <w:spacing w:after="80" w:before="80"/>
      </w:pPr>
      <w:r>
        <w:rPr>
          <w:rFonts w:ascii="Times New Roman" w:cs="Times New Roman" w:eastAsia="Times New Roman" w:hAnsi="Times New Roman"/>
          <w:color w:val="1F2937"/>
          <w:sz w:val="22"/>
          <w:szCs w:val="22"/>
        </w:rPr>
        <w:t xml:space="preserve">→ Rédige tes 5 répliques de praticien (numérotées) :</w:t>
      </w:r>
    </w:p>
    <w:p>
      <w:r>
        <w:t xml:space="preserve"/>
      </w:r>
    </w:p>
    <w:p>
      <w:pPr>
        <w:pStyle w:val="Heading3"/>
        <w:spacing w:after="60" w:before="200"/>
      </w:pPr>
      <w:r>
        <w:rPr>
          <w:rFonts w:ascii="Times New Roman" w:cs="Times New Roman" w:eastAsia="Times New Roman" w:hAnsi="Times New Roman"/>
          <w:b/>
          <w:bCs/>
          <w:color w:val="1F2937"/>
          <w:sz w:val="26"/>
          <w:szCs w:val="26"/>
        </w:rPr>
        <w:t xml:space="preserve">Éléments de corrigé</w:t>
      </w:r>
    </w:p>
    <w:p>
      <w:pPr>
        <w:spacing w:after="80" w:before="80"/>
      </w:pPr>
      <w:r>
        <w:rPr>
          <w:rFonts w:ascii="Times New Roman" w:cs="Times New Roman" w:eastAsia="Times New Roman" w:hAnsi="Times New Roman"/>
          <w:b/>
          <w:bCs/>
          <w:color w:val="1F2937"/>
          <w:sz w:val="22"/>
          <w:szCs w:val="22"/>
        </w:rPr>
        <w:t xml:space="preserve">Réplique 1 — Reflet simple + valorisation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"Contacter l'assistante sociale, c'est une idée concrète. Et vous avez déjà identifié par où commencer."</w:t>
      </w:r>
      <w:r>
        <w:rPr>
          <w:rFonts w:ascii="Times New Roman" w:cs="Times New Roman" w:eastAsia="Times New Roman" w:hAnsi="Times New Roman"/>
          <w:i/>
          <w:iCs/>
          <w:color w:val="555555"/>
          <w:sz w:val="20"/>
          <w:szCs w:val="20"/>
        </w:rPr>
        <w:t xml:space="preserve"> — (synthèse, non citation)</w:t>
      </w:r>
    </w:p>
    <w:p>
      <w:r>
        <w:t xml:space="preserve"/>
      </w:r>
    </w:p>
    <w:p>
      <w:pPr>
        <w:spacing w:after="80" w:before="80"/>
      </w:pPr>
      <w:r>
        <w:rPr>
          <w:rFonts w:ascii="Times New Roman" w:cs="Times New Roman" w:eastAsia="Times New Roman" w:hAnsi="Times New Roman"/>
          <w:b/>
          <w:bCs/>
          <w:color w:val="1F2937"/>
          <w:sz w:val="22"/>
          <w:szCs w:val="22"/>
        </w:rPr>
        <w:t xml:space="preserve">Réplique 2 — Éliciter (EPE, phase 1)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"Qu'est-ce qui vous a amené à penser à l'assistante sociale en particulier ?"</w:t>
      </w:r>
      <w:r>
        <w:rPr>
          <w:rFonts w:ascii="Times New Roman" w:cs="Times New Roman" w:eastAsia="Times New Roman" w:hAnsi="Times New Roman"/>
          <w:i/>
          <w:iCs/>
          <w:color w:val="555555"/>
          <w:sz w:val="20"/>
          <w:szCs w:val="20"/>
        </w:rPr>
        <w:t xml:space="preserve"> — (formulation-type)</w:t>
      </w:r>
    </w:p>
    <w:p>
      <w:r>
        <w:t xml:space="preserve"/>
      </w:r>
    </w:p>
    <w:p>
      <w:pPr>
        <w:spacing w:after="80" w:before="80"/>
      </w:pPr>
      <w:r>
        <w:rPr>
          <w:rFonts w:ascii="Times New Roman" w:cs="Times New Roman" w:eastAsia="Times New Roman" w:hAnsi="Times New Roman"/>
          <w:b/>
          <w:bCs/>
          <w:color w:val="1F2937"/>
          <w:sz w:val="22"/>
          <w:szCs w:val="22"/>
        </w:rPr>
        <w:t xml:space="preserve">Réplique 3 — Reflet complexe du sens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"Vous cherchez quelqu'un de confiance, quelqu'un qui connaît votre situation."</w:t>
      </w:r>
      <w:r>
        <w:rPr>
          <w:rFonts w:ascii="Times New Roman" w:cs="Times New Roman" w:eastAsia="Times New Roman" w:hAnsi="Times New Roman"/>
          <w:i/>
          <w:iCs/>
          <w:color w:val="555555"/>
          <w:sz w:val="20"/>
          <w:szCs w:val="20"/>
        </w:rPr>
        <w:t xml:space="preserve"> — (synthèse, non citation)</w:t>
      </w:r>
    </w:p>
    <w:p>
      <w:r>
        <w:t xml:space="preserve"/>
      </w:r>
    </w:p>
    <w:p>
      <w:pPr>
        <w:spacing w:after="80" w:before="80"/>
      </w:pPr>
      <w:r>
        <w:rPr>
          <w:rFonts w:ascii="Times New Roman" w:cs="Times New Roman" w:eastAsia="Times New Roman" w:hAnsi="Times New Roman"/>
          <w:b/>
          <w:bCs/>
          <w:color w:val="1F2937"/>
          <w:sz w:val="22"/>
          <w:szCs w:val="22"/>
        </w:rPr>
        <w:t xml:space="preserve">Réplique 4 — Partager avec permission (EPE, phase 2)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"Puis-je partager comment d'autres personnes ont procédé dans une situation similaire, si ça peut vous être utile ?"</w:t>
      </w:r>
      <w:r>
        <w:rPr>
          <w:rFonts w:ascii="Times New Roman" w:cs="Times New Roman" w:eastAsia="Times New Roman" w:hAnsi="Times New Roman"/>
          <w:i/>
          <w:iCs/>
          <w:color w:val="555555"/>
          <w:sz w:val="20"/>
          <w:szCs w:val="20"/>
        </w:rPr>
        <w:t xml:space="preserve"> — (formulation-type EPE)</w:t>
      </w:r>
    </w:p>
    <w:p>
      <w:r>
        <w:t xml:space="preserve"/>
      </w:r>
    </w:p>
    <w:p>
      <w:pPr>
        <w:spacing w:after="80" w:before="80"/>
      </w:pPr>
      <w:r>
        <w:rPr>
          <w:rFonts w:ascii="Times New Roman" w:cs="Times New Roman" w:eastAsia="Times New Roman" w:hAnsi="Times New Roman"/>
          <w:b/>
          <w:bCs/>
          <w:color w:val="1F2937"/>
          <w:sz w:val="22"/>
          <w:szCs w:val="22"/>
        </w:rPr>
        <w:t xml:space="preserve">Réplique 5 — Éliciter après partage (EPE, phase 3) :</w:t>
      </w:r>
    </w:p>
    <w:p>
      <w:pPr>
        <w:pBdr>
          <w:left w:val="single" w:color="1B3A6B" w:sz="12"/>
        </w:pBdr>
        <w:shd w:color="EEF2F7" w:val="solid"/>
        <w:spacing w:after="120" w:before="120"/>
        <w:ind w:left="576" w:right="576"/>
      </w:pPr>
      <w:r>
        <w:rPr>
          <w:rFonts w:ascii="Times New Roman" w:cs="Times New Roman" w:eastAsia="Times New Roman" w:hAnsi="Times New Roman"/>
          <w:i/>
          <w:iCs/>
          <w:color w:val="1F2937"/>
          <w:sz w:val="22"/>
          <w:szCs w:val="22"/>
        </w:rPr>
        <w:t xml:space="preserve">"Qu'est-ce que ça vous inspire ? Est-ce qu'il y a quelque chose là-dedans qui pourrait correspondre à votre situation ?"</w:t>
      </w:r>
      <w:r>
        <w:rPr>
          <w:rFonts w:ascii="Times New Roman" w:cs="Times New Roman" w:eastAsia="Times New Roman" w:hAnsi="Times New Roman"/>
          <w:i/>
          <w:iCs/>
          <w:color w:val="555555"/>
          <w:sz w:val="20"/>
          <w:szCs w:val="20"/>
        </w:rPr>
        <w:t xml:space="preserve"> — (formulation-type EPE)</w:t>
      </w:r>
    </w:p>
    <w:p>
      <w:r>
        <w:t xml:space="preserve"/>
      </w:r>
    </w:p>
    <w:p>
      <w:pPr>
        <w:spacing w:after="80" w:before="80"/>
      </w:pPr>
      <w:r>
        <w:rPr>
          <w:rFonts w:ascii="Times New Roman" w:cs="Times New Roman" w:eastAsia="Times New Roman" w:hAnsi="Times New Roman"/>
          <w:color w:val="1F2937"/>
          <w:sz w:val="22"/>
          <w:szCs w:val="22"/>
        </w:rPr>
        <w:t xml:space="preserve">Points clés du corrigé : chaque réplique renforce l'autonomie (la personne garde le contrôle du plan), évite le réflexe correcteur (pas de liste d'actions imposée dès la réplique 1), et utilise OARS de façon intégrée.</w:t>
      </w:r>
    </w:p>
    <w:p>
      <w:pPr>
        <w:spacing w:after="160" w:before="160"/>
        <w:jc w:val="center"/>
      </w:pPr>
      <w:r>
        <w:rPr>
          <w:rFonts w:ascii="Times New Roman" w:cs="Times New Roman" w:eastAsia="Times New Roman" w:hAnsi="Times New Roman"/>
          <w:color w:val="CCCCCC"/>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Pont pro — Application en ESSMS</w:t>
      </w:r>
    </w:p>
    <w:p>
      <w:pPr>
        <w:spacing w:after="80" w:before="80"/>
      </w:pPr>
      <w:r>
        <w:rPr>
          <w:rFonts w:ascii="Times New Roman" w:cs="Times New Roman" w:eastAsia="Times New Roman" w:hAnsi="Times New Roman"/>
          <w:color w:val="1F2937"/>
          <w:sz w:val="22"/>
          <w:szCs w:val="22"/>
        </w:rPr>
        <w:t xml:space="preserve">La planification en EM s'applique directement aux entretiens individuels avec les personnes accompagnées (révision du projet personnalisé, objectifs de vie). Mais en tant que chef de service, tu peux aussi l'utiliser en management : quand un professionnel de l'équipe exprime le souhait de changer une pratique ou de se former, le résumé de transition + la question EPE permettent de co-construire un plan d'action ancré dans ses propres motivations, bien plus efficace qu'une injonction hiérarchique. C'est l'EM en posture d'équipe (thème 13 du parcours).</w:t>
      </w:r>
    </w:p>
    <w:p>
      <w:pPr>
        <w:spacing w:after="160" w:before="160"/>
        <w:jc w:val="center"/>
      </w:pPr>
      <w:r>
        <w:rPr>
          <w:rFonts w:ascii="Times New Roman" w:cs="Times New Roman" w:eastAsia="Times New Roman" w:hAnsi="Times New Roman"/>
          <w:color w:val="CCCCCC"/>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Ressources cliquables</w:t>
      </w:r>
    </w:p>
    <w:p>
      <w:r>
        <w:t xml:space="preserve"/>
      </w:r>
    </w:p>
    <w:p>
      <w:pPr>
        <w:spacing w:after="40" w:before="60"/>
      </w:pPr>
      <w:r>
        <w:rPr>
          <w:rFonts w:ascii="Times New Roman" w:cs="Times New Roman" w:eastAsia="Times New Roman" w:hAnsi="Times New Roman"/>
          <w:b/>
          <w:bCs/>
          <w:color w:val="1B3A6B"/>
          <w:sz w:val="22"/>
          <w:szCs w:val="22"/>
        </w:rPr>
        <w:t xml:space="preserve">1. </w:t>
      </w:r>
      <w:hyperlink w:history="1" r:id="rIdb_f0jtduygzwprzwni-ss">
        <w:r>
          <w:rPr>
            <w:rStyle w:val="Hyperlink"/>
            <w:rFonts w:ascii="Times New Roman" w:cs="Times New Roman" w:eastAsia="Times New Roman" w:hAnsi="Times New Roman"/>
            <w:color w:val="1155CC"/>
            <w:sz w:val="22"/>
            <w:szCs w:val="22"/>
            <w:u w:val="single"/>
          </w:rPr>
          <w:t xml:space="preserve">Wikipedia — Motivational interviewing (vue d'ensemble, processus de planification)</w:t>
        </w:r>
      </w:hyperlink>
    </w:p>
    <w:p>
      <w:pPr>
        <w:spacing w:after="40" w:before="40"/>
      </w:pPr>
      <w:r>
        <w:rPr>
          <w:rFonts w:ascii="Times New Roman" w:cs="Times New Roman" w:eastAsia="Times New Roman" w:hAnsi="Times New Roman"/>
          <w:b/>
          <w:bCs/>
          <w:color w:val="1B3A6B"/>
          <w:sz w:val="22"/>
          <w:szCs w:val="22"/>
        </w:rPr>
        <w:t xml:space="preserve">2. </w:t>
      </w:r>
      <w:hyperlink w:history="1" r:id="rId--2pgng4udxkjinmddn48">
        <w:r>
          <w:rPr>
            <w:rStyle w:val="Hyperlink"/>
            <w:rFonts w:ascii="Times New Roman" w:cs="Times New Roman" w:eastAsia="Times New Roman" w:hAnsi="Times New Roman"/>
            <w:color w:val="1155CC"/>
            <w:sz w:val="22"/>
            <w:szCs w:val="22"/>
            <w:u w:val="single"/>
          </w:rPr>
          <w:t xml:space="preserve">MINT — Understanding Motivational Interviewing (planning process)</w:t>
        </w:r>
      </w:hyperlink>
    </w:p>
    <w:p>
      <w:pPr>
        <w:spacing w:after="40" w:before="40"/>
      </w:pPr>
      <w:r>
        <w:rPr>
          <w:rFonts w:ascii="Times New Roman" w:cs="Times New Roman" w:eastAsia="Times New Roman" w:hAnsi="Times New Roman"/>
          <w:b/>
          <w:bCs/>
          <w:color w:val="1B3A6B"/>
          <w:sz w:val="22"/>
          <w:szCs w:val="22"/>
        </w:rPr>
        <w:t xml:space="preserve">3. </w:t>
      </w:r>
      <w:hyperlink w:history="1" r:id="rIdfo-sraoqgfq7joapb9rpb">
        <w:r>
          <w:rPr>
            <w:rStyle w:val="Hyperlink"/>
            <w:rFonts w:ascii="Times New Roman" w:cs="Times New Roman" w:eastAsia="Times New Roman" w:hAnsi="Times New Roman"/>
            <w:color w:val="1155CC"/>
            <w:sz w:val="22"/>
            <w:szCs w:val="22"/>
            <w:u w:val="single"/>
          </w:rPr>
          <w:t xml:space="preserve">NCBI Bookshelf — Motivational Interviewing as a Counseling Style (TIP 35, SAMHSA)</w:t>
        </w:r>
      </w:hyperlink>
    </w:p>
    <w:p>
      <w:pPr>
        <w:spacing w:after="40" w:before="40"/>
      </w:pPr>
      <w:r>
        <w:rPr>
          <w:rFonts w:ascii="Times New Roman" w:cs="Times New Roman" w:eastAsia="Times New Roman" w:hAnsi="Times New Roman"/>
          <w:b/>
          <w:bCs/>
          <w:color w:val="1B3A6B"/>
          <w:sz w:val="22"/>
          <w:szCs w:val="22"/>
        </w:rPr>
        <w:t xml:space="preserve">4. </w:t>
      </w:r>
      <w:hyperlink w:history="1" r:id="rIdnjkuj5fm2n9cob7kov_bl">
        <w:r>
          <w:rPr>
            <w:rStyle w:val="Hyperlink"/>
            <w:rFonts w:ascii="Times New Roman" w:cs="Times New Roman" w:eastAsia="Times New Roman" w:hAnsi="Times New Roman"/>
            <w:color w:val="1155CC"/>
            <w:sz w:val="22"/>
            <w:szCs w:val="22"/>
            <w:u w:val="single"/>
          </w:rPr>
          <w:t xml:space="preserve">DARN-CAT Complete Guide — ta-course.com (exemples verbatims, distinctions)</w:t>
        </w:r>
      </w:hyperlink>
    </w:p>
    <w:p>
      <w:pPr>
        <w:spacing w:after="40" w:before="40"/>
      </w:pPr>
      <w:r>
        <w:rPr>
          <w:rFonts w:ascii="Times New Roman" w:cs="Times New Roman" w:eastAsia="Times New Roman" w:hAnsi="Times New Roman"/>
          <w:b/>
          <w:bCs/>
          <w:color w:val="1B3A6B"/>
          <w:sz w:val="22"/>
          <w:szCs w:val="22"/>
        </w:rPr>
        <w:t xml:space="preserve">5. </w:t>
      </w:r>
      <w:hyperlink w:history="1" r:id="rIdxneb1zv0nx5lhe6-q-f0a">
        <w:r>
          <w:rPr>
            <w:rStyle w:val="Hyperlink"/>
            <w:rFonts w:ascii="Times New Roman" w:cs="Times New Roman" w:eastAsia="Times New Roman" w:hAnsi="Times New Roman"/>
            <w:color w:val="1155CC"/>
            <w:sz w:val="22"/>
            <w:szCs w:val="22"/>
            <w:u w:val="single"/>
          </w:rPr>
          <w:t xml:space="preserve">MINT — Formations par les fondateurs Miller &amp; Rollnick</w:t>
        </w:r>
      </w:hyperlink>
    </w:p>
    <w:p>
      <w:pPr>
        <w:spacing w:after="40" w:before="40"/>
      </w:pPr>
      <w:r>
        <w:rPr>
          <w:rFonts w:ascii="Times New Roman" w:cs="Times New Roman" w:eastAsia="Times New Roman" w:hAnsi="Times New Roman"/>
          <w:i/>
          <w:iCs/>
          <w:color w:val="CC0000"/>
          <w:sz w:val="22"/>
          <w:szCs w:val="22"/>
        </w:rPr>
        <w:t xml:space="preserve">6. ⛔ AFDEM (www.entretienmotivationnel.org) — source inaccessible (erreur certificat SSL lors de cette exécution)</w:t>
      </w:r>
    </w:p>
    <w:p>
      <w:pPr>
        <w:spacing w:after="160" w:before="160"/>
        <w:jc w:val="center"/>
      </w:pPr>
      <w:r>
        <w:rPr>
          <w:rFonts w:ascii="Times New Roman" w:cs="Times New Roman" w:eastAsia="Times New Roman" w:hAnsi="Times New Roman"/>
          <w:color w:val="CCCCCC"/>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n°10 — EM et comportements de santé : addictions, observance thérapeutique, hygiène de vie</w:t>
      </w:r>
    </w:p>
    <w:p>
      <w:pPr>
        <w:spacing w:after="80" w:before="80"/>
      </w:pPr>
      <w:r>
        <w:rPr>
          <w:rFonts w:ascii="Times New Roman" w:cs="Times New Roman" w:eastAsia="Times New Roman" w:hAnsi="Times New Roman"/>
          <w:color w:val="1F2937"/>
          <w:sz w:val="22"/>
          <w:szCs w:val="22"/>
        </w:rPr>
        <w:t xml:space="preserve">Slug prévu : em-comportements-sante-addictions</w:t>
      </w:r>
    </w:p>
    <w:p>
      <w:r>
        <w:t xml:space="preserve"/>
      </w:r>
    </w:p>
    <w:p>
      <w:pPr>
        <w:spacing w:after="80" w:before="80"/>
      </w:pPr>
      <w:r>
        <w:rPr>
          <w:rFonts w:ascii="Times New Roman" w:cs="Times New Roman" w:eastAsia="Times New Roman" w:hAnsi="Times New Roman"/>
          <w:color w:val="1F2937"/>
          <w:sz w:val="22"/>
          <w:szCs w:val="22"/>
        </w:rPr>
        <w:t xml:space="preserve">Tu exploreras comment l'EM est appliqué dans les contextes de santé publique, où les comportements sont souvent ancrés dans des habitudes longues et des ambivalences profondes. On abordera les données probantes (méta-analyses), les adaptations selon le comportement-cible, et les outils spécifiques (agenda d'exploration, rolette de décision, entretien d'observation).</w:t>
      </w:r>
    </w:p>
    <w:p>
      <w:pPr>
        <w:spacing w:after="160" w:before="160"/>
        <w:jc w:val="center"/>
      </w:pPr>
      <w:r>
        <w:rPr>
          <w:rFonts w:ascii="Times New Roman" w:cs="Times New Roman" w:eastAsia="Times New Roman" w:hAnsi="Times New Roman"/>
          <w:color w:val="CCCCCC"/>
          <w:sz w:val="18"/>
          <w:szCs w:val="18"/>
        </w:rPr>
        <w:t xml:space="preserve">─────────────────────────────────────────────</w:t>
      </w:r>
    </w:p>
    <w:p>
      <w:pPr>
        <w:spacing w:after="40" w:before="200"/>
        <w:jc w:val="center"/>
      </w:pPr>
      <w:r>
        <w:rPr>
          <w:rFonts w:ascii="Times New Roman" w:cs="Times New Roman" w:eastAsia="Times New Roman" w:hAnsi="Times New Roman"/>
          <w:i/>
          <w:iCs/>
          <w:color w:val="888888"/>
          <w:sz w:val="18"/>
          <w:szCs w:val="18"/>
        </w:rPr>
        <w:t xml:space="preserve">Parcours EM — Leçon 9/14 | 23 juillet 2026</w:t>
      </w:r>
    </w:p>
    <w:p>
      <w:pPr>
        <w:spacing w:after="40" w:before="0"/>
        <w:jc w:val="center"/>
      </w:pPr>
      <w:r>
        <w:rPr>
          <w:rFonts w:ascii="Times New Roman" w:cs="Times New Roman" w:eastAsia="Times New Roman" w:hAnsi="Times New Roman"/>
          <w:i/>
          <w:iCs/>
          <w:color w:val="AA0000"/>
          <w:sz w:val="16"/>
          <w:szCs w:val="16"/>
        </w:rPr>
        <w:t xml:space="preserve">⚠️ Ces leçons sont pédagogiques. La maîtrise de l'EM nécessite une pratique supervisée et un feedback (formation certifiante MINT/AFDEM).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_f0jtduygzwprzwni-ss" Type="http://schemas.openxmlformats.org/officeDocument/2006/relationships/hyperlink" Target="https://en.wikipedia.org/wiki/Motivational_interviewing" TargetMode="External"/><Relationship Id="rId--2pgng4udxkjinmddn48" Type="http://schemas.openxmlformats.org/officeDocument/2006/relationships/hyperlink" Target="https://motivationalinterviewing.org/understanding-motivational-interviewing" TargetMode="External"/><Relationship Id="rIdfo-sraoqgfq7joapb9rpb" Type="http://schemas.openxmlformats.org/officeDocument/2006/relationships/hyperlink" Target="https://www.ncbi.nlm.nih.gov/books/NBK571068/" TargetMode="External"/><Relationship Id="rIdnjkuj5fm2n9cob7kov_bl" Type="http://schemas.openxmlformats.org/officeDocument/2006/relationships/hyperlink" Target="https://ta-course.com/darn-cat-motivational-interviewing-complete-guide-2025-2/" TargetMode="External"/><Relationship Id="rIdxneb1zv0nx5lhe6-q-f0a" Type="http://schemas.openxmlformats.org/officeDocument/2006/relationships/hyperlink" Target="https://motivationalinterviewing.org/trainings-offered-mi-founder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EM n°09 — Planification et consolidation de l'engagement</dc:title>
  <dc:creator>Claude (Anthropic)</dc:creator>
  <dc:description>Parcours d'apprentissage Entretien Motivationnel — Module appliqué</dc:description>
  <cp:lastModifiedBy>Un-named</cp:lastModifiedBy>
  <cp:revision>1</cp:revision>
  <dcterms:created xsi:type="dcterms:W3CDTF">2026-07-23T07:37:33.761Z</dcterms:created>
  <dcterms:modified xsi:type="dcterms:W3CDTF">2026-07-23T07:37:33.762Z</dcterms:modified>
</cp:coreProperties>
</file>

<file path=docProps/custom.xml><?xml version="1.0" encoding="utf-8"?>
<Properties xmlns="http://schemas.openxmlformats.org/officeDocument/2006/custom-properties" xmlns:vt="http://schemas.openxmlformats.org/officeDocument/2006/docPropsVTypes"/>
</file>