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1B3A6B"/>
          <w:sz w:val="52"/>
          <w:szCs w:val="52"/>
        </w:rPr>
        <w:t xml:space="preserve">Leçon Psychopathologie clinique n°20</w:t>
      </w:r>
    </w:p>
    <w:p>
      <w:pPr>
        <w:spacing w:after="200"/>
        <w:jc w:val="center"/>
      </w:pPr>
      <w:r>
        <w:rPr>
          <w:rFonts w:ascii="Times New Roman" w:cs="Times New Roman" w:eastAsia="Times New Roman" w:hAnsi="Times New Roman"/>
          <w:b/>
          <w:bCs/>
          <w:color w:val="1B3A6B"/>
          <w:sz w:val="52"/>
          <w:szCs w:val="52"/>
        </w:rPr>
        <w:t xml:space="preserve">BILAN — Synthèse du parcours</w:t>
      </w:r>
    </w:p>
    <w:p>
      <w:pPr>
        <w:spacing w:after="300"/>
        <w:jc w:val="center"/>
      </w:pPr>
      <w:r>
        <w:rPr>
          <w:rFonts w:ascii="Times New Roman" w:cs="Times New Roman" w:eastAsia="Times New Roman" w:hAnsi="Times New Roman"/>
          <w:i/>
          <w:iCs/>
          <w:color w:val="1B3A6B"/>
          <w:sz w:val="22"/>
          <w:szCs w:val="22"/>
        </w:rPr>
        <w:t xml:space="preserve">12 octobre 2026  ·  Leçon 20 / 20  ·  Fin de parcours</w:t>
      </w:r>
    </w:p>
    <w:p>
      <w:pPr>
        <w:spacing w:after="120" w:before="320"/>
      </w:pPr>
      <w:r>
        <w:rPr>
          <w:rFonts w:ascii="Times New Roman" w:cs="Times New Roman" w:eastAsia="Times New Roman" w:hAnsi="Times New Roman"/>
          <w:b/>
          <w:bCs/>
          <w:color w:val="1B3A6B"/>
          <w:sz w:val="30"/>
          <w:szCs w:val="30"/>
        </w:rPr>
        <w:t xml:space="preserve">🎯 Objectif &amp; continuité</w:t>
      </w:r>
    </w:p>
    <w:p>
      <w:pPr>
        <w:spacing w:after="80"/>
      </w:pPr>
      <w:r>
        <w:rPr>
          <w:rFonts w:ascii="Times New Roman" w:cs="Times New Roman" w:eastAsia="Times New Roman" w:hAnsi="Times New Roman"/>
          <w:color w:val="1F2937"/>
          <w:sz w:val="22"/>
          <w:szCs w:val="22"/>
        </w:rPr>
        <w:t xml:space="preserve">Cette leçon est la dernière du parcours. Dis-le-toi clairement : tu arrives au bout de vingt semaines de travail sur la psychopathologie clinique.</w:t>
      </w:r>
    </w:p>
    <w:p>
      <w:pPr>
        <w:spacing w:after="80"/>
      </w:pPr>
      <w:r>
        <w:rPr>
          <w:rFonts w:ascii="Times New Roman" w:cs="Times New Roman" w:eastAsia="Times New Roman" w:hAnsi="Times New Roman"/>
          <w:color w:val="1F2937"/>
          <w:sz w:val="22"/>
          <w:szCs w:val="22"/>
        </w:rPr>
        <w:t xml:space="preserve">À l'issue de cette séance, tu auras : une vision d'ensemble des grandes familles de troubles, les fils conducteurs qui traversent tout le parcours, et des repères d'observation concrets à mobiliser dans ta pratique de chef de service en ESSMS.</w:t>
      </w:r>
    </w:p>
    <w:p>
      <w:pPr>
        <w:spacing w:after="80"/>
      </w:pPr>
      <w:r>
        <w:rPr>
          <w:rFonts w:ascii="Times New Roman" w:cs="Times New Roman" w:eastAsia="Times New Roman" w:hAnsi="Times New Roman"/>
          <w:color w:val="1F2937"/>
          <w:sz w:val="22"/>
          <w:szCs w:val="22"/>
        </w:rPr>
        <w:t xml:space="preserve">La leçon précédente (n°19 — Éthique, consentement et contrainte) explorait la question de qui décide, pour qui et dans quel cadre. Ce bilan prolonge cette question en se demandant : qu'est-ce que vingt leçons de psychopathologie changent à ta façon d'observer, d'accompagner et de transmettre ?</w:t>
      </w:r>
    </w:p>
    <w:p>
      <w:pPr>
        <w:spacing w:after="60"/>
      </w:pPr>
      <w:r>
        <w:t xml:space="preserve"/>
      </w:r>
    </w:p>
    <w:p>
      <w:pPr>
        <w:spacing w:after="120" w:before="320"/>
      </w:pPr>
      <w:r>
        <w:rPr>
          <w:rFonts w:ascii="Times New Roman" w:cs="Times New Roman" w:eastAsia="Times New Roman" w:hAnsi="Times New Roman"/>
          <w:b/>
          <w:bCs/>
          <w:color w:val="1B3A6B"/>
          <w:sz w:val="30"/>
          <w:szCs w:val="30"/>
        </w:rPr>
        <w:t xml:space="preserve">🔬 Théorie (20 %) — Ce qui relie les tableaux cliniques</w:t>
      </w:r>
    </w:p>
    <w:p>
      <w:pPr>
        <w:spacing w:after="80"/>
      </w:pPr>
      <w:r>
        <w:rPr>
          <w:rFonts w:ascii="Times New Roman" w:cs="Times New Roman" w:eastAsia="Times New Roman" w:hAnsi="Times New Roman"/>
          <w:color w:val="1F2937"/>
          <w:sz w:val="22"/>
          <w:szCs w:val="22"/>
        </w:rPr>
        <w:t xml:space="preserve">Un parcours de vingt leçons produit un risque : celui d'accumuler des tableaux sans les relier. Cette section pose les quatre fils conducteurs qui traversent l'ensemble du parcours.</w:t>
      </w:r>
    </w:p>
    <w:p>
      <w:pPr>
        <w:spacing w:after="60"/>
      </w:pPr>
      <w:r>
        <w:t xml:space="preserve"/>
      </w:r>
    </w:p>
    <w:p>
      <w:pPr>
        <w:spacing w:after="80" w:before="200"/>
      </w:pPr>
      <w:r>
        <w:rPr>
          <w:rFonts w:ascii="Times New Roman" w:cs="Times New Roman" w:eastAsia="Times New Roman" w:hAnsi="Times New Roman"/>
          <w:b/>
          <w:bCs/>
          <w:color w:val="1F2937"/>
          <w:sz w:val="26"/>
          <w:szCs w:val="26"/>
        </w:rPr>
        <w:t xml:space="preserve">1. La grammaire commune : du signe au tableau clinique</w:t>
      </w:r>
    </w:p>
    <w:p>
      <w:pPr>
        <w:spacing w:after="80"/>
      </w:pPr>
      <w:r>
        <w:rPr>
          <w:rFonts w:ascii="Times New Roman" w:cs="Times New Roman" w:eastAsia="Times New Roman" w:hAnsi="Times New Roman"/>
          <w:color w:val="1F2937"/>
          <w:sz w:val="22"/>
          <w:szCs w:val="22"/>
        </w:rPr>
        <w:t xml:space="preserve">La sémiologie psychiatrique (leçon 3) fournit le vocabulaire de tout le parcours. Un signe isolé — retrait social, propos de dévalorisation, insomnie — ne dit rien par lui-même. C'est sa répétition, sa durée, sa combinaison avec d'autres signes qui constitue un syndrome, puis un tableau clinique.</w:t>
      </w:r>
    </w:p>
    <w:p>
      <w:pPr>
        <w:spacing w:after="80"/>
      </w:pPr>
      <w:r>
        <w:rPr>
          <w:rFonts w:ascii="Times New Roman" w:cs="Times New Roman" w:eastAsia="Times New Roman" w:hAnsi="Times New Roman"/>
          <w:color w:val="1F2937"/>
          <w:sz w:val="22"/>
          <w:szCs w:val="22"/>
        </w:rPr>
        <w:t xml:space="preserve">Ce passage du signe au tableau clinique est précisément ce qui délimite le rôle des professionnels non-cliniciens : l'équipe éducative décrit des signes ; le clinicien les articule en tableau, puis en diagnostic. La règle de prudence déontologique est celle de tout le parcours : observer et décrire ne signifie pas classifier ni diagnostiquer.</w:t>
      </w:r>
    </w:p>
    <w:p>
      <w:pPr>
        <w:shd w:fill="F5F7FA" w:val="clear"/>
        <w:spacing w:after="100" w:before="100"/>
        <w:ind w:left="480" w:right="480"/>
      </w:pPr>
      <w:r>
        <w:rPr>
          <w:rFonts w:ascii="Times New Roman" w:cs="Times New Roman" w:eastAsia="Times New Roman" w:hAnsi="Times New Roman"/>
          <w:i/>
          <w:iCs/>
          <w:color w:val="1B3A6B"/>
          <w:sz w:val="22"/>
          <w:szCs w:val="22"/>
        </w:rPr>
        <w:t xml:space="preserve">L'entretien clinique (leçon 4) a fourni des outils transférables : écoute active, questions ouvertes, reflet, validation émotionnelle. Ces techniques appartiennent à tout professionnel de l'accompagnement — elles ne posent aucun diagnostic.</w:t>
      </w:r>
    </w:p>
    <w:p>
      <w:pPr>
        <w:spacing w:after="60"/>
      </w:pPr>
      <w:r>
        <w:t xml:space="preserve"/>
      </w:r>
    </w:p>
    <w:p>
      <w:pPr>
        <w:spacing w:after="80" w:before="200"/>
      </w:pPr>
      <w:r>
        <w:rPr>
          <w:rFonts w:ascii="Times New Roman" w:cs="Times New Roman" w:eastAsia="Times New Roman" w:hAnsi="Times New Roman"/>
          <w:b/>
          <w:bCs/>
          <w:color w:val="1F2937"/>
          <w:sz w:val="26"/>
          <w:szCs w:val="26"/>
        </w:rPr>
        <w:t xml:space="preserve">2. Le continuum normal-pathologique : une question qui ne se résout pas</w:t>
      </w:r>
    </w:p>
    <w:p>
      <w:pPr>
        <w:spacing w:after="80"/>
      </w:pPr>
      <w:r>
        <w:rPr>
          <w:rFonts w:ascii="Times New Roman" w:cs="Times New Roman" w:eastAsia="Times New Roman" w:hAnsi="Times New Roman"/>
          <w:color w:val="1F2937"/>
          <w:sz w:val="22"/>
          <w:szCs w:val="22"/>
        </w:rPr>
        <w:t xml:space="preserve">La leçon 2 posait la question fondatrice : où commence le pathologique ? Toutes les leçons suivantes l'ont illustrée.</w:t>
      </w:r>
    </w:p>
    <w:p>
      <w:pPr>
        <w:spacing w:after="60"/>
        <w:ind w:left="360"/>
      </w:pPr>
      <w:r>
        <w:rPr>
          <w:rFonts w:ascii="Times New Roman" w:cs="Times New Roman" w:eastAsia="Times New Roman" w:hAnsi="Times New Roman"/>
          <w:color w:val="1F2937"/>
          <w:sz w:val="22"/>
          <w:szCs w:val="22"/>
        </w:rPr>
        <w:t xml:space="preserve">• Les troubles anxieux (leçon 5) ne sont que la forme excessive d'une émotion universelle et adaptative.</w:t>
      </w:r>
    </w:p>
    <w:p>
      <w:pPr>
        <w:spacing w:after="60"/>
        <w:ind w:left="360"/>
      </w:pPr>
      <w:r>
        <w:rPr>
          <w:rFonts w:ascii="Times New Roman" w:cs="Times New Roman" w:eastAsia="Times New Roman" w:hAnsi="Times New Roman"/>
          <w:color w:val="1F2937"/>
          <w:sz w:val="22"/>
          <w:szCs w:val="22"/>
        </w:rPr>
        <w:t xml:space="preserve">• La dépression (leçon 6) amplifie des affects que toute perte peut provoquer.</w:t>
      </w:r>
    </w:p>
    <w:p>
      <w:pPr>
        <w:spacing w:after="60"/>
        <w:ind w:left="360"/>
      </w:pPr>
      <w:r>
        <w:rPr>
          <w:rFonts w:ascii="Times New Roman" w:cs="Times New Roman" w:eastAsia="Times New Roman" w:hAnsi="Times New Roman"/>
          <w:color w:val="1F2937"/>
          <w:sz w:val="22"/>
          <w:szCs w:val="22"/>
        </w:rPr>
        <w:t xml:space="preserve">• Les troubles de la personnalité (leçon 8) dessinent des traits que l'on retrouve, à moindre degré, dans la diversité des caractères humains.</w:t>
      </w:r>
    </w:p>
    <w:p>
      <w:pPr>
        <w:spacing w:after="60"/>
        <w:ind w:left="360"/>
      </w:pPr>
      <w:r>
        <w:rPr>
          <w:rFonts w:ascii="Times New Roman" w:cs="Times New Roman" w:eastAsia="Times New Roman" w:hAnsi="Times New Roman"/>
          <w:color w:val="1F2937"/>
          <w:sz w:val="22"/>
          <w:szCs w:val="22"/>
        </w:rPr>
        <w:t xml:space="preserve">• Les troubles du spectre autistique (leçon 9) correspondent à des modalités de traitement de l'information et de relation qui existent sur un continuum dans la population générale.</w:t>
      </w:r>
    </w:p>
    <w:p>
      <w:pPr>
        <w:spacing w:after="80"/>
      </w:pPr>
      <w:r>
        <w:rPr>
          <w:rFonts w:ascii="Times New Roman" w:cs="Times New Roman" w:eastAsia="Times New Roman" w:hAnsi="Times New Roman"/>
          <w:color w:val="1F2937"/>
          <w:sz w:val="22"/>
          <w:szCs w:val="22"/>
        </w:rPr>
        <w:t xml:space="preserve">Le continuum rappelle deux choses : un trouble est toujours ancré dans l'humain commun — et c'est pourquoi il est si difficile à délimiter. Les classifications (CIM-11, DSM-5-TR) ont choisi des seuils opérationnels, pas des frontières naturelles.</w:t>
      </w:r>
    </w:p>
    <w:p>
      <w:pPr>
        <w:shd w:fill="F5F7FA" w:val="clear"/>
        <w:spacing w:after="100" w:before="100"/>
        <w:ind w:left="480" w:right="480"/>
      </w:pPr>
      <w:r>
        <w:rPr>
          <w:rFonts w:ascii="Times New Roman" w:cs="Times New Roman" w:eastAsia="Times New Roman" w:hAnsi="Times New Roman"/>
          <w:i/>
          <w:iCs/>
          <w:color w:val="1B3A6B"/>
          <w:sz w:val="22"/>
          <w:szCs w:val="22"/>
        </w:rPr>
        <w:t xml:space="preserve">Ce que cela change pour l'accompagnement : une personne n'est pas "schizophrène" ni "borderline" — elle présente un tableau clinique qui éclaire une vulnérabilité. La personne reste toujours plus large que son diagnostic.</w:t>
      </w:r>
    </w:p>
    <w:p>
      <w:pPr>
        <w:spacing w:after="60"/>
      </w:pPr>
      <w:r>
        <w:t xml:space="preserve"/>
      </w:r>
    </w:p>
    <w:p>
      <w:pPr>
        <w:spacing w:after="80" w:before="200"/>
      </w:pPr>
      <w:r>
        <w:rPr>
          <w:rFonts w:ascii="Times New Roman" w:cs="Times New Roman" w:eastAsia="Times New Roman" w:hAnsi="Times New Roman"/>
          <w:b/>
          <w:bCs/>
          <w:color w:val="1F2937"/>
          <w:sz w:val="26"/>
          <w:szCs w:val="26"/>
        </w:rPr>
        <w:t xml:space="preserve">3. Vulnérabilité, stress et traumatisme comme fils rouges transversaux</w:t>
      </w:r>
    </w:p>
    <w:p>
      <w:pPr>
        <w:spacing w:after="80"/>
      </w:pPr>
      <w:r>
        <w:rPr>
          <w:rFonts w:ascii="Times New Roman" w:cs="Times New Roman" w:eastAsia="Times New Roman" w:hAnsi="Times New Roman"/>
          <w:color w:val="1F2937"/>
          <w:sz w:val="22"/>
          <w:szCs w:val="22"/>
        </w:rPr>
        <w:t xml:space="preserve">Le modèle vulnérabilité-stress (leçon 1) traverse l'ensemble du parcours. La plupart des tableaux cliniques peuvent se lire comme l'interaction entre une vulnérabilité (génétique, développementale, relationnelle) et des facteurs de stress environnementaux.</w:t>
      </w:r>
    </w:p>
    <w:p>
      <w:pPr>
        <w:spacing w:after="80"/>
      </w:pPr>
      <w:r>
        <w:rPr>
          <w:rFonts w:ascii="Times New Roman" w:cs="Times New Roman" w:eastAsia="Times New Roman" w:hAnsi="Times New Roman"/>
          <w:color w:val="1F2937"/>
          <w:sz w:val="22"/>
          <w:szCs w:val="22"/>
        </w:rPr>
        <w:t xml:space="preserve">Le traumatisme n'est pas réservé à la leçon 12 (psychotraumatisme, TSPT) : il traverse presque tous les tableaux.</w:t>
      </w:r>
    </w:p>
    <w:p>
      <w:pPr>
        <w:spacing w:after="60"/>
        <w:ind w:left="360"/>
      </w:pPr>
      <w:r>
        <w:rPr>
          <w:rFonts w:ascii="Times New Roman" w:cs="Times New Roman" w:eastAsia="Times New Roman" w:hAnsi="Times New Roman"/>
          <w:color w:val="1F2937"/>
          <w:sz w:val="22"/>
          <w:szCs w:val="22"/>
        </w:rPr>
        <w:t xml:space="preserve">• Trauma précoce → troubles de la personnalité, notamment borderline (leçon 8)</w:t>
      </w:r>
    </w:p>
    <w:p>
      <w:pPr>
        <w:spacing w:after="60"/>
        <w:ind w:left="360"/>
      </w:pPr>
      <w:r>
        <w:rPr>
          <w:rFonts w:ascii="Times New Roman" w:cs="Times New Roman" w:eastAsia="Times New Roman" w:hAnsi="Times New Roman"/>
          <w:color w:val="1F2937"/>
          <w:sz w:val="22"/>
          <w:szCs w:val="22"/>
        </w:rPr>
        <w:t xml:space="preserve">• Trauma précoce → trouble dissociatif de l'identité (leçon 12)</w:t>
      </w:r>
    </w:p>
    <w:p>
      <w:pPr>
        <w:spacing w:after="60"/>
        <w:ind w:left="360"/>
      </w:pPr>
      <w:r>
        <w:rPr>
          <w:rFonts w:ascii="Times New Roman" w:cs="Times New Roman" w:eastAsia="Times New Roman" w:hAnsi="Times New Roman"/>
          <w:color w:val="1F2937"/>
          <w:sz w:val="22"/>
          <w:szCs w:val="22"/>
        </w:rPr>
        <w:t xml:space="preserve">• Vulnérabilité génétique + stress → déclenchement d'un épisode psychotique (leçon 7) ou d'un épisode bipolaire (leçon 6)</w:t>
      </w:r>
    </w:p>
    <w:p>
      <w:pPr>
        <w:spacing w:after="60"/>
        <w:ind w:left="360"/>
      </w:pPr>
      <w:r>
        <w:rPr>
          <w:rFonts w:ascii="Times New Roman" w:cs="Times New Roman" w:eastAsia="Times New Roman" w:hAnsi="Times New Roman"/>
          <w:color w:val="1F2937"/>
          <w:sz w:val="22"/>
          <w:szCs w:val="22"/>
        </w:rPr>
        <w:t xml:space="preserve">• Neurodéveloppement atypique + environnement inadapté → amplification des difficultés (leçon 9)</w:t>
      </w:r>
    </w:p>
    <w:p>
      <w:pPr>
        <w:spacing w:after="60"/>
        <w:ind w:left="360"/>
      </w:pPr>
      <w:r>
        <w:rPr>
          <w:rFonts w:ascii="Times New Roman" w:cs="Times New Roman" w:eastAsia="Times New Roman" w:hAnsi="Times New Roman"/>
          <w:color w:val="1F2937"/>
          <w:sz w:val="22"/>
          <w:szCs w:val="22"/>
        </w:rPr>
        <w:t xml:space="preserve">• Stress chronique de l'addiction → aggravation des comorbidités psychiatriques (leçon 11)</w:t>
      </w:r>
    </w:p>
    <w:p>
      <w:pPr>
        <w:spacing w:after="80"/>
      </w:pPr>
      <w:r>
        <w:rPr>
          <w:rFonts w:ascii="Times New Roman" w:cs="Times New Roman" w:eastAsia="Times New Roman" w:hAnsi="Times New Roman"/>
          <w:color w:val="1F2937"/>
          <w:sz w:val="22"/>
          <w:szCs w:val="22"/>
        </w:rPr>
        <w:t xml:space="preserve">Cette lecture transversale a une conséquence pratique : dans un foyer d'hébergement, l'histoire de vie des personnes accompagnées est un contexte clinique, pas une anecdote.</w:t>
      </w:r>
    </w:p>
    <w:p>
      <w:pPr>
        <w:spacing w:after="60"/>
      </w:pPr>
      <w:r>
        <w:t xml:space="preserve"/>
      </w:r>
    </w:p>
    <w:p>
      <w:pPr>
        <w:spacing w:after="80" w:before="200"/>
      </w:pPr>
      <w:r>
        <w:rPr>
          <w:rFonts w:ascii="Times New Roman" w:cs="Times New Roman" w:eastAsia="Times New Roman" w:hAnsi="Times New Roman"/>
          <w:b/>
          <w:bCs/>
          <w:color w:val="1F2937"/>
          <w:sz w:val="26"/>
          <w:szCs w:val="26"/>
        </w:rPr>
        <w:t xml:space="preserve">4. Le rétablissement comme horizon commun</w:t>
      </w:r>
    </w:p>
    <w:p>
      <w:pPr>
        <w:spacing w:after="80"/>
      </w:pPr>
      <w:r>
        <w:rPr>
          <w:rFonts w:ascii="Times New Roman" w:cs="Times New Roman" w:eastAsia="Times New Roman" w:hAnsi="Times New Roman"/>
          <w:color w:val="1F2937"/>
          <w:sz w:val="22"/>
          <w:szCs w:val="22"/>
        </w:rPr>
        <w:t xml:space="preserve">La leçon 18 a présenté le paradigme du rétablissement : non pas la guérison au sens médical (disparition des symptômes), mais la reconquête d'une vie qui fait sens, malgré la persistance possible de certains symptômes.</w:t>
      </w:r>
    </w:p>
    <w:p>
      <w:pPr>
        <w:spacing w:after="80"/>
      </w:pPr>
      <w:r>
        <w:rPr>
          <w:rFonts w:ascii="Times New Roman" w:cs="Times New Roman" w:eastAsia="Times New Roman" w:hAnsi="Times New Roman"/>
          <w:color w:val="1F2937"/>
          <w:sz w:val="22"/>
          <w:szCs w:val="22"/>
        </w:rPr>
        <w:t xml:space="preserve">Cet horizon est celui de tous les tableaux du parcours. Même dans la schizophrénie (leçon 7), les troubles bipolaires (leçon 6) et les troubles neurocognitifs (leçon 13), des trajectoires de rétablissement personnel sont documentées. Le rétablissement récuse le pronostic figé.</w:t>
      </w:r>
    </w:p>
    <w:p>
      <w:pPr>
        <w:spacing w:after="80"/>
      </w:pPr>
      <w:r>
        <w:rPr>
          <w:rFonts w:ascii="Times New Roman" w:cs="Times New Roman" w:eastAsia="Times New Roman" w:hAnsi="Times New Roman"/>
          <w:color w:val="1F2937"/>
          <w:sz w:val="22"/>
          <w:szCs w:val="22"/>
        </w:rPr>
        <w:t xml:space="preserve">Selon la fiche de l'Organisation mondiale de la santé mise à jour le 11 septembre 2026, les troubles mentaux peuvent être prévenus et traités efficacement, mais la grande majorité des personnes concernées n'a pas accès à des soins organisés — seulement 40 % des cas de psychose et un tiers des dépressions reçoivent un traitement structuré. Ce chiffre n'est pas un constat de fatalité : c'est un rappel que l'accès aux soins reste le premier levier.</w:t>
      </w:r>
    </w:p>
    <w:p>
      <w:pPr>
        <w:spacing w:after="60"/>
      </w:pPr>
      <w:r>
        <w:t xml:space="preserve"/>
      </w:r>
    </w:p>
    <w:p>
      <w:pPr>
        <w:spacing w:after="80" w:before="200"/>
      </w:pPr>
      <w:r>
        <w:rPr>
          <w:rFonts w:ascii="Times New Roman" w:cs="Times New Roman" w:eastAsia="Times New Roman" w:hAnsi="Times New Roman"/>
          <w:b/>
          <w:bCs/>
          <w:color w:val="1F2937"/>
          <w:sz w:val="26"/>
          <w:szCs w:val="26"/>
        </w:rPr>
        <w:t xml:space="preserve">5. Ce que ce parcours n'a pas couvert</w:t>
      </w:r>
    </w:p>
    <w:p>
      <w:pPr>
        <w:spacing w:after="80"/>
      </w:pPr>
      <w:r>
        <w:rPr>
          <w:rFonts w:ascii="Times New Roman" w:cs="Times New Roman" w:eastAsia="Times New Roman" w:hAnsi="Times New Roman"/>
          <w:color w:val="1F2937"/>
          <w:sz w:val="22"/>
          <w:szCs w:val="22"/>
        </w:rPr>
        <w:t xml:space="preserve">Un parcours de 20 leçons ne peut pas tout couvrir. Signaler les manques honnêtement fait partie du travail intellectuel.</w:t>
      </w:r>
    </w:p>
    <w:p>
      <w:pPr>
        <w:spacing w:after="80"/>
      </w:pPr>
      <w:r>
        <w:rPr>
          <w:rFonts w:ascii="Times New Roman" w:cs="Times New Roman" w:eastAsia="Times New Roman" w:hAnsi="Times New Roman"/>
          <w:color w:val="1F2937"/>
          <w:sz w:val="22"/>
          <w:szCs w:val="22"/>
        </w:rPr>
        <w:t xml:space="preserve">Thèmes non traités ou effleurés seulement :</w:t>
      </w:r>
    </w:p>
    <w:p>
      <w:pPr>
        <w:spacing w:after="60"/>
        <w:ind w:left="360"/>
      </w:pPr>
      <w:r>
        <w:rPr>
          <w:rFonts w:ascii="Times New Roman" w:cs="Times New Roman" w:eastAsia="Times New Roman" w:hAnsi="Times New Roman"/>
          <w:color w:val="1F2937"/>
          <w:sz w:val="22"/>
          <w:szCs w:val="22"/>
        </w:rPr>
        <w:t xml:space="preserve">• Le trouble obsessionnel-compulsif et ses manifestations dans sa pleine étendue (mentionné en leçon 5, non développé)</w:t>
      </w:r>
    </w:p>
    <w:p>
      <w:pPr>
        <w:spacing w:after="60"/>
        <w:ind w:left="360"/>
      </w:pPr>
      <w:r>
        <w:rPr>
          <w:rFonts w:ascii="Times New Roman" w:cs="Times New Roman" w:eastAsia="Times New Roman" w:hAnsi="Times New Roman"/>
          <w:color w:val="1F2937"/>
          <w:sz w:val="22"/>
          <w:szCs w:val="22"/>
        </w:rPr>
        <w:t xml:space="preserve">• Les troubles somatoformes / fonctionnels (douleur chronique inexpliquée, conversion)</w:t>
      </w:r>
    </w:p>
    <w:p>
      <w:pPr>
        <w:spacing w:after="60"/>
        <w:ind w:left="360"/>
      </w:pPr>
      <w:r>
        <w:rPr>
          <w:rFonts w:ascii="Times New Roman" w:cs="Times New Roman" w:eastAsia="Times New Roman" w:hAnsi="Times New Roman"/>
          <w:color w:val="1F2937"/>
          <w:sz w:val="22"/>
          <w:szCs w:val="22"/>
        </w:rPr>
        <w:t xml:space="preserve">• Les troubles du spectre de la schizophrénie autres que la schizophrénie elle-même (trouble schizo-affectif, trouble délirant)</w:t>
      </w:r>
    </w:p>
    <w:p>
      <w:pPr>
        <w:spacing w:after="60"/>
        <w:ind w:left="360"/>
      </w:pPr>
      <w:r>
        <w:rPr>
          <w:rFonts w:ascii="Times New Roman" w:cs="Times New Roman" w:eastAsia="Times New Roman" w:hAnsi="Times New Roman"/>
          <w:color w:val="1F2937"/>
          <w:sz w:val="22"/>
          <w:szCs w:val="22"/>
        </w:rPr>
        <w:t xml:space="preserve">• La psychopathologie interculturelle : comment les catégories diagnostiques occidentales s'appliquent — ou ne s'appliquent pas — à d'autres contextes culturels</w:t>
      </w:r>
    </w:p>
    <w:p>
      <w:pPr>
        <w:spacing w:after="60"/>
        <w:ind w:left="360"/>
      </w:pPr>
      <w:r>
        <w:rPr>
          <w:rFonts w:ascii="Times New Roman" w:cs="Times New Roman" w:eastAsia="Times New Roman" w:hAnsi="Times New Roman"/>
          <w:color w:val="1F2937"/>
          <w:sz w:val="22"/>
          <w:szCs w:val="22"/>
        </w:rPr>
        <w:t xml:space="preserve">• La psychiatrie légale et la responsabilité pénale</w:t>
      </w:r>
    </w:p>
    <w:p>
      <w:pPr>
        <w:spacing w:after="60"/>
        <w:ind w:left="360"/>
      </w:pPr>
      <w:r>
        <w:rPr>
          <w:rFonts w:ascii="Times New Roman" w:cs="Times New Roman" w:eastAsia="Times New Roman" w:hAnsi="Times New Roman"/>
          <w:color w:val="1F2937"/>
          <w:sz w:val="22"/>
          <w:szCs w:val="22"/>
        </w:rPr>
        <w:t xml:space="preserve">• Les troubles paraphiliques et les troubles de l'identité de genre (dans leurs dimensions cliniques)</w:t>
      </w:r>
    </w:p>
    <w:p>
      <w:pPr>
        <w:spacing w:after="80"/>
      </w:pPr>
      <w:r>
        <w:rPr>
          <w:rFonts w:ascii="Times New Roman" w:cs="Times New Roman" w:eastAsia="Times New Roman" w:hAnsi="Times New Roman"/>
          <w:color w:val="1F2937"/>
          <w:sz w:val="22"/>
          <w:szCs w:val="22"/>
        </w:rPr>
        <w:t xml:space="preserve">Des pistes d'approfondissement autonome sont proposées en section ressources.</w:t>
      </w:r>
    </w:p>
    <w:p>
      <w:pPr>
        <w:spacing w:after="60"/>
      </w:pPr>
      <w:r>
        <w:t xml:space="preserve"/>
      </w:r>
    </w:p>
    <w:p>
      <w:pPr>
        <w:spacing w:after="120" w:before="320"/>
      </w:pPr>
      <w:r>
        <w:rPr>
          <w:rFonts w:ascii="Times New Roman" w:cs="Times New Roman" w:eastAsia="Times New Roman" w:hAnsi="Times New Roman"/>
          <w:b/>
          <w:bCs/>
          <w:color w:val="1B3A6B"/>
          <w:sz w:val="30"/>
          <w:szCs w:val="30"/>
        </w:rPr>
        <w:t xml:space="preserve">🛠️ Pratique (80 %) — Exercices de synthèse</w:t>
      </w:r>
    </w:p>
    <w:p>
      <w:pPr>
        <w:spacing w:after="80" w:before="200"/>
      </w:pPr>
      <w:r>
        <w:rPr>
          <w:rFonts w:ascii="Times New Roman" w:cs="Times New Roman" w:eastAsia="Times New Roman" w:hAnsi="Times New Roman"/>
          <w:b/>
          <w:bCs/>
          <w:color w:val="1F2937"/>
          <w:sz w:val="26"/>
          <w:szCs w:val="26"/>
        </w:rPr>
        <w:t xml:space="preserve">Exercice 1 — Cartographie des fils conducteurs (tableau de synthèse)</w:t>
      </w:r>
    </w:p>
    <w:p>
      <w:pPr>
        <w:spacing w:after="80"/>
      </w:pPr>
      <w:r>
        <w:rPr>
          <w:rFonts w:ascii="Times New Roman" w:cs="Times New Roman" w:eastAsia="Times New Roman" w:hAnsi="Times New Roman"/>
          <w:color w:val="1F2937"/>
          <w:sz w:val="22"/>
          <w:szCs w:val="22"/>
        </w:rPr>
        <w:t xml:space="preserve">Objectif : mettre en relation les 20 leçons du parcours avec les fils conducteurs identifiés en théorie. Ce tableau n'est pas exhaustif — il te propose un cadre de lecture ; complète-le avec tes propres observations.</w:t>
      </w:r>
    </w:p>
    <w:p>
      <w:pPr>
        <w:spacing w:after="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5"/>
        <w:gridCol w:w="2375"/>
        <w:gridCol w:w="2375"/>
        <w:gridCol w:w="2375"/>
      </w:tblGrid>
      <w:tr>
        <w:tc>
          <w:tcPr>
            <w:shd w:fill="1B3A6B" w:val="clear"/>
            <w:tcMar>
              <w:top w:type="dxa" w:w="60"/>
              <w:left w:type="dxa" w:w="100"/>
              <w:bottom w:type="dxa" w:w="60"/>
              <w:right w:type="dxa" w:w="100"/>
            </w:tcMar>
          </w:tcPr>
          <w:p>
            <w:pPr>
              <w:spacing w:after="60" w:before="60"/>
            </w:pPr>
            <w:r>
              <w:rPr>
                <w:rFonts w:ascii="Times New Roman" w:cs="Times New Roman" w:eastAsia="Times New Roman" w:hAnsi="Times New Roman"/>
                <w:b/>
                <w:bCs/>
                <w:color w:val="FFFFFF"/>
                <w:sz w:val="20"/>
                <w:szCs w:val="20"/>
              </w:rPr>
              <w:t xml:space="preserve">Leçon</w:t>
            </w:r>
          </w:p>
        </w:tc>
        <w:tc>
          <w:tcPr>
            <w:shd w:fill="1B3A6B" w:val="clear"/>
            <w:tcMar>
              <w:top w:type="dxa" w:w="60"/>
              <w:left w:type="dxa" w:w="100"/>
              <w:bottom w:type="dxa" w:w="60"/>
              <w:right w:type="dxa" w:w="100"/>
            </w:tcMar>
          </w:tcPr>
          <w:p>
            <w:pPr>
              <w:spacing w:after="60" w:before="60"/>
            </w:pPr>
            <w:r>
              <w:rPr>
                <w:rFonts w:ascii="Times New Roman" w:cs="Times New Roman" w:eastAsia="Times New Roman" w:hAnsi="Times New Roman"/>
                <w:b/>
                <w:bCs/>
                <w:color w:val="FFFFFF"/>
                <w:sz w:val="20"/>
                <w:szCs w:val="20"/>
              </w:rPr>
              <w:t xml:space="preserve">Thème</w:t>
            </w:r>
          </w:p>
        </w:tc>
        <w:tc>
          <w:tcPr>
            <w:shd w:fill="1B3A6B" w:val="clear"/>
            <w:tcMar>
              <w:top w:type="dxa" w:w="60"/>
              <w:left w:type="dxa" w:w="100"/>
              <w:bottom w:type="dxa" w:w="60"/>
              <w:right w:type="dxa" w:w="100"/>
            </w:tcMar>
          </w:tcPr>
          <w:p>
            <w:pPr>
              <w:spacing w:after="60" w:before="60"/>
            </w:pPr>
            <w:r>
              <w:rPr>
                <w:rFonts w:ascii="Times New Roman" w:cs="Times New Roman" w:eastAsia="Times New Roman" w:hAnsi="Times New Roman"/>
                <w:b/>
                <w:bCs/>
                <w:color w:val="FFFFFF"/>
                <w:sz w:val="20"/>
                <w:szCs w:val="20"/>
              </w:rPr>
              <w:t xml:space="preserve">Fil(s) conducteur(s)</w:t>
            </w:r>
          </w:p>
        </w:tc>
        <w:tc>
          <w:tcPr>
            <w:shd w:fill="1B3A6B" w:val="clear"/>
            <w:tcMar>
              <w:top w:type="dxa" w:w="60"/>
              <w:left w:type="dxa" w:w="100"/>
              <w:bottom w:type="dxa" w:w="60"/>
              <w:right w:type="dxa" w:w="100"/>
            </w:tcMar>
          </w:tcPr>
          <w:p>
            <w:pPr>
              <w:spacing w:after="60" w:before="60"/>
            </w:pPr>
            <w:r>
              <w:rPr>
                <w:rFonts w:ascii="Times New Roman" w:cs="Times New Roman" w:eastAsia="Times New Roman" w:hAnsi="Times New Roman"/>
                <w:b/>
                <w:bCs/>
                <w:color w:val="FFFFFF"/>
                <w:sz w:val="20"/>
                <w:szCs w:val="20"/>
              </w:rPr>
              <w:t xml:space="preserve">Remarque</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01</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Modèles en psychopathologie</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Continuum · Vulnérabilité-stress</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Cadre conceptuel de tout le parcours</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02</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Normal et pathologique · Classifications</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Continuum · CIM-11 / DSM-5-TR</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Question fondatrice non résolue</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03</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Sémiologie psychiatrique</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Grammaire commune</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Base d'observation pour tous les professionnels</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04</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Entretien clinique et état mental</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Posture d'observation</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Techniques transférables à l'éducateur</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05</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Troubles anxieux</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Continuum · Vulnérabilité-stress</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Troubles les plus prévalents au niveau mondial (OMS, 2026)</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06</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Troubles de l'humeur</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Traumatisme · Rétablissement · Comorbidités</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Dépression et bipolaire : trajectoires très différentes</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07</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Troubles psychotiques · Schizophrénie</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Vulnérabilité-stress · Rétablissement</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Souvent présent en foyer de vie</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08</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Troubles de la personnalité · Borderline</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Trauma précoce · Comorbidités</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Borderline : fréquent, souvent mal compris en ESSMS</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09</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Neurodéveloppement : TSA, TDAH, TDI</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Vulnérabilité génétique + environnement</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Public central des ESSMS</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10</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Troubles des conduites alimentaires</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Comorbidités · Traumatisme</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Moins représenté en foyer adulte, comorbidités à connaître</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11</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Addictions</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Comorbidités multiples · Auto-médication</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Fréquent en contexte ESSMS, souvent minimisé</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12</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Psychotraumatisme · TSPT · Dissociation</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Traumatisme</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Fil rouge de l'ensemble du parcours</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13</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Troubles neurocognitifs · Vieillissement</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Développement · Comorbidités</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Enjeu croissant : vieillissement du public ESSMS</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14</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Troubles du sommeil</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Comorbidités · Indicateur d'état global</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Observables par l'équipe (veilleur de nuit)</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15</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Crise suicidaire</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Comorbidités · Observation · Alerte</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Compétence clé pour l'équipe éducative</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16</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Handicap psychique · DI · Comorbidités</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Comorbidités · Surhandicap</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Thème central de ce foyer d'hébergement</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17</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Psychotropes : classes, effets, surveillance</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Observance · Vigilance équipe</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Rôle de l'équipe éducative : observer et transmettre</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18</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Réhabilitation psychosociale · Rétablissement</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Rétablissement</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Horizon de tout le parcours</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19</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Éthique · Consentement · Contrainte</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Droits · Posture professionnelle</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Cadre légal et déontologique</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20</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BILAN — Synthèse du parcours</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Tous les fils</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Fin de parcours</w:t>
            </w:r>
          </w:p>
        </w:tc>
      </w:tr>
    </w:tbl>
    <w:p>
      <w:pPr>
        <w:spacing w:after="60"/>
      </w:pPr>
      <w:r>
        <w:t xml:space="preserve"/>
      </w:r>
    </w:p>
    <w:p>
      <w:pPr>
        <w:shd w:fill="F5F7FA" w:val="clear"/>
        <w:spacing w:after="100" w:before="100"/>
        <w:ind w:left="480" w:right="480"/>
      </w:pPr>
      <w:r>
        <w:rPr>
          <w:rFonts w:ascii="Times New Roman" w:cs="Times New Roman" w:eastAsia="Times New Roman" w:hAnsi="Times New Roman"/>
          <w:i/>
          <w:iCs/>
          <w:color w:val="1B3A6B"/>
          <w:sz w:val="22"/>
          <w:szCs w:val="22"/>
        </w:rPr>
        <w:t xml:space="preserve">Ce tableau est une aide à la révision, pas une vérité. Ce qui compte, c'est ta propre cartographie : quelles leçons t'ont le plus marqué ? Lesquelles te semblent les moins assimilées ?</w:t>
      </w:r>
    </w:p>
    <w:p>
      <w:pPr>
        <w:spacing w:after="60"/>
      </w:pPr>
      <w:r>
        <w:t xml:space="preserve"/>
      </w:r>
    </w:p>
    <w:p>
      <w:pPr>
        <w:spacing w:after="80" w:before="200"/>
      </w:pPr>
      <w:r>
        <w:rPr>
          <w:rFonts w:ascii="Times New Roman" w:cs="Times New Roman" w:eastAsia="Times New Roman" w:hAnsi="Times New Roman"/>
          <w:b/>
          <w:bCs/>
          <w:color w:val="1F2937"/>
          <w:sz w:val="26"/>
          <w:szCs w:val="26"/>
        </w:rPr>
        <w:t xml:space="preserve">Exercice 2 — Cas pratique transversal</w:t>
      </w:r>
    </w:p>
    <w:p>
      <w:pPr>
        <w:spacing w:after="80"/>
      </w:pPr>
      <w:r>
        <w:rPr>
          <w:rFonts w:ascii="Times New Roman" w:cs="Times New Roman" w:eastAsia="Times New Roman" w:hAnsi="Times New Roman"/>
          <w:color w:val="1F2937"/>
          <w:sz w:val="22"/>
          <w:szCs w:val="22"/>
        </w:rPr>
        <w:t xml:space="preserve">Objectif : mobiliser plusieurs leçons du parcours sur une situation unique.</w:t>
      </w:r>
    </w:p>
    <w:p>
      <w:pPr>
        <w:spacing w:after="60"/>
      </w:pPr>
      <w:r>
        <w:t xml:space="preserve"/>
      </w:r>
    </w:p>
    <w:p>
      <w:pPr>
        <w:spacing w:after="80"/>
      </w:pPr>
      <w:r>
        <w:rPr>
          <w:rFonts w:ascii="Times New Roman" w:cs="Times New Roman" w:eastAsia="Times New Roman" w:hAnsi="Times New Roman"/>
          <w:b/>
          <w:bCs/>
          <w:color w:val="1F2937"/>
          <w:sz w:val="22"/>
          <w:szCs w:val="22"/>
        </w:rPr>
        <w:t xml:space="preserve">Vignette — Mehdi, 34 ans, foyer de vie</w:t>
      </w:r>
    </w:p>
    <w:p>
      <w:pPr>
        <w:spacing w:after="80"/>
      </w:pPr>
      <w:r>
        <w:rPr>
          <w:rFonts w:ascii="Times New Roman" w:cs="Times New Roman" w:eastAsia="Times New Roman" w:hAnsi="Times New Roman"/>
          <w:color w:val="1F2937"/>
          <w:sz w:val="22"/>
          <w:szCs w:val="22"/>
        </w:rPr>
        <w:t xml:space="preserve">Mehdi est résident depuis 5 ans dans un foyer d'hébergement pour adultes en situation de handicap psychique. Depuis 18 mois, l'équipe observe les changements suivants :</w:t>
      </w:r>
    </w:p>
    <w:p>
      <w:pPr>
        <w:spacing w:after="60"/>
        <w:ind w:left="360"/>
      </w:pPr>
      <w:r>
        <w:rPr>
          <w:rFonts w:ascii="Times New Roman" w:cs="Times New Roman" w:eastAsia="Times New Roman" w:hAnsi="Times New Roman"/>
          <w:color w:val="1F2937"/>
          <w:sz w:val="22"/>
          <w:szCs w:val="22"/>
        </w:rPr>
        <w:t xml:space="preserve">• Retrait social progressif (ne participe plus aux activités collectives depuis 3 mois)</w:t>
      </w:r>
    </w:p>
    <w:p>
      <w:pPr>
        <w:spacing w:after="60"/>
        <w:ind w:left="360"/>
      </w:pPr>
      <w:r>
        <w:rPr>
          <w:rFonts w:ascii="Times New Roman" w:cs="Times New Roman" w:eastAsia="Times New Roman" w:hAnsi="Times New Roman"/>
          <w:color w:val="1F2937"/>
          <w:sz w:val="22"/>
          <w:szCs w:val="22"/>
        </w:rPr>
        <w:t xml:space="preserve">• Propos récurrents de dévalorisation : « je ne sers à rien », « tout le monde s'en foutrait »</w:t>
      </w:r>
    </w:p>
    <w:p>
      <w:pPr>
        <w:spacing w:after="60"/>
        <w:ind w:left="360"/>
      </w:pPr>
      <w:r>
        <w:rPr>
          <w:rFonts w:ascii="Times New Roman" w:cs="Times New Roman" w:eastAsia="Times New Roman" w:hAnsi="Times New Roman"/>
          <w:color w:val="1F2937"/>
          <w:sz w:val="22"/>
          <w:szCs w:val="22"/>
        </w:rPr>
        <w:t xml:space="preserve">• Deux absences injustifiées à l'ESAT au cours du dernier mois</w:t>
      </w:r>
    </w:p>
    <w:p>
      <w:pPr>
        <w:spacing w:after="60"/>
        <w:ind w:left="360"/>
      </w:pPr>
      <w:r>
        <w:rPr>
          <w:rFonts w:ascii="Times New Roman" w:cs="Times New Roman" w:eastAsia="Times New Roman" w:hAnsi="Times New Roman"/>
          <w:color w:val="1F2937"/>
          <w:sz w:val="22"/>
          <w:szCs w:val="22"/>
        </w:rPr>
        <w:t xml:space="preserve">• Selon un pair, consommation régulière de cannabis depuis 6 mois environ</w:t>
      </w:r>
    </w:p>
    <w:p>
      <w:pPr>
        <w:spacing w:after="60"/>
        <w:ind w:left="360"/>
      </w:pPr>
      <w:r>
        <w:rPr>
          <w:rFonts w:ascii="Times New Roman" w:cs="Times New Roman" w:eastAsia="Times New Roman" w:hAnsi="Times New Roman"/>
          <w:color w:val="1F2937"/>
          <w:sz w:val="22"/>
          <w:szCs w:val="22"/>
        </w:rPr>
        <w:t xml:space="preserve">• Déambulations nocturnes signalées par le veilleur trois fois en deux semaines</w:t>
      </w:r>
    </w:p>
    <w:p>
      <w:pPr>
        <w:spacing w:after="60"/>
        <w:ind w:left="360"/>
      </w:pPr>
      <w:r>
        <w:rPr>
          <w:rFonts w:ascii="Times New Roman" w:cs="Times New Roman" w:eastAsia="Times New Roman" w:hAnsi="Times New Roman"/>
          <w:color w:val="1F2937"/>
          <w:sz w:val="22"/>
          <w:szCs w:val="22"/>
        </w:rPr>
        <w:t xml:space="preserve">• Dernier contact avec le psychiatre référent : 8 mois</w:t>
      </w:r>
    </w:p>
    <w:p>
      <w:pPr>
        <w:spacing w:after="60"/>
      </w:pPr>
      <w:r>
        <w:t xml:space="preserve"/>
      </w:r>
    </w:p>
    <w:p>
      <w:pPr>
        <w:spacing w:after="80"/>
      </w:pPr>
      <w:r>
        <w:rPr>
          <w:rFonts w:ascii="Times New Roman" w:cs="Times New Roman" w:eastAsia="Times New Roman" w:hAnsi="Times New Roman"/>
          <w:color w:val="1F2937"/>
          <w:sz w:val="22"/>
          <w:szCs w:val="22"/>
        </w:rPr>
        <w:t xml:space="preserve">Questions :</w:t>
      </w:r>
    </w:p>
    <w:p>
      <w:pPr>
        <w:spacing w:after="80"/>
      </w:pPr>
      <w:r>
        <w:rPr>
          <w:rFonts w:ascii="Times New Roman" w:cs="Times New Roman" w:eastAsia="Times New Roman" w:hAnsi="Times New Roman"/>
          <w:color w:val="1F2937"/>
          <w:sz w:val="22"/>
          <w:szCs w:val="22"/>
        </w:rPr>
        <w:t xml:space="preserve">1. Quels tableaux cliniques du parcours ces observations évoquent-elles ?</w:t>
      </w:r>
    </w:p>
    <w:p>
      <w:pPr>
        <w:spacing w:after="80"/>
      </w:pPr>
      <w:r>
        <w:rPr>
          <w:rFonts w:ascii="Times New Roman" w:cs="Times New Roman" w:eastAsia="Times New Roman" w:hAnsi="Times New Roman"/>
          <w:color w:val="1F2937"/>
          <w:sz w:val="22"/>
          <w:szCs w:val="22"/>
        </w:rPr>
        <w:t xml:space="preserve">2. Quels fils conducteurs du parcours cette situation illustre-t-elle ?</w:t>
      </w:r>
    </w:p>
    <w:p>
      <w:pPr>
        <w:spacing w:after="80"/>
      </w:pPr>
      <w:r>
        <w:rPr>
          <w:rFonts w:ascii="Times New Roman" w:cs="Times New Roman" w:eastAsia="Times New Roman" w:hAnsi="Times New Roman"/>
          <w:color w:val="1F2937"/>
          <w:sz w:val="22"/>
          <w:szCs w:val="22"/>
        </w:rPr>
        <w:t xml:space="preserve">3. Que peut observer et documenter l'équipe éducative sans diagnostiquer ?</w:t>
      </w:r>
    </w:p>
    <w:p>
      <w:pPr>
        <w:spacing w:after="80"/>
      </w:pPr>
      <w:r>
        <w:rPr>
          <w:rFonts w:ascii="Times New Roman" w:cs="Times New Roman" w:eastAsia="Times New Roman" w:hAnsi="Times New Roman"/>
          <w:color w:val="1F2937"/>
          <w:sz w:val="22"/>
          <w:szCs w:val="22"/>
        </w:rPr>
        <w:t xml:space="preserve">4. Quelles actions relèvent du chef de service et lesquelles du clinicien ?</w:t>
      </w:r>
    </w:p>
    <w:p>
      <w:pPr>
        <w:spacing w:after="60"/>
      </w:pPr>
      <w:r>
        <w:t xml:space="preserve"/>
      </w:r>
    </w:p>
    <w:p>
      <w:pPr>
        <w:spacing w:after="80"/>
      </w:pPr>
      <w:r>
        <w:rPr>
          <w:rFonts w:ascii="Times New Roman" w:cs="Times New Roman" w:eastAsia="Times New Roman" w:hAnsi="Times New Roman"/>
          <w:b/>
          <w:bCs/>
          <w:color w:val="1F2937"/>
          <w:sz w:val="22"/>
          <w:szCs w:val="22"/>
        </w:rPr>
        <w:t xml:space="preserve">Corrigé — Exercice 2</w:t>
      </w:r>
    </w:p>
    <w:p>
      <w:pPr>
        <w:spacing w:after="60"/>
      </w:pPr>
      <w:r>
        <w:t xml:space="preserve"/>
      </w:r>
    </w:p>
    <w:p>
      <w:pPr>
        <w:spacing w:after="80"/>
      </w:pPr>
      <w:r>
        <w:rPr>
          <w:rFonts w:ascii="Times New Roman" w:cs="Times New Roman" w:eastAsia="Times New Roman" w:hAnsi="Times New Roman"/>
          <w:color w:val="1F2937"/>
          <w:sz w:val="22"/>
          <w:szCs w:val="22"/>
        </w:rPr>
        <w:t xml:space="preserve">1. Tableaux évoqués (sans diagnostic) :</w:t>
      </w:r>
    </w:p>
    <w:p>
      <w:pPr>
        <w:spacing w:after="40"/>
        <w:ind w:left="720"/>
      </w:pPr>
      <w:r>
        <w:rPr>
          <w:rFonts w:ascii="Times New Roman" w:cs="Times New Roman" w:eastAsia="Times New Roman" w:hAnsi="Times New Roman"/>
          <w:color w:val="1F2937"/>
          <w:sz w:val="22"/>
          <w:szCs w:val="22"/>
        </w:rPr>
        <w:t xml:space="preserve">– Épisode dépressif possible (leçon 6) : retrait, dévalorisation, désinvestissement professionnel, perturbation du sommeil. Ces signes ne permettent pas de poser un diagnostic — ils justifient une alerte clinique.</w:t>
      </w:r>
    </w:p>
    <w:p>
      <w:pPr>
        <w:spacing w:after="40"/>
        <w:ind w:left="720"/>
      </w:pPr>
      <w:r>
        <w:rPr>
          <w:rFonts w:ascii="Times New Roman" w:cs="Times New Roman" w:eastAsia="Times New Roman" w:hAnsi="Times New Roman"/>
          <w:color w:val="1F2937"/>
          <w:sz w:val="22"/>
          <w:szCs w:val="22"/>
        </w:rPr>
        <w:t xml:space="preserve">– Perturbation du sommeil (leçon 14) : déambulations nocturnes répétées, cohérentes avec un trouble du sommeil associé ou secondaire.</w:t>
      </w:r>
    </w:p>
    <w:p>
      <w:pPr>
        <w:spacing w:after="40"/>
        <w:ind w:left="720"/>
      </w:pPr>
      <w:r>
        <w:rPr>
          <w:rFonts w:ascii="Times New Roman" w:cs="Times New Roman" w:eastAsia="Times New Roman" w:hAnsi="Times New Roman"/>
          <w:color w:val="1F2937"/>
          <w:sz w:val="22"/>
          <w:szCs w:val="22"/>
        </w:rPr>
        <w:t xml:space="preserve">– Usage de cannabis (leçon 11) : signalé par un pair — à documenter avec prudence (ouï-dire). Si confirmé, l'usage peut contribuer à aggraver les signes thymiques et cognitifs.</w:t>
      </w:r>
    </w:p>
    <w:p>
      <w:pPr>
        <w:spacing w:after="40"/>
        <w:ind w:left="720"/>
      </w:pPr>
      <w:r>
        <w:rPr>
          <w:rFonts w:ascii="Times New Roman" w:cs="Times New Roman" w:eastAsia="Times New Roman" w:hAnsi="Times New Roman"/>
          <w:color w:val="1F2937"/>
          <w:sz w:val="22"/>
          <w:szCs w:val="22"/>
        </w:rPr>
        <w:t xml:space="preserve">– Contexte de handicap psychique (leçon 16) : le tableau se lit dans ce cadre. Le retrait et les propos de dévalorisation peuvent signaler une décompensation ou être amplifiés par les effets du handicap lui-même.</w:t>
      </w:r>
    </w:p>
    <w:p>
      <w:pPr>
        <w:spacing w:after="60"/>
      </w:pPr>
      <w:r>
        <w:t xml:space="preserve"/>
      </w:r>
    </w:p>
    <w:p>
      <w:pPr>
        <w:spacing w:after="80"/>
      </w:pPr>
      <w:r>
        <w:rPr>
          <w:rFonts w:ascii="Times New Roman" w:cs="Times New Roman" w:eastAsia="Times New Roman" w:hAnsi="Times New Roman"/>
          <w:color w:val="1F2937"/>
          <w:sz w:val="22"/>
          <w:szCs w:val="22"/>
        </w:rPr>
        <w:t xml:space="preserve">2. Fils conducteurs illustrés :</w:t>
      </w:r>
    </w:p>
    <w:p>
      <w:pPr>
        <w:spacing w:after="40"/>
        <w:ind w:left="720"/>
      </w:pPr>
      <w:r>
        <w:rPr>
          <w:rFonts w:ascii="Times New Roman" w:cs="Times New Roman" w:eastAsia="Times New Roman" w:hAnsi="Times New Roman"/>
          <w:color w:val="1F2937"/>
          <w:sz w:val="22"/>
          <w:szCs w:val="22"/>
        </w:rPr>
        <w:t xml:space="preserve">– Vulnérabilité-stress : une vulnérabilité existante (handicap psychique) + des facteurs de stress (cannabis, peut-être événement de vie non identifié) + une prise en charge discontinue (8 mois sans psychiatre).</w:t>
      </w:r>
    </w:p>
    <w:p>
      <w:pPr>
        <w:spacing w:after="40"/>
        <w:ind w:left="720"/>
      </w:pPr>
      <w:r>
        <w:rPr>
          <w:rFonts w:ascii="Times New Roman" w:cs="Times New Roman" w:eastAsia="Times New Roman" w:hAnsi="Times New Roman"/>
          <w:color w:val="1F2937"/>
          <w:sz w:val="22"/>
          <w:szCs w:val="22"/>
        </w:rPr>
        <w:t xml:space="preserve">– Comorbidités multiples : handicap + signes thymiques + troubles du sommeil + usage de substance → intrication typique des personnes accompagnées en ESSMS.</w:t>
      </w:r>
    </w:p>
    <w:p>
      <w:pPr>
        <w:spacing w:after="40"/>
        <w:ind w:left="720"/>
      </w:pPr>
      <w:r>
        <w:rPr>
          <w:rFonts w:ascii="Times New Roman" w:cs="Times New Roman" w:eastAsia="Times New Roman" w:hAnsi="Times New Roman"/>
          <w:color w:val="1F2937"/>
          <w:sz w:val="22"/>
          <w:szCs w:val="22"/>
        </w:rPr>
        <w:t xml:space="preserve">– Rétablissement menacé : le désinvestissement de l'ESAT signale un retrait du « faire » — un levier central du rétablissement (leçon 18).</w:t>
      </w:r>
    </w:p>
    <w:p>
      <w:pPr>
        <w:spacing w:after="60"/>
      </w:pPr>
      <w:r>
        <w:t xml:space="preserve"/>
      </w:r>
    </w:p>
    <w:p>
      <w:pPr>
        <w:spacing w:after="80"/>
      </w:pPr>
      <w:r>
        <w:rPr>
          <w:rFonts w:ascii="Times New Roman" w:cs="Times New Roman" w:eastAsia="Times New Roman" w:hAnsi="Times New Roman"/>
          <w:color w:val="1F2937"/>
          <w:sz w:val="22"/>
          <w:szCs w:val="22"/>
        </w:rPr>
        <w:t xml:space="preserve">3. Ce que l'équipe peut observer et documenter sans diagnostiquer :</w:t>
      </w:r>
    </w:p>
    <w:p>
      <w:pPr>
        <w:spacing w:after="40"/>
        <w:ind w:left="720"/>
      </w:pPr>
      <w:r>
        <w:rPr>
          <w:rFonts w:ascii="Times New Roman" w:cs="Times New Roman" w:eastAsia="Times New Roman" w:hAnsi="Times New Roman"/>
          <w:color w:val="1F2937"/>
          <w:sz w:val="22"/>
          <w:szCs w:val="22"/>
        </w:rPr>
        <w:t xml:space="preserve">– Comportements précis et datés : fréquence des retraits, horaires des déambulations, mots exacts des propos de dévalorisation (notés au fil de l'eau dans le dossier, pas reformulés).</w:t>
      </w:r>
    </w:p>
    <w:p>
      <w:pPr>
        <w:spacing w:after="40"/>
        <w:ind w:left="720"/>
      </w:pPr>
      <w:r>
        <w:rPr>
          <w:rFonts w:ascii="Times New Roman" w:cs="Times New Roman" w:eastAsia="Times New Roman" w:hAnsi="Times New Roman"/>
          <w:color w:val="1F2937"/>
          <w:sz w:val="22"/>
          <w:szCs w:val="22"/>
        </w:rPr>
        <w:t xml:space="preserve">– Modifications par rapport à la baseline : Mehdi participait-il aux activités avant ? Depuis quand le retrait a-t-il commencé ? Une chronologie aide le clinicien.</w:t>
      </w:r>
    </w:p>
    <w:p>
      <w:pPr>
        <w:spacing w:after="40"/>
        <w:ind w:left="720"/>
      </w:pPr>
      <w:r>
        <w:rPr>
          <w:rFonts w:ascii="Times New Roman" w:cs="Times New Roman" w:eastAsia="Times New Roman" w:hAnsi="Times New Roman"/>
          <w:color w:val="1F2937"/>
          <w:sz w:val="22"/>
          <w:szCs w:val="22"/>
        </w:rPr>
        <w:t xml:space="preserve">– Signes fonctionnels observables : appétit, fatigue apparente, contact visuel, tonalité affective lors des échanges.</w:t>
      </w:r>
    </w:p>
    <w:p>
      <w:pPr>
        <w:spacing w:after="40"/>
        <w:ind w:left="720"/>
      </w:pPr>
      <w:r>
        <w:rPr>
          <w:rFonts w:ascii="Times New Roman" w:cs="Times New Roman" w:eastAsia="Times New Roman" w:hAnsi="Times New Roman"/>
          <w:color w:val="1F2937"/>
          <w:sz w:val="22"/>
          <w:szCs w:val="22"/>
        </w:rPr>
        <w:t xml:space="preserve">– Information relayée par les pairs : à consigner comme telle (« signalé par X »), pas comme un fait établi.</w:t>
      </w:r>
    </w:p>
    <w:p>
      <w:pPr>
        <w:spacing w:after="60"/>
      </w:pPr>
      <w:r>
        <w:t xml:space="preserve"/>
      </w:r>
    </w:p>
    <w:p>
      <w:pPr>
        <w:spacing w:after="80"/>
      </w:pPr>
      <w:r>
        <w:rPr>
          <w:rFonts w:ascii="Times New Roman" w:cs="Times New Roman" w:eastAsia="Times New Roman" w:hAnsi="Times New Roman"/>
          <w:color w:val="1F2937"/>
          <w:sz w:val="22"/>
          <w:szCs w:val="22"/>
        </w:rPr>
        <w:t xml:space="preserve">4. Actions selon le rôle :</w:t>
      </w:r>
    </w:p>
    <w:p>
      <w:pPr>
        <w:spacing w:after="40"/>
        <w:ind w:left="720"/>
      </w:pPr>
      <w:r>
        <w:rPr>
          <w:rFonts w:ascii="Times New Roman" w:cs="Times New Roman" w:eastAsia="Times New Roman" w:hAnsi="Times New Roman"/>
          <w:color w:val="1F2937"/>
          <w:sz w:val="22"/>
          <w:szCs w:val="22"/>
        </w:rPr>
        <w:t xml:space="preserve">– Chef de service : réunion pluridisciplinaire de synthèse, alerte formalisée au psychiatre référent (8 mois sans contact est un signal), vérification que le médecin traitant est informé, contact avec la famille si consentement de Mehdi.</w:t>
      </w:r>
    </w:p>
    <w:p>
      <w:pPr>
        <w:spacing w:after="40"/>
        <w:ind w:left="720"/>
      </w:pPr>
      <w:r>
        <w:rPr>
          <w:rFonts w:ascii="Times New Roman" w:cs="Times New Roman" w:eastAsia="Times New Roman" w:hAnsi="Times New Roman"/>
          <w:color w:val="1F2937"/>
          <w:sz w:val="22"/>
          <w:szCs w:val="22"/>
        </w:rPr>
        <w:t xml:space="preserve">– Clinicien : évaluation psychiatrique, ajustement éventuel du traitement, évaluation du risque suicidaire (les propos « tout le monde s'en foutrait » méritent une exploration clinique directe — leçon 15).</w:t>
      </w:r>
    </w:p>
    <w:p>
      <w:pPr>
        <w:shd w:fill="F5F7FA" w:val="clear"/>
        <w:spacing w:after="100" w:before="100"/>
        <w:ind w:left="480" w:right="480"/>
      </w:pPr>
      <w:r>
        <w:rPr>
          <w:rFonts w:ascii="Times New Roman" w:cs="Times New Roman" w:eastAsia="Times New Roman" w:hAnsi="Times New Roman"/>
          <w:i/>
          <w:iCs/>
          <w:color w:val="1B3A6B"/>
          <w:sz w:val="22"/>
          <w:szCs w:val="22"/>
        </w:rPr>
        <w:t xml:space="preserve">Règle de conduite (posture professionnelle, pas recommandation clinique) : les propos « tout le monde s'en foutrait » ne sont pas à prendre à la légère ni à banaliser. Ils justifient, a minima, un entretien informel bienveillant et une remontée à l'équipe soignante.</w:t>
      </w:r>
    </w:p>
    <w:p>
      <w:pPr>
        <w:spacing w:after="60"/>
      </w:pPr>
      <w:r>
        <w:t xml:space="preserve"/>
      </w:r>
    </w:p>
    <w:p>
      <w:pPr>
        <w:spacing w:after="80" w:before="200"/>
      </w:pPr>
      <w:r>
        <w:rPr>
          <w:rFonts w:ascii="Times New Roman" w:cs="Times New Roman" w:eastAsia="Times New Roman" w:hAnsi="Times New Roman"/>
          <w:b/>
          <w:bCs/>
          <w:color w:val="1F2937"/>
          <w:sz w:val="26"/>
          <w:szCs w:val="26"/>
        </w:rPr>
        <w:t xml:space="preserve">Exercice 3 — Tableau de diagnostic différentiel croisé</w:t>
      </w:r>
    </w:p>
    <w:p>
      <w:pPr>
        <w:spacing w:after="80"/>
      </w:pPr>
      <w:r>
        <w:rPr>
          <w:rFonts w:ascii="Times New Roman" w:cs="Times New Roman" w:eastAsia="Times New Roman" w:hAnsi="Times New Roman"/>
          <w:color w:val="1F2937"/>
          <w:sz w:val="22"/>
          <w:szCs w:val="22"/>
        </w:rPr>
        <w:t xml:space="preserve">Trois confusions fréquentes en contexte ESSMS, issues du parcours. Complète le tableau en identifiant ce qui distingue chaque paire, du point de vue de l'observation éducative (pas du diagnostic).</w:t>
      </w:r>
    </w:p>
    <w:p>
      <w:pPr>
        <w:spacing w:after="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5"/>
        <w:gridCol w:w="2375"/>
        <w:gridCol w:w="2375"/>
        <w:gridCol w:w="2375"/>
      </w:tblGrid>
      <w:tr>
        <w:tc>
          <w:tcPr>
            <w:shd w:fill="1B3A6B" w:val="clear"/>
            <w:tcMar>
              <w:top w:type="dxa" w:w="60"/>
              <w:left w:type="dxa" w:w="100"/>
              <w:bottom w:type="dxa" w:w="60"/>
              <w:right w:type="dxa" w:w="100"/>
            </w:tcMar>
          </w:tcPr>
          <w:p>
            <w:pPr>
              <w:spacing w:after="60" w:before="60"/>
            </w:pPr>
            <w:r>
              <w:rPr>
                <w:rFonts w:ascii="Times New Roman" w:cs="Times New Roman" w:eastAsia="Times New Roman" w:hAnsi="Times New Roman"/>
                <w:b/>
                <w:bCs/>
                <w:color w:val="FFFFFF"/>
                <w:sz w:val="20"/>
                <w:szCs w:val="20"/>
              </w:rPr>
              <w:t xml:space="preserve">Confusion fréquente</w:t>
            </w:r>
          </w:p>
        </w:tc>
        <w:tc>
          <w:tcPr>
            <w:shd w:fill="1B3A6B" w:val="clear"/>
            <w:tcMar>
              <w:top w:type="dxa" w:w="60"/>
              <w:left w:type="dxa" w:w="100"/>
              <w:bottom w:type="dxa" w:w="60"/>
              <w:right w:type="dxa" w:w="100"/>
            </w:tcMar>
          </w:tcPr>
          <w:p>
            <w:pPr>
              <w:spacing w:after="60" w:before="60"/>
            </w:pPr>
            <w:r>
              <w:rPr>
                <w:rFonts w:ascii="Times New Roman" w:cs="Times New Roman" w:eastAsia="Times New Roman" w:hAnsi="Times New Roman"/>
                <w:b/>
                <w:bCs/>
                <w:color w:val="FFFFFF"/>
                <w:sz w:val="20"/>
                <w:szCs w:val="20"/>
              </w:rPr>
              <w:t xml:space="preserve">Tableau A</w:t>
            </w:r>
          </w:p>
        </w:tc>
        <w:tc>
          <w:tcPr>
            <w:shd w:fill="1B3A6B" w:val="clear"/>
            <w:tcMar>
              <w:top w:type="dxa" w:w="60"/>
              <w:left w:type="dxa" w:w="100"/>
              <w:bottom w:type="dxa" w:w="60"/>
              <w:right w:type="dxa" w:w="100"/>
            </w:tcMar>
          </w:tcPr>
          <w:p>
            <w:pPr>
              <w:spacing w:after="60" w:before="60"/>
            </w:pPr>
            <w:r>
              <w:rPr>
                <w:rFonts w:ascii="Times New Roman" w:cs="Times New Roman" w:eastAsia="Times New Roman" w:hAnsi="Times New Roman"/>
                <w:b/>
                <w:bCs/>
                <w:color w:val="FFFFFF"/>
                <w:sz w:val="20"/>
                <w:szCs w:val="20"/>
              </w:rPr>
              <w:t xml:space="preserve">Tableau B</w:t>
            </w:r>
          </w:p>
        </w:tc>
        <w:tc>
          <w:tcPr>
            <w:shd w:fill="1B3A6B" w:val="clear"/>
            <w:tcMar>
              <w:top w:type="dxa" w:w="60"/>
              <w:left w:type="dxa" w:w="100"/>
              <w:bottom w:type="dxa" w:w="60"/>
              <w:right w:type="dxa" w:w="100"/>
            </w:tcMar>
          </w:tcPr>
          <w:p>
            <w:pPr>
              <w:spacing w:after="60" w:before="60"/>
            </w:pPr>
            <w:r>
              <w:rPr>
                <w:rFonts w:ascii="Times New Roman" w:cs="Times New Roman" w:eastAsia="Times New Roman" w:hAnsi="Times New Roman"/>
                <w:b/>
                <w:bCs/>
                <w:color w:val="FFFFFF"/>
                <w:sz w:val="20"/>
                <w:szCs w:val="20"/>
              </w:rPr>
              <w:t xml:space="preserve">Repère de différenciation (observation éducative)</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Dépression vs retrait habituel du handicap psychique</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Épisode dépressif (leçon 6) : modification notable par rapport à une baseline, signes végétatifs (sommeil, appétit), propos de dévalorisation ou désespoir</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Retrait lié au handicap (leçon 16) : modalité stable et ancienne, pas de rupture nette avec la baseline</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Repère clé : le CHANGEMENT dans le temps. Une modification récente et durable d'une baseline connue oriente vers la dépression.</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Dissociation traumatique vs épisode psychotique</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Dissociation (leçon 12) : souvent lié à un contexte stressant ou un déclencheur identifiable (sensori-moteur, souvenir), durée brève, retour rapide à l'état de base</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Épisode psychotique (leçon 7) : apparition plus progressive, discours désorganisé, idées délirantes persistantes, pas nécessairement de déclencheur situationnel</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Repère clé : le CONTEXTE DÉCLENCHEUR et la DURÉE. La dissociation se lève souvent quand le stimulus disparaît. L'épisode psychotique persiste.</w:t>
            </w:r>
          </w:p>
        </w:tc>
      </w:tr>
      <w:tr>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Borderline vs réaction adaptative à une crise</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Trouble borderline (leçon 8) : instabilité relationnelle, identitaire et émotionnelle trans-situationnelle, persistante dans des contextes variés</w:t>
            </w:r>
          </w:p>
        </w:tc>
        <w:tc>
          <w:tcPr>
            <w:shd w:fill="FFFFFF"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Réaction adaptative (non pathologique) : réponse émotionnelle intense mais circonscrite à un événement précis et temporaire</w:t>
            </w:r>
          </w:p>
        </w:tc>
        <w:tc>
          <w:tcPr>
            <w:shd w:fill="F5F7FA" w:val="clear"/>
            <w:tcMar>
              <w:top w:type="dxa" w:w="60"/>
              <w:left w:type="dxa" w:w="100"/>
              <w:bottom w:type="dxa" w:w="60"/>
              <w:right w:type="dxa" w:w="100"/>
            </w:tcMar>
          </w:tcPr>
          <w:p>
            <w:pPr>
              <w:spacing w:after="60" w:before="60"/>
            </w:pPr>
            <w:r>
              <w:rPr>
                <w:rFonts w:ascii="Times New Roman" w:cs="Times New Roman" w:eastAsia="Times New Roman" w:hAnsi="Times New Roman"/>
                <w:b w:val="false"/>
                <w:bCs w:val="false"/>
                <w:color w:val="1F2937"/>
                <w:sz w:val="20"/>
                <w:szCs w:val="20"/>
              </w:rPr>
              <w:t xml:space="preserve">Repère clé : la TRANSVERSALITÉ et la PERSISTANCE. Si les comportements traversent toutes les situations et les années, ils signalent un tableau de personnalité. Si liés à un événement, ils peuvent être adaptatifs.</w:t>
            </w:r>
          </w:p>
        </w:tc>
      </w:tr>
    </w:tbl>
    <w:p>
      <w:pPr>
        <w:spacing w:after="60"/>
      </w:pPr>
      <w:r>
        <w:t xml:space="preserve"/>
      </w:r>
    </w:p>
    <w:p>
      <w:pPr>
        <w:shd w:fill="F5F7FA" w:val="clear"/>
        <w:spacing w:after="100" w:before="100"/>
        <w:ind w:left="480" w:right="480"/>
      </w:pPr>
      <w:r>
        <w:rPr>
          <w:rFonts w:ascii="Times New Roman" w:cs="Times New Roman" w:eastAsia="Times New Roman" w:hAnsi="Times New Roman"/>
          <w:i/>
          <w:iCs/>
          <w:color w:val="1B3A6B"/>
          <w:sz w:val="22"/>
          <w:szCs w:val="22"/>
        </w:rPr>
        <w:t xml:space="preserve">Ces repères ne permettent pas de poser un diagnostic — ils aident à décrire ce qu'on observe de façon plus précise pour le transmettre au clinicien.</w:t>
      </w:r>
    </w:p>
    <w:p>
      <w:pPr>
        <w:spacing w:after="60"/>
      </w:pPr>
      <w:r>
        <w:t xml:space="preserve"/>
      </w:r>
    </w:p>
    <w:p>
      <w:pPr>
        <w:spacing w:after="120" w:before="320"/>
      </w:pPr>
      <w:r>
        <w:rPr>
          <w:rFonts w:ascii="Times New Roman" w:cs="Times New Roman" w:eastAsia="Times New Roman" w:hAnsi="Times New Roman"/>
          <w:b/>
          <w:bCs/>
          <w:color w:val="1B3A6B"/>
          <w:sz w:val="30"/>
          <w:szCs w:val="30"/>
        </w:rPr>
        <w:t xml:space="preserve">🎯 Challenge — Rédiger une fiche repère pour l'équipe</w:t>
      </w:r>
    </w:p>
    <w:p>
      <w:pPr>
        <w:spacing w:after="80"/>
      </w:pPr>
      <w:r>
        <w:rPr>
          <w:rFonts w:ascii="Times New Roman" w:cs="Times New Roman" w:eastAsia="Times New Roman" w:hAnsi="Times New Roman"/>
          <w:color w:val="1F2937"/>
          <w:sz w:val="22"/>
          <w:szCs w:val="22"/>
        </w:rPr>
        <w:t xml:space="preserve">Rédige une fiche de 10 lignes maximum, intitulée « Ce que la psychopathologie change à notre regard », destinée à une équipe d'AES, de moniteurs-éducateurs et d'éducateurs spécialisés.</w:t>
      </w:r>
    </w:p>
    <w:p>
      <w:pPr>
        <w:spacing w:after="80"/>
      </w:pPr>
      <w:r>
        <w:rPr>
          <w:rFonts w:ascii="Times New Roman" w:cs="Times New Roman" w:eastAsia="Times New Roman" w:hAnsi="Times New Roman"/>
          <w:color w:val="1F2937"/>
          <w:sz w:val="22"/>
          <w:szCs w:val="22"/>
        </w:rPr>
        <w:t xml:space="preserve">La fiche doit :</w:t>
      </w:r>
    </w:p>
    <w:p>
      <w:pPr>
        <w:spacing w:after="60"/>
        <w:ind w:left="360"/>
      </w:pPr>
      <w:r>
        <w:rPr>
          <w:rFonts w:ascii="Times New Roman" w:cs="Times New Roman" w:eastAsia="Times New Roman" w:hAnsi="Times New Roman"/>
          <w:color w:val="1F2937"/>
          <w:sz w:val="22"/>
          <w:szCs w:val="22"/>
        </w:rPr>
        <w:t xml:space="preserve">• Identifier 3 repères d'observation utilisables au quotidien</w:t>
      </w:r>
    </w:p>
    <w:p>
      <w:pPr>
        <w:spacing w:after="60"/>
        <w:ind w:left="360"/>
      </w:pPr>
      <w:r>
        <w:rPr>
          <w:rFonts w:ascii="Times New Roman" w:cs="Times New Roman" w:eastAsia="Times New Roman" w:hAnsi="Times New Roman"/>
          <w:color w:val="1F2937"/>
          <w:sz w:val="22"/>
          <w:szCs w:val="22"/>
        </w:rPr>
        <w:t xml:space="preserve">• Clarifier ce que l'équipe peut faire et ce qui relève du clinicien</w:t>
      </w:r>
    </w:p>
    <w:p>
      <w:pPr>
        <w:spacing w:after="60"/>
        <w:ind w:left="360"/>
      </w:pPr>
      <w:r>
        <w:rPr>
          <w:rFonts w:ascii="Times New Roman" w:cs="Times New Roman" w:eastAsia="Times New Roman" w:hAnsi="Times New Roman"/>
          <w:color w:val="1F2937"/>
          <w:sz w:val="22"/>
          <w:szCs w:val="22"/>
        </w:rPr>
        <w:t xml:space="preserve">• Adopter un langage accessible sans être réducteur ni stigmatisant</w:t>
      </w:r>
    </w:p>
    <w:p>
      <w:pPr>
        <w:spacing w:after="80"/>
      </w:pPr>
      <w:r>
        <w:rPr>
          <w:rFonts w:ascii="Times New Roman" w:cs="Times New Roman" w:eastAsia="Times New Roman" w:hAnsi="Times New Roman"/>
          <w:color w:val="1F2937"/>
          <w:sz w:val="22"/>
          <w:szCs w:val="22"/>
        </w:rPr>
        <w:t xml:space="preserve">Prends le temps de l'écrire avant de lire le corrigé.</w:t>
      </w:r>
    </w:p>
    <w:p>
      <w:pPr>
        <w:spacing w:after="60"/>
      </w:pPr>
      <w:r>
        <w:t xml:space="preserve"/>
      </w:r>
    </w:p>
    <w:p>
      <w:pPr>
        <w:spacing w:after="80"/>
      </w:pPr>
      <w:r>
        <w:rPr>
          <w:rFonts w:ascii="Times New Roman" w:cs="Times New Roman" w:eastAsia="Times New Roman" w:hAnsi="Times New Roman"/>
          <w:b/>
          <w:bCs/>
          <w:color w:val="1F2937"/>
          <w:sz w:val="22"/>
          <w:szCs w:val="22"/>
        </w:rPr>
        <w:t xml:space="preserve">Corrigé commenté — Fiche repère</w:t>
      </w:r>
    </w:p>
    <w:p>
      <w:pPr>
        <w:spacing w:after="60"/>
      </w:pPr>
      <w:r>
        <w:t xml:space="preserve"/>
      </w:r>
    </w:p>
    <w:p>
      <w:pPr>
        <w:spacing w:after="80"/>
      </w:pPr>
      <w:r>
        <w:rPr>
          <w:rFonts w:ascii="Times New Roman" w:cs="Times New Roman" w:eastAsia="Times New Roman" w:hAnsi="Times New Roman"/>
          <w:b/>
          <w:bCs/>
          <w:color w:val="1F2937"/>
          <w:sz w:val="22"/>
          <w:szCs w:val="22"/>
        </w:rPr>
        <w:t xml:space="preserve">Ce que la psychopathologie change à notre regard</w:t>
      </w:r>
    </w:p>
    <w:p>
      <w:pPr>
        <w:spacing w:after="60"/>
      </w:pPr>
      <w:r>
        <w:t xml:space="preserve"/>
      </w:r>
    </w:p>
    <w:p>
      <w:pPr>
        <w:spacing w:after="80"/>
      </w:pPr>
      <w:r>
        <w:rPr>
          <w:rFonts w:ascii="Times New Roman" w:cs="Times New Roman" w:eastAsia="Times New Roman" w:hAnsi="Times New Roman"/>
          <w:color w:val="1F2937"/>
          <w:sz w:val="22"/>
          <w:szCs w:val="22"/>
        </w:rPr>
        <w:t xml:space="preserve">1. Observer, c'est décrire — pas classer.</w:t>
      </w:r>
    </w:p>
    <w:p>
      <w:pPr>
        <w:spacing w:after="40"/>
        <w:ind w:left="720"/>
      </w:pPr>
      <w:r>
        <w:rPr>
          <w:rFonts w:ascii="Times New Roman" w:cs="Times New Roman" w:eastAsia="Times New Roman" w:hAnsi="Times New Roman"/>
          <w:color w:val="1F2937"/>
          <w:sz w:val="22"/>
          <w:szCs w:val="22"/>
        </w:rPr>
        <w:t xml:space="preserve">– Note ce que tu vois (comportements, mots exacts, durée, fréquence), pas ce que tu en déduis. « Il est déprimé » n'est pas une observation ; « depuis lundi, il refuse le repas du soir et répète qu'il ne sert à rien » en est une.</w:t>
      </w:r>
    </w:p>
    <w:p>
      <w:pPr>
        <w:spacing w:after="60"/>
      </w:pPr>
      <w:r>
        <w:t xml:space="preserve"/>
      </w:r>
    </w:p>
    <w:p>
      <w:pPr>
        <w:spacing w:after="80"/>
      </w:pPr>
      <w:r>
        <w:rPr>
          <w:rFonts w:ascii="Times New Roman" w:cs="Times New Roman" w:eastAsia="Times New Roman" w:hAnsi="Times New Roman"/>
          <w:color w:val="1F2937"/>
          <w:sz w:val="22"/>
          <w:szCs w:val="22"/>
        </w:rPr>
        <w:t xml:space="preserve">2. Tout changement par rapport à la baseline mérite d'être documenté.</w:t>
      </w:r>
    </w:p>
    <w:p>
      <w:pPr>
        <w:spacing w:after="40"/>
        <w:ind w:left="720"/>
      </w:pPr>
      <w:r>
        <w:rPr>
          <w:rFonts w:ascii="Times New Roman" w:cs="Times New Roman" w:eastAsia="Times New Roman" w:hAnsi="Times New Roman"/>
          <w:color w:val="1F2937"/>
          <w:sz w:val="22"/>
          <w:szCs w:val="22"/>
        </w:rPr>
        <w:t xml:space="preserve">– La continuité de la présence éducative donne un avantage que le clinicien n'a pas : tu connais la personne dans le temps. Un changement, même discret, est une information clinique.</w:t>
      </w:r>
    </w:p>
    <w:p>
      <w:pPr>
        <w:spacing w:after="60"/>
      </w:pPr>
      <w:r>
        <w:t xml:space="preserve"/>
      </w:r>
    </w:p>
    <w:p>
      <w:pPr>
        <w:spacing w:after="80"/>
      </w:pPr>
      <w:r>
        <w:rPr>
          <w:rFonts w:ascii="Times New Roman" w:cs="Times New Roman" w:eastAsia="Times New Roman" w:hAnsi="Times New Roman"/>
          <w:color w:val="1F2937"/>
          <w:sz w:val="22"/>
          <w:szCs w:val="22"/>
        </w:rPr>
        <w:t xml:space="preserve">3. Un tableau clinique éclaire une vulnérabilité — il ne définit pas une personne.</w:t>
      </w:r>
    </w:p>
    <w:p>
      <w:pPr>
        <w:spacing w:after="40"/>
        <w:ind w:left="720"/>
      </w:pPr>
      <w:r>
        <w:rPr>
          <w:rFonts w:ascii="Times New Roman" w:cs="Times New Roman" w:eastAsia="Times New Roman" w:hAnsi="Times New Roman"/>
          <w:color w:val="1F2937"/>
          <w:sz w:val="22"/>
          <w:szCs w:val="22"/>
        </w:rPr>
        <w:t xml:space="preserve">– Connaître le tableau de quelqu'un permet d'adapter l'approche (stimulation, rythme, seuil de tolérance à la frustration). Ce n'est pas une étiquette : c'est un outil de compréhension.</w:t>
      </w:r>
    </w:p>
    <w:p>
      <w:pPr>
        <w:spacing w:after="60"/>
      </w:pPr>
      <w:r>
        <w:t xml:space="preserve"/>
      </w:r>
    </w:p>
    <w:p>
      <w:pPr>
        <w:spacing w:after="80"/>
      </w:pPr>
      <w:r>
        <w:rPr>
          <w:rFonts w:ascii="Times New Roman" w:cs="Times New Roman" w:eastAsia="Times New Roman" w:hAnsi="Times New Roman"/>
          <w:color w:val="1F2937"/>
          <w:sz w:val="22"/>
          <w:szCs w:val="22"/>
        </w:rPr>
        <w:t xml:space="preserve">Ce que l'équipe éducative fait : observer, décrire, documenter, transmettre au clinicien, adapter l'accompagnement.</w:t>
      </w:r>
    </w:p>
    <w:p>
      <w:pPr>
        <w:spacing w:after="80"/>
      </w:pPr>
      <w:r>
        <w:rPr>
          <w:rFonts w:ascii="Times New Roman" w:cs="Times New Roman" w:eastAsia="Times New Roman" w:hAnsi="Times New Roman"/>
          <w:color w:val="1F2937"/>
          <w:sz w:val="22"/>
          <w:szCs w:val="22"/>
        </w:rPr>
        <w:t xml:space="preserve">Ce que l'équipe éducative ne fait pas : diagnostiquer, interpréter les signes comme symptômes, modifier un traitement médicamenteux, gérer seule une situation de crise psychiatrique.</w:t>
      </w:r>
    </w:p>
    <w:p>
      <w:pPr>
        <w:spacing w:after="60"/>
      </w:pPr>
      <w:r>
        <w:t xml:space="preserve"/>
      </w:r>
    </w:p>
    <w:p>
      <w:pPr>
        <w:shd w:fill="F5F7FA" w:val="clear"/>
        <w:spacing w:after="100" w:before="100"/>
        <w:ind w:left="480" w:right="480"/>
      </w:pPr>
      <w:r>
        <w:rPr>
          <w:rFonts w:ascii="Times New Roman" w:cs="Times New Roman" w:eastAsia="Times New Roman" w:hAnsi="Times New Roman"/>
          <w:i/>
          <w:iCs/>
          <w:color w:val="1B3A6B"/>
          <w:sz w:val="22"/>
          <w:szCs w:val="22"/>
        </w:rPr>
        <w:t xml:space="preserve">Cette fiche est une règle de conduite professionnelle partagée, fondée sur le cadre déontologique du secteur médico-social — pas une recommandation clinique. Le diagnostic reste l'acte réservé aux médecins psychiatres et aux psychologues cliniciens.</w:t>
      </w:r>
    </w:p>
    <w:p>
      <w:pPr>
        <w:spacing w:after="60"/>
      </w:pPr>
      <w:r>
        <w:t xml:space="preserve"/>
      </w:r>
    </w:p>
    <w:p>
      <w:pPr>
        <w:spacing w:after="120" w:before="320"/>
      </w:pPr>
      <w:r>
        <w:rPr>
          <w:rFonts w:ascii="Times New Roman" w:cs="Times New Roman" w:eastAsia="Times New Roman" w:hAnsi="Times New Roman"/>
          <w:b/>
          <w:bCs/>
          <w:color w:val="1B3A6B"/>
          <w:sz w:val="30"/>
          <w:szCs w:val="30"/>
        </w:rPr>
        <w:t xml:space="preserve">🌉 Pont pro</w:t>
      </w:r>
    </w:p>
    <w:p>
      <w:pPr>
        <w:spacing w:after="80"/>
      </w:pPr>
      <w:r>
        <w:rPr>
          <w:rFonts w:ascii="Times New Roman" w:cs="Times New Roman" w:eastAsia="Times New Roman" w:hAnsi="Times New Roman"/>
          <w:color w:val="1F2937"/>
          <w:sz w:val="22"/>
          <w:szCs w:val="22"/>
        </w:rPr>
        <w:t xml:space="preserve">Vingt leçons de psychopathologie n'ont pas fait de toi un clinicien. Elles ont mis en mots ce que beaucoup de professionnels expérimentés font intuitivement : observer sans projeter, décrire sans étiqueter, transmettre sans dramatiser.</w:t>
      </w:r>
    </w:p>
    <w:p>
      <w:pPr>
        <w:spacing w:after="80"/>
      </w:pPr>
      <w:r>
        <w:rPr>
          <w:rFonts w:ascii="Times New Roman" w:cs="Times New Roman" w:eastAsia="Times New Roman" w:hAnsi="Times New Roman"/>
          <w:color w:val="1F2937"/>
          <w:sz w:val="22"/>
          <w:szCs w:val="22"/>
        </w:rPr>
        <w:t xml:space="preserve">En foyer d'hébergement, l'équipe éducative n'est pas là pour poser des diagnostics — elle est là pour maintenir une présence qualifiée, attentive, documentée, qui rend le soin possible. La psychopathologie clinique est le cadre de référence qui permet de nommer ce que l'on voit, de le transmettre au clinicien dans un langage partagé, et d'adapter l'accompagnement sans improviser.</w:t>
      </w:r>
    </w:p>
    <w:p>
      <w:pPr>
        <w:spacing w:after="80"/>
      </w:pPr>
      <w:r>
        <w:rPr>
          <w:rFonts w:ascii="Times New Roman" w:cs="Times New Roman" w:eastAsia="Times New Roman" w:hAnsi="Times New Roman"/>
          <w:color w:val="1F2937"/>
          <w:sz w:val="22"/>
          <w:szCs w:val="22"/>
        </w:rPr>
        <w:t xml:space="preserve">Le « pont pro » de ce bilan tient en une phrase : savoir à quoi ressemble un épisode dépressif, un état dissociatif ou une décompensation psychotique, c'est ce qui permet à une équipe de ne pas confondre « c'est son caractère » avec « c'est un signe qui appelle le clinicien ».</w:t>
      </w:r>
    </w:p>
    <w:p>
      <w:pPr>
        <w:spacing w:after="60"/>
      </w:pPr>
      <w:r>
        <w:t xml:space="preserve"/>
      </w:r>
    </w:p>
    <w:p>
      <w:pPr>
        <w:spacing w:after="120" w:before="320"/>
      </w:pPr>
      <w:r>
        <w:rPr>
          <w:rFonts w:ascii="Times New Roman" w:cs="Times New Roman" w:eastAsia="Times New Roman" w:hAnsi="Times New Roman"/>
          <w:b/>
          <w:bCs/>
          <w:color w:val="1B3A6B"/>
          <w:sz w:val="30"/>
          <w:szCs w:val="30"/>
        </w:rPr>
        <w:t xml:space="preserve">📚 Ressources pour approfondir</w:t>
      </w:r>
    </w:p>
    <w:p>
      <w:pPr>
        <w:spacing w:after="60"/>
      </w:pPr>
      <w:r>
        <w:t xml:space="preserve"/>
      </w:r>
    </w:p>
    <w:p>
      <w:pPr>
        <w:spacing w:after="80"/>
      </w:pPr>
      <w:r>
        <w:rPr>
          <w:rFonts w:ascii="Times New Roman" w:cs="Times New Roman" w:eastAsia="Times New Roman" w:hAnsi="Times New Roman"/>
          <w:color w:val="1F2937"/>
          <w:sz w:val="22"/>
          <w:szCs w:val="22"/>
        </w:rPr>
        <w:t xml:space="preserve">Sources mobilisées pour ce bilan — toutes testées le 12 octobre 2026 (HTTP 200) :</w:t>
      </w:r>
    </w:p>
    <w:p>
      <w:pPr>
        <w:spacing w:after="60"/>
      </w:pPr>
      <w:r>
        <w:t xml:space="preserve"/>
      </w:r>
    </w:p>
    <w:p>
      <w:pPr>
        <w:spacing w:after="80"/>
      </w:pPr>
      <w:hyperlink w:history="1" r:id="rId3t8rufbsaauglv0x5poqk">
        <w:r>
          <w:rPr>
            <w:rFonts w:ascii="Times New Roman" w:cs="Times New Roman" w:eastAsia="Times New Roman" w:hAnsi="Times New Roman"/>
            <w:color w:val="1155CC"/>
            <w:sz w:val="22"/>
            <w:szCs w:val="22"/>
            <w:u w:val="single"/>
          </w:rPr>
          <w:t xml:space="preserve">OMS — Fiche troubles mentaux (mise à jour 11 septembre 2026)</w:t>
        </w:r>
      </w:hyperlink>
      <w:r>
        <w:rPr>
          <w:rFonts w:ascii="Times New Roman" w:cs="Times New Roman" w:eastAsia="Times New Roman" w:hAnsi="Times New Roman"/>
          <w:color w:val="1F2937"/>
          <w:sz w:val="22"/>
          <w:szCs w:val="22"/>
        </w:rPr>
        <w:t xml:space="preserve"> — Données épidémiologiques mondiales, CIM-11. Référence de rang 1.</w:t>
      </w:r>
    </w:p>
    <w:p>
      <w:pPr>
        <w:spacing w:after="80"/>
      </w:pPr>
      <w:hyperlink w:history="1" r:id="rId-pcuaoz3gz1hrvk9xx5tw">
        <w:r>
          <w:rPr>
            <w:rFonts w:ascii="Times New Roman" w:cs="Times New Roman" w:eastAsia="Times New Roman" w:hAnsi="Times New Roman"/>
            <w:color w:val="1155CC"/>
            <w:sz w:val="22"/>
            <w:szCs w:val="22"/>
            <w:u w:val="single"/>
          </w:rPr>
          <w:t xml:space="preserve">Psycom — Le rétablissement</w:t>
        </w:r>
      </w:hyperlink>
      <w:r>
        <w:rPr>
          <w:rFonts w:ascii="Times New Roman" w:cs="Times New Roman" w:eastAsia="Times New Roman" w:hAnsi="Times New Roman"/>
          <w:color w:val="1F2937"/>
          <w:sz w:val="22"/>
          <w:szCs w:val="22"/>
        </w:rPr>
        <w:t xml:space="preserve"> — Page hub : soins, pair-aidance, accompagnement médico-social, médicaments. Information fiable et accessible.</w:t>
      </w:r>
    </w:p>
    <w:p>
      <w:pPr>
        <w:spacing w:after="80"/>
      </w:pPr>
      <w:hyperlink w:history="1" r:id="rIdolp0fakfapkovodbpcyse">
        <w:r>
          <w:rPr>
            <w:rFonts w:ascii="Times New Roman" w:cs="Times New Roman" w:eastAsia="Times New Roman" w:hAnsi="Times New Roman"/>
            <w:color w:val="1155CC"/>
            <w:sz w:val="22"/>
            <w:szCs w:val="22"/>
            <w:u w:val="single"/>
          </w:rPr>
          <w:t xml:space="preserve">Psycom — S'informer en santé mentale</w:t>
        </w:r>
      </w:hyperlink>
      <w:r>
        <w:rPr>
          <w:rFonts w:ascii="Times New Roman" w:cs="Times New Roman" w:eastAsia="Times New Roman" w:hAnsi="Times New Roman"/>
          <w:color w:val="1F2937"/>
          <w:sz w:val="22"/>
          <w:szCs w:val="22"/>
        </w:rPr>
        <w:t xml:space="preserve"> — Portail de référence : troubles, droits, stigmatisation. Information grand public fiable et indépendante.</w:t>
      </w:r>
    </w:p>
    <w:p>
      <w:pPr>
        <w:spacing w:after="80"/>
      </w:pPr>
      <w:hyperlink w:history="1" r:id="rId8geskbibos0piph0yc6yi">
        <w:r>
          <w:rPr>
            <w:rFonts w:ascii="Times New Roman" w:cs="Times New Roman" w:eastAsia="Times New Roman" w:hAnsi="Times New Roman"/>
            <w:color w:val="1155CC"/>
            <w:sz w:val="22"/>
            <w:szCs w:val="22"/>
            <w:u w:val="single"/>
          </w:rPr>
          <w:t xml:space="preserve">Merck Manual — Psychiatrie (édition professionnelle française)</w:t>
        </w:r>
      </w:hyperlink>
      <w:r>
        <w:rPr>
          <w:rFonts w:ascii="Times New Roman" w:cs="Times New Roman" w:eastAsia="Times New Roman" w:hAnsi="Times New Roman"/>
          <w:color w:val="1F2937"/>
          <w:sz w:val="22"/>
          <w:szCs w:val="22"/>
        </w:rPr>
        <w:t xml:space="preserve"> — Référence clinique professionnelle. Couvre l'ensemble des catégories de troubles.</w:t>
      </w:r>
    </w:p>
    <w:p>
      <w:pPr>
        <w:spacing w:after="60"/>
      </w:pPr>
      <w:r>
        <w:t xml:space="preserve"/>
      </w:r>
    </w:p>
    <w:p>
      <w:pPr>
        <w:spacing w:after="80"/>
      </w:pPr>
      <w:hyperlink w:history="1" r:id="rIdmii5axbixc7-eazoad6x6">
        <w:r>
          <w:rPr>
            <w:rFonts w:ascii="Times New Roman" w:cs="Times New Roman" w:eastAsia="Times New Roman" w:hAnsi="Times New Roman"/>
            <w:color w:val="1155CC"/>
            <w:sz w:val="22"/>
            <w:szCs w:val="22"/>
            <w:u w:val="single"/>
          </w:rPr>
          <w:t xml:space="preserve">DSM-5-TR — Manuel diagnostique et statistique des troubles mentaux (APA)</w:t>
        </w:r>
      </w:hyperlink>
      <w:r>
        <w:rPr>
          <w:rFonts w:ascii="Times New Roman" w:cs="Times New Roman" w:eastAsia="Times New Roman" w:hAnsi="Times New Roman"/>
          <w:color w:val="1F2937"/>
          <w:sz w:val="22"/>
          <w:szCs w:val="22"/>
        </w:rPr>
        <w:t xml:space="preserve"> — Page de présentation du DSM-5-TR par l'American Psychiatric Association — classification mentionnée dans le cours.</w:t>
      </w:r>
    </w:p>
    <w:p>
      <w:pPr>
        <w:spacing w:after="60"/>
      </w:pPr>
      <w:r>
        <w:t xml:space="preserve"/>
      </w:r>
    </w:p>
    <w:p>
      <w:pPr>
        <w:spacing w:after="80"/>
      </w:pPr>
      <w:r>
        <w:rPr>
          <w:rFonts w:ascii="Times New Roman" w:cs="Times New Roman" w:eastAsia="Times New Roman" w:hAnsi="Times New Roman"/>
          <w:color w:val="1F2937"/>
          <w:sz w:val="22"/>
          <w:szCs w:val="22"/>
        </w:rPr>
        <w:t xml:space="preserve">Ressource de référence non lisible en headless (JavaScript) — à consulter directement :</w:t>
      </w:r>
    </w:p>
    <w:p>
      <w:pPr>
        <w:spacing w:after="80"/>
      </w:pPr>
      <w:r>
        <w:rPr>
          <w:rFonts w:ascii="Times New Roman" w:cs="Times New Roman" w:eastAsia="Times New Roman" w:hAnsi="Times New Roman"/>
          <w:sz w:val="22"/>
          <w:szCs w:val="22"/>
        </w:rPr>
        <w:t xml:space="preserve">⛔ </w:t>
      </w:r>
      <w:hyperlink w:history="1" r:id="rIdgxb6cfxae00rxbmx4dq7i">
        <w:r>
          <w:rPr>
            <w:rFonts w:ascii="Times New Roman" w:cs="Times New Roman" w:eastAsia="Times New Roman" w:hAnsi="Times New Roman"/>
            <w:color w:val="1155CC"/>
            <w:sz w:val="22"/>
            <w:szCs w:val="22"/>
            <w:u w:val="single"/>
          </w:rPr>
          <w:t xml:space="preserve">CIM-11 OMS — Classification internationale des maladies, 11e révision</w:t>
        </w:r>
      </w:hyperlink>
      <w:r>
        <w:rPr>
          <w:rFonts w:ascii="Times New Roman" w:cs="Times New Roman" w:eastAsia="Times New Roman" w:hAnsi="Times New Roman"/>
          <w:color w:val="1F2937"/>
          <w:sz w:val="22"/>
          <w:szCs w:val="22"/>
        </w:rPr>
        <w:t xml:space="preserve"> — page non lisible en mode headless (rendu JavaScript). À consulter directement dans un navigateur.</w:t>
      </w:r>
    </w:p>
    <w:p>
      <w:pPr>
        <w:spacing w:after="60"/>
      </w:pPr>
      <w:r>
        <w:t xml:space="preserve"/>
      </w:r>
    </w:p>
    <w:p>
      <w:pPr>
        <w:spacing w:after="80"/>
      </w:pPr>
      <w:r>
        <w:rPr>
          <w:rFonts w:ascii="Times New Roman" w:cs="Times New Roman" w:eastAsia="Times New Roman" w:hAnsi="Times New Roman"/>
          <w:color w:val="1F2937"/>
          <w:sz w:val="22"/>
          <w:szCs w:val="22"/>
        </w:rPr>
        <w:t xml:space="preserve">Pour aller plus loin — formation continue :</w:t>
      </w:r>
    </w:p>
    <w:p>
      <w:pPr>
        <w:spacing w:after="80"/>
      </w:pPr>
      <w:hyperlink w:history="1" r:id="rId9mvk1fpr9nuvfjzmhwkgy">
        <w:r>
          <w:rPr>
            <w:rFonts w:ascii="Times New Roman" w:cs="Times New Roman" w:eastAsia="Times New Roman" w:hAnsi="Times New Roman"/>
            <w:color w:val="1155CC"/>
            <w:sz w:val="22"/>
            <w:szCs w:val="22"/>
            <w:u w:val="single"/>
          </w:rPr>
          <w:t xml:space="preserve">Actif-Online — Pathologies psychiatriques et approche psychopathologique des troubles associés en ESSMS (2025)</w:t>
        </w:r>
      </w:hyperlink>
      <w:r>
        <w:rPr>
          <w:rFonts w:ascii="Times New Roman" w:cs="Times New Roman" w:eastAsia="Times New Roman" w:hAnsi="Times New Roman"/>
          <w:color w:val="1F2937"/>
          <w:sz w:val="22"/>
          <w:szCs w:val="22"/>
        </w:rPr>
        <w:t xml:space="preserve"> — Formation intra pour professionnels du médico-social. Public : tout professionnel ESSMS, sans prérequis. Rang 3 — ne fonde pas les affirmations cliniques du cours, cité comme ressource de formation.</w:t>
      </w:r>
    </w:p>
    <w:p>
      <w:pPr>
        <w:spacing w:after="60"/>
      </w:pPr>
      <w:r>
        <w:t xml:space="preserve"/>
      </w:r>
    </w:p>
    <w:p>
      <w:pPr>
        <w:spacing w:after="80"/>
      </w:pPr>
      <w:r>
        <w:rPr>
          <w:rFonts w:ascii="Times New Roman" w:cs="Times New Roman" w:eastAsia="Times New Roman" w:hAnsi="Times New Roman"/>
          <w:color w:val="1F2937"/>
          <w:sz w:val="22"/>
          <w:szCs w:val="22"/>
        </w:rPr>
        <w:t xml:space="preserve">Pistes d'approfondissement pour les thèmes non couverts :</w:t>
      </w:r>
    </w:p>
    <w:p>
      <w:pPr>
        <w:spacing w:after="60"/>
        <w:ind w:left="360"/>
      </w:pPr>
      <w:r>
        <w:rPr>
          <w:rFonts w:ascii="Times New Roman" w:cs="Times New Roman" w:eastAsia="Times New Roman" w:hAnsi="Times New Roman"/>
          <w:color w:val="1F2937"/>
          <w:sz w:val="22"/>
          <w:szCs w:val="22"/>
        </w:rPr>
        <w:t xml:space="preserve">• Troubles obsessionnels-compulsifs : Merck Manual, section Psychiatrie, rubrique sur les troubles obsessionnels-compulsifs et apparentés</w:t>
      </w:r>
    </w:p>
    <w:p>
      <w:pPr>
        <w:spacing w:after="60"/>
        <w:ind w:left="360"/>
      </w:pPr>
      <w:r>
        <w:rPr>
          <w:rFonts w:ascii="Times New Roman" w:cs="Times New Roman" w:eastAsia="Times New Roman" w:hAnsi="Times New Roman"/>
          <w:color w:val="1F2937"/>
          <w:sz w:val="22"/>
          <w:szCs w:val="22"/>
        </w:rPr>
        <w:t xml:space="preserve">• Psychopathologie interculturelle : Cairn — recherche « psychiatrie transculturelle »</w:t>
      </w:r>
    </w:p>
    <w:p>
      <w:pPr>
        <w:spacing w:after="60"/>
        <w:ind w:left="360"/>
      </w:pPr>
      <w:r>
        <w:rPr>
          <w:rFonts w:ascii="Times New Roman" w:cs="Times New Roman" w:eastAsia="Times New Roman" w:hAnsi="Times New Roman"/>
          <w:color w:val="1F2937"/>
          <w:sz w:val="22"/>
          <w:szCs w:val="22"/>
        </w:rPr>
        <w:t xml:space="preserve">• Psychiatrie légale : HAS, rubrique expertise psychiatrique</w:t>
      </w:r>
    </w:p>
    <w:p>
      <w:pPr>
        <w:spacing w:after="60"/>
        <w:ind w:left="360"/>
      </w:pPr>
      <w:r>
        <w:rPr>
          <w:rFonts w:ascii="Times New Roman" w:cs="Times New Roman" w:eastAsia="Times New Roman" w:hAnsi="Times New Roman"/>
          <w:color w:val="1F2937"/>
          <w:sz w:val="22"/>
          <w:szCs w:val="22"/>
        </w:rPr>
        <w:t xml:space="preserve">• Troubles somatoformes : CIM-11, chapitre « Trouble à symptomatologie somatique »</w:t>
      </w:r>
    </w:p>
    <w:p>
      <w:pPr>
        <w:spacing w:after="60"/>
      </w:pPr>
      <w:r>
        <w:t xml:space="preserve"/>
      </w:r>
    </w:p>
    <w:p>
      <w:pPr>
        <w:spacing w:after="120" w:before="320"/>
      </w:pPr>
      <w:r>
        <w:rPr>
          <w:rFonts w:ascii="Times New Roman" w:cs="Times New Roman" w:eastAsia="Times New Roman" w:hAnsi="Times New Roman"/>
          <w:b/>
          <w:bCs/>
          <w:color w:val="1B3A6B"/>
          <w:sz w:val="30"/>
          <w:szCs w:val="30"/>
        </w:rPr>
        <w:t xml:space="preserve">🔚 Fin du parcours</w:t>
      </w:r>
    </w:p>
    <w:p>
      <w:pPr>
        <w:shd w:fill="F5F7FA" w:val="clear"/>
        <w:spacing w:after="100" w:before="100"/>
        <w:ind w:left="480" w:right="480"/>
      </w:pPr>
      <w:r>
        <w:rPr>
          <w:rFonts w:ascii="Times New Roman" w:cs="Times New Roman" w:eastAsia="Times New Roman" w:hAnsi="Times New Roman"/>
          <w:i/>
          <w:iCs/>
          <w:color w:val="1B3A6B"/>
          <w:sz w:val="22"/>
          <w:szCs w:val="22"/>
        </w:rPr>
        <w:t xml:space="preserve">C'est la dernière leçon. Le parcours Psychopathologie clinique est terminé — 20 leçons, 20 semaines, du fondamental à l'avancé.</w:t>
      </w:r>
    </w:p>
    <w:p>
      <w:pPr>
        <w:spacing w:after="60"/>
      </w:pPr>
      <w:r>
        <w:t xml:space="preserve"/>
      </w:r>
    </w:p>
    <w:p>
      <w:pPr>
        <w:spacing w:after="80"/>
      </w:pPr>
      <w:r>
        <w:rPr>
          <w:rFonts w:ascii="Times New Roman" w:cs="Times New Roman" w:eastAsia="Times New Roman" w:hAnsi="Times New Roman"/>
          <w:color w:val="1F2937"/>
          <w:sz w:val="22"/>
          <w:szCs w:val="22"/>
        </w:rPr>
        <w:t xml:space="preserve">Il n'y a pas de prochaine leçon à ce parcours.</w:t>
      </w:r>
    </w:p>
    <w:p>
      <w:pPr>
        <w:spacing w:after="80"/>
      </w:pPr>
      <w:r>
        <w:rPr>
          <w:rFonts w:ascii="Times New Roman" w:cs="Times New Roman" w:eastAsia="Times New Roman" w:hAnsi="Times New Roman"/>
          <w:color w:val="1F2937"/>
          <w:sz w:val="22"/>
          <w:szCs w:val="22"/>
        </w:rPr>
        <w:t xml:space="preserve">Ce que tu peux faire maintenant :</w:t>
      </w:r>
    </w:p>
    <w:p>
      <w:pPr>
        <w:spacing w:after="60"/>
        <w:ind w:left="360"/>
      </w:pPr>
      <w:r>
        <w:rPr>
          <w:rFonts w:ascii="Times New Roman" w:cs="Times New Roman" w:eastAsia="Times New Roman" w:hAnsi="Times New Roman"/>
          <w:color w:val="1F2937"/>
          <w:sz w:val="22"/>
          <w:szCs w:val="22"/>
        </w:rPr>
        <w:t xml:space="preserve">• Relire les leçons sur les thèmes qui te semblent les moins consolidés.</w:t>
      </w:r>
    </w:p>
    <w:p>
      <w:pPr>
        <w:spacing w:after="60"/>
        <w:ind w:left="360"/>
      </w:pPr>
      <w:r>
        <w:rPr>
          <w:rFonts w:ascii="Times New Roman" w:cs="Times New Roman" w:eastAsia="Times New Roman" w:hAnsi="Times New Roman"/>
          <w:color w:val="1F2937"/>
          <w:sz w:val="22"/>
          <w:szCs w:val="22"/>
        </w:rPr>
        <w:t xml:space="preserve">• Utiliser le tableau de l'exercice 1 comme guide de révision.</w:t>
      </w:r>
    </w:p>
    <w:p>
      <w:pPr>
        <w:spacing w:after="60"/>
        <w:ind w:left="360"/>
      </w:pPr>
      <w:r>
        <w:rPr>
          <w:rFonts w:ascii="Times New Roman" w:cs="Times New Roman" w:eastAsia="Times New Roman" w:hAnsi="Times New Roman"/>
          <w:color w:val="1F2937"/>
          <w:sz w:val="22"/>
          <w:szCs w:val="22"/>
        </w:rPr>
        <w:t xml:space="preserve">• Mettre en pratique la fiche repère du challenge dans ta prochaine réunion d'équipe.</w:t>
      </w:r>
    </w:p>
    <w:p>
      <w:pPr>
        <w:spacing w:after="60"/>
        <w:ind w:left="360"/>
      </w:pPr>
      <w:r>
        <w:rPr>
          <w:rFonts w:ascii="Times New Roman" w:cs="Times New Roman" w:eastAsia="Times New Roman" w:hAnsi="Times New Roman"/>
          <w:color w:val="1F2937"/>
          <w:sz w:val="22"/>
          <w:szCs w:val="22"/>
        </w:rPr>
        <w:t xml:space="preserve">• Suivre une formation continue (voir ressources) pour approfondir les thèmes non couverts.</w:t>
      </w:r>
    </w:p>
    <w:p>
      <w:pPr>
        <w:spacing w:after="60"/>
      </w:pPr>
      <w:r>
        <w:t xml:space="preserve"/>
      </w:r>
    </w:p>
    <w:p>
      <w:pPr>
        <w:spacing w:after="80"/>
        <w:ind w:left="480"/>
      </w:pPr>
      <w:r>
        <w:rPr>
          <w:rFonts w:ascii="Times New Roman" w:cs="Times New Roman" w:eastAsia="Times New Roman" w:hAnsi="Times New Roman"/>
          <w:i/>
          <w:iCs/>
          <w:color w:val="1B3A6B"/>
          <w:sz w:val="22"/>
          <w:szCs w:val="22"/>
        </w:rPr>
        <w:t xml:space="preserve">Ce parcours a été conçu pour ton apprentissage personnel, pas pour remplacer une formation clinique professionnelle. Les repères qu'il apporte éclairent la pratique éducative — ils ne dispensent pas du recours au clinicien.</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3t8rufbsaauglv0x5poqk" Type="http://schemas.openxmlformats.org/officeDocument/2006/relationships/hyperlink" Target="https://www.who.int/fr/news-room/fact-sheets/detail/mental-disorders" TargetMode="External"/><Relationship Id="rId-pcuaoz3gz1hrvk9xx5tw" Type="http://schemas.openxmlformats.org/officeDocument/2006/relationships/hyperlink" Target="https://www.psycom.org/sinformer/le-retablissement/" TargetMode="External"/><Relationship Id="rIdolp0fakfapkovodbpcyse" Type="http://schemas.openxmlformats.org/officeDocument/2006/relationships/hyperlink" Target="https://www.psycom.org/sinformer/" TargetMode="External"/><Relationship Id="rId8geskbibos0piph0yc6yi" Type="http://schemas.openxmlformats.org/officeDocument/2006/relationships/hyperlink" Target="https://www.merckmanuals.com/fr-ca/professional/troubles-psychiatriques" TargetMode="External"/><Relationship Id="rIdmii5axbixc7-eazoad6x6" Type="http://schemas.openxmlformats.org/officeDocument/2006/relationships/hyperlink" Target="https://www.psychiatry.org/psychiatrists/practice/dsm" TargetMode="External"/><Relationship Id="rIdgxb6cfxae00rxbmx4dq7i" Type="http://schemas.openxmlformats.org/officeDocument/2006/relationships/hyperlink" Target="https://icd.who.int/browse/2024-01/mms/en" TargetMode="External"/><Relationship Id="rId9mvk1fpr9nuvfjzmhwkgy" Type="http://schemas.openxmlformats.org/officeDocument/2006/relationships/hyperlink" Target="https://www.actif-online.com/formations/connaissances-et-problematiques-des-publics-accompagnes-modes-dintervention-2025/pathologies-psychiatriques-et-approche-psychopathologique-des-troubles-associes-en-essm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20 — BILAN : Synthèse du parcours</dc:title>
  <dc:creator>Parcours Psychopathologie clinique</dc:creator>
  <dc:description>Bilan du parcours Psychopathologie clinique — 20 leçons</dc:description>
  <cp:lastModifiedBy>Un-named</cp:lastModifiedBy>
  <cp:revision>1</cp:revision>
  <dcterms:created xsi:type="dcterms:W3CDTF">2026-10-12T06:12:52.574Z</dcterms:created>
  <dcterms:modified xsi:type="dcterms:W3CDTF">2026-10-12T06:12:52.576Z</dcterms:modified>
</cp:coreProperties>
</file>

<file path=docProps/custom.xml><?xml version="1.0" encoding="utf-8"?>
<Properties xmlns="http://schemas.openxmlformats.org/officeDocument/2006/custom-properties" xmlns:vt="http://schemas.openxmlformats.org/officeDocument/2006/docPropsVTypes"/>
</file>