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00"/>
        <w:jc w:val="center"/>
      </w:pPr>
      <w:r>
        <w:rPr>
          <w:rFonts w:ascii="Times New Roman" w:cs="Times New Roman" w:eastAsia="Times New Roman" w:hAnsi="Times New Roman"/>
          <w:b/>
          <w:bCs/>
          <w:color w:val="1B3A6B"/>
          <w:sz w:val="52"/>
          <w:szCs w:val="52"/>
        </w:rPr>
        <w:t xml:space="preserve">Leçon Dzogchen n°14
Le corps d'arc-en-ciel : sources textuelles et récits</w:t>
      </w:r>
    </w:p>
    <w:p>
      <w:pPr>
        <w:spacing w:after="80" w:before="80"/>
        <w:jc w:val="center"/>
      </w:pPr>
      <w:r>
        <w:rPr>
          <w:rFonts w:ascii="Times New Roman" w:cs="Times New Roman" w:eastAsia="Times New Roman" w:hAnsi="Times New Roman"/>
          <w:i/>
          <w:iCs/>
          <w:color w:val="1F2937"/>
          <w:sz w:val="22"/>
          <w:szCs w:val="22"/>
        </w:rPr>
        <w:t xml:space="preserve">1er septembre 2026  ·  Leçon 14 / 20</w:t>
      </w:r>
    </w:p>
    <w:p>
      <w:pPr>
        <w:pBdr>
          <w:bottom w:val="single" w:color="1B3A6B" w:sz="4"/>
        </w:pBdr>
        <w:spacing w:after="120" w:before="120"/>
      </w:pPr>
    </w:p>
    <w:p>
      <w:pPr>
        <w:pStyle w:val="Heading2"/>
        <w:spacing w:after="120" w:before="36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b w:val="false"/>
          <w:bCs w:val="false"/>
          <w:i w:val="false"/>
          <w:iCs w:val="false"/>
          <w:color w:val="1F2937"/>
          <w:sz w:val="22"/>
          <w:szCs w:val="22"/>
        </w:rPr>
        <w:t xml:space="preserve">À l'issue de cette leçon, tu sauras nommer et distinguer les formes de réalisation appelées « corps d'arc-en-ciel » (jalü, འཇའ་ལུས་) dans la tradition dzogchen, identifier les cas historiques les mieux documentés, et situer ce phénomène dans la doctrine de la pureté primordiale et de la présence spontanée étudiées depuis la leçon 3.</w:t>
      </w:r>
    </w:p>
    <w:p>
      <w:pPr>
        <w:spacing w:after="80" w:before="80"/>
      </w:pPr>
      <w:r>
        <w:rPr>
          <w:rFonts w:ascii="Times New Roman" w:cs="Times New Roman" w:eastAsia="Times New Roman" w:hAnsi="Times New Roman"/>
          <w:b w:val="false"/>
          <w:bCs w:val="false"/>
          <w:i w:val="false"/>
          <w:iCs w:val="false"/>
          <w:color w:val="1F2937"/>
          <w:sz w:val="22"/>
          <w:szCs w:val="22"/>
        </w:rPr>
        <w:t xml:space="preserve">Lien avec la leçon précédente (n°13 — Les bardos et le processus de la mort) : les bardos décrivent ce qui advient à la conscience après la mort ordinaire. Le corps d'arc-en-ciel représente la voie de dissolution la plus radicale — celle où le praticien accompli n'entre pas dans les bardos habituels, son corps physique se résorbant dans la lumière fondamentale (ösel) au moment même de la mort.</w:t>
      </w:r>
    </w:p>
    <w:p>
      <w:pPr>
        <w:pBdr>
          <w:bottom w:val="single" w:color="1B3A6B" w:sz="4"/>
        </w:pBdr>
        <w:spacing w:after="120" w:before="120"/>
      </w:pPr>
    </w:p>
    <w:p>
      <w:pPr>
        <w:pStyle w:val="Heading2"/>
        <w:spacing w:after="120" w:before="360"/>
      </w:pPr>
      <w:r>
        <w:rPr>
          <w:rFonts w:ascii="Times New Roman" w:cs="Times New Roman" w:eastAsia="Times New Roman" w:hAnsi="Times New Roman"/>
          <w:b/>
          <w:bCs/>
          <w:color w:val="1B3A6B"/>
          <w:sz w:val="30"/>
          <w:szCs w:val="30"/>
        </w:rPr>
        <w:t xml:space="preserve">🔬 Théorie (20%) — Le corps d'arc-en-ciel : qu'est-ce que c'est ?</w:t>
      </w:r>
    </w:p>
    <w:p>
      <w:pPr>
        <w:pStyle w:val="Heading3"/>
        <w:spacing w:after="80" w:before="240"/>
      </w:pPr>
      <w:r>
        <w:rPr>
          <w:rFonts w:ascii="Times New Roman" w:cs="Times New Roman" w:eastAsia="Times New Roman" w:hAnsi="Times New Roman"/>
          <w:b/>
          <w:bCs/>
          <w:color w:val="1F2937"/>
          <w:sz w:val="26"/>
          <w:szCs w:val="26"/>
        </w:rPr>
        <w:t xml:space="preserve">1. Terminologie tibétaine</w:t>
      </w:r>
    </w:p>
    <w:p>
      <w:pPr>
        <w:spacing w:after="80" w:before="80"/>
      </w:pPr>
      <w:r>
        <w:rPr>
          <w:rFonts w:ascii="Times New Roman" w:cs="Times New Roman" w:eastAsia="Times New Roman" w:hAnsi="Times New Roman"/>
          <w:b w:val="false"/>
          <w:bCs w:val="false"/>
          <w:i w:val="false"/>
          <w:iCs w:val="false"/>
          <w:color w:val="1F2937"/>
          <w:sz w:val="22"/>
          <w:szCs w:val="22"/>
        </w:rPr>
        <w:t xml:space="preserve">Le terme jalü (འཇའ་ལུས་, littéralement « corps-arc-en-ciel ») désigne la transmutation du corps physique en lumière à la mort d'un praticien ayant stabilisé la reconnaissance du rigpa. Le phénomène est propre au dzogchen (et, dans une variante, au Bön), bien que des parallèles soient parfois tracés avec le mahāmudrā ou certains tantras.</w:t>
      </w:r>
    </w:p>
    <w:p>
      <w:pPr>
        <w:spacing w:after="80" w:before="80"/>
      </w:pPr>
      <w:r>
        <w:rPr>
          <w:rFonts w:ascii="Times New Roman" w:cs="Times New Roman" w:eastAsia="Times New Roman" w:hAnsi="Times New Roman"/>
          <w:b w:val="false"/>
          <w:bCs w:val="false"/>
          <w:i w:val="false"/>
          <w:iCs w:val="false"/>
          <w:color w:val="1F2937"/>
          <w:sz w:val="22"/>
          <w:szCs w:val="22"/>
        </w:rPr>
        <w:t xml:space="preserve">La forme suprême est le jalü powa chenmo (འཇའ་ལུས་འཕོ་བ་ཆེན་མོ་) — « corps d'arc-en-ciel de grande transférence » : dissolution totale sans résidu physique. Dans la majorité des cas rapportés, seuls les cheveux et les ongles restent, signe que l'agrégat matériel grossier n'a pas été entièrement résorbé.</w:t>
      </w:r>
    </w:p>
    <w:p>
      <w:pPr>
        <w:pStyle w:val="Heading3"/>
        <w:spacing w:after="80" w:before="240"/>
      </w:pPr>
      <w:r>
        <w:rPr>
          <w:rFonts w:ascii="Times New Roman" w:cs="Times New Roman" w:eastAsia="Times New Roman" w:hAnsi="Times New Roman"/>
          <w:b/>
          <w:bCs/>
          <w:color w:val="1F2937"/>
          <w:sz w:val="26"/>
          <w:szCs w:val="26"/>
        </w:rPr>
        <w:t xml:space="preserve">2. Fondement doctrinal</w:t>
      </w:r>
    </w:p>
    <w:p>
      <w:pPr>
        <w:spacing w:after="80" w:before="80"/>
      </w:pPr>
      <w:r>
        <w:rPr>
          <w:rFonts w:ascii="Times New Roman" w:cs="Times New Roman" w:eastAsia="Times New Roman" w:hAnsi="Times New Roman"/>
          <w:b w:val="false"/>
          <w:bCs w:val="false"/>
          <w:i w:val="false"/>
          <w:iCs w:val="false"/>
          <w:color w:val="1F2937"/>
          <w:sz w:val="22"/>
          <w:szCs w:val="22"/>
        </w:rPr>
        <w:t xml:space="preserve">Le corps d'arc-en-ciel n'est pas un miracle au sens exotérique du terme : il est présenté dans les textes dzogchen comme la conséquence naturelle d'une pratique accomplie. La logique est la suivante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corps grossier est constitué de cinq éléments (terre, eau, feu, air, espace), eux-mêmes manifestations des cinq lumières primordiales.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Lorsque la reconnaissance du rigpa est stabilisée — c'est-à-dire lorsque le praticien demeure sans interruption dans l'état de pureté primordiale (kadag) et de présence spontanée (lhündrup) —, les éléments grossiers peuvent se résorber dans leur nature lumineuse.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Ce processus est la réversibilité du déploiement créateur évoqué dans les leçons sur la base (n°3) et le tögal (n°7).</w:t>
      </w:r>
    </w:p>
    <w:p>
      <w:pPr>
        <w:spacing w:after="80" w:before="80"/>
      </w:pPr>
      <w:r>
        <w:rPr>
          <w:rFonts w:ascii="Times New Roman" w:cs="Times New Roman" w:eastAsia="Times New Roman" w:hAnsi="Times New Roman"/>
          <w:b w:val="false"/>
          <w:bCs w:val="false"/>
          <w:i w:val="false"/>
          <w:iCs w:val="false"/>
          <w:color w:val="1F2937"/>
          <w:sz w:val="22"/>
          <w:szCs w:val="22"/>
        </w:rPr>
        <w:t xml:space="preserve">Comme l'expose Wikipedia sur la base des sources tibétaines, les trois aspects du rigpa pleinement réalisé — pureté primordiale (kadag), présence spontanée (lhündrup) et compassion omniprésente (thugs rje) — constituent le fondement doctrinal de ce phénomène.</w:t>
      </w:r>
    </w:p>
    <w:p>
      <w:pPr>
        <w:pStyle w:val="Heading3"/>
        <w:spacing w:after="80" w:before="240"/>
      </w:pPr>
      <w:r>
        <w:rPr>
          <w:rFonts w:ascii="Times New Roman" w:cs="Times New Roman" w:eastAsia="Times New Roman" w:hAnsi="Times New Roman"/>
          <w:b/>
          <w:bCs/>
          <w:color w:val="1F2937"/>
          <w:sz w:val="26"/>
          <w:szCs w:val="26"/>
        </w:rPr>
        <w:t xml:space="preserve">3. Sources textuelles</w:t>
      </w:r>
    </w:p>
    <w:p>
      <w:pPr>
        <w:spacing w:after="80" w:before="80"/>
      </w:pPr>
      <w:r>
        <w:rPr>
          <w:rFonts w:ascii="Times New Roman" w:cs="Times New Roman" w:eastAsia="Times New Roman" w:hAnsi="Times New Roman"/>
          <w:b w:val="false"/>
          <w:bCs w:val="false"/>
          <w:i w:val="false"/>
          <w:iCs w:val="false"/>
          <w:color w:val="1F2937"/>
          <w:sz w:val="22"/>
          <w:szCs w:val="22"/>
        </w:rPr>
        <w:t xml:space="preserve">Le corpus dzogchen ne dispose pas d'un traité unique consacré au jalü : les références sont dispersées dans les traités de tögal, les biographies de maîtres (namtar) et les transmissions orales. Parmi les sources les plus citées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Les termas du Longchen Nyingtik (Jigme Lingpa, XVIIIe s.) — textes qui seront étudiés en leçon n°16.</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Les textes de la tradition Kunzang Nyingtik, dont Shardza Tashi Gyaltsen (XIXe-XXe s.) est un représentant majeur dans la lignée Bön-Dzogchen.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Les récits biographiques (namtar) constituent la source empirique principale : sans valeur de preuve au sens scientifique, ils forment le corpus testimonial de la tradition.</w:t>
      </w:r>
    </w:p>
    <w:p>
      <w:pPr>
        <w:spacing w:after="80" w:before="80"/>
      </w:pPr>
      <w:r>
        <w:rPr>
          <w:rFonts w:ascii="Times New Roman" w:cs="Times New Roman" w:eastAsia="Times New Roman" w:hAnsi="Times New Roman"/>
          <w:b w:val="false"/>
          <w:bCs w:val="false"/>
          <w:i w:val="false"/>
          <w:iCs w:val="false"/>
          <w:color w:val="1F2937"/>
          <w:sz w:val="22"/>
          <w:szCs w:val="22"/>
        </w:rPr>
        <w:t xml:space="preserve">Note méthodologique : les sources académiques peer-reviewed sur le jalü sont rares et portent surtout sur la question de la réception contemporaine du phénomène (voir Academia.edu ci-dessous). Aucune ne valide ni n'invalide le phénomène sur le plan physique : ce point dépasse le cadre de cette leçon, qui travaille sur les textes et les récits de la tradition.</w:t>
      </w:r>
    </w:p>
    <w:p>
      <w:pPr>
        <w:pStyle w:val="Heading3"/>
        <w:spacing w:after="80" w:before="240"/>
      </w:pPr>
      <w:r>
        <w:rPr>
          <w:rFonts w:ascii="Times New Roman" w:cs="Times New Roman" w:eastAsia="Times New Roman" w:hAnsi="Times New Roman"/>
          <w:b/>
          <w:bCs/>
          <w:color w:val="1F2937"/>
          <w:sz w:val="26"/>
          <w:szCs w:val="26"/>
        </w:rPr>
        <w:t xml:space="preserve">4. Panorama des cas rapportés</w:t>
      </w:r>
    </w:p>
    <w:p>
      <w:pPr>
        <w:spacing w:after="80" w:before="80"/>
      </w:pPr>
      <w:r>
        <w:rPr>
          <w:rFonts w:ascii="Times New Roman" w:cs="Times New Roman" w:eastAsia="Times New Roman" w:hAnsi="Times New Roman"/>
          <w:b w:val="false"/>
          <w:bCs w:val="false"/>
          <w:i w:val="false"/>
          <w:iCs w:val="false"/>
          <w:color w:val="1F2937"/>
          <w:sz w:val="22"/>
          <w:szCs w:val="22"/>
        </w:rPr>
        <w:t xml:space="preserve">Le tableau ci-dessous compile les cas les mieux documentés dans les sources récupérées. Les informations proviennent de Wikipedia (Rainbow body) et de Lion's Roar (Investigating the Rainbow Body)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val="clear"/>
          </w:tcPr>
          <w:p>
            <w:pPr>
              <w:jc w:val="center"/>
            </w:pPr>
            <w:r>
              <w:rPr>
                <w:rFonts w:ascii="Times New Roman" w:cs="Times New Roman" w:eastAsia="Times New Roman" w:hAnsi="Times New Roman"/>
                <w:b/>
                <w:bCs/>
                <w:color w:val="FFFFFF"/>
                <w:sz w:val="20"/>
                <w:szCs w:val="20"/>
              </w:rPr>
              <w:t xml:space="preserve">Maître</w:t>
            </w:r>
          </w:p>
        </w:tc>
        <w:tc>
          <w:tcPr>
            <w:shd w:fill="1B3A6B" w:val="clear"/>
          </w:tcPr>
          <w:p>
            <w:pPr>
              <w:jc w:val="center"/>
            </w:pPr>
            <w:r>
              <w:rPr>
                <w:rFonts w:ascii="Times New Roman" w:cs="Times New Roman" w:eastAsia="Times New Roman" w:hAnsi="Times New Roman"/>
                <w:b/>
                <w:bCs/>
                <w:color w:val="FFFFFF"/>
                <w:sz w:val="20"/>
                <w:szCs w:val="20"/>
              </w:rPr>
              <w:t xml:space="preserve">Dates</w:t>
            </w:r>
          </w:p>
        </w:tc>
        <w:tc>
          <w:tcPr>
            <w:shd w:fill="1B3A6B" w:val="clear"/>
          </w:tcPr>
          <w:p>
            <w:pPr>
              <w:jc w:val="center"/>
            </w:pPr>
            <w:r>
              <w:rPr>
                <w:rFonts w:ascii="Times New Roman" w:cs="Times New Roman" w:eastAsia="Times New Roman" w:hAnsi="Times New Roman"/>
                <w:b/>
                <w:bCs/>
                <w:color w:val="FFFFFF"/>
                <w:sz w:val="20"/>
                <w:szCs w:val="20"/>
              </w:rPr>
              <w:t xml:space="preserve">Signes rapportés</w:t>
            </w:r>
          </w:p>
        </w:tc>
        <w:tc>
          <w:tcPr>
            <w:shd w:fill="1B3A6B" w:val="clear"/>
          </w:tcPr>
          <w:p>
            <w:pPr>
              <w:jc w:val="center"/>
            </w:pPr>
            <w:r>
              <w:rPr>
                <w:rFonts w:ascii="Times New Roman" w:cs="Times New Roman" w:eastAsia="Times New Roman" w:hAnsi="Times New Roman"/>
                <w:b/>
                <w:bCs/>
                <w:color w:val="FFFFFF"/>
                <w:sz w:val="20"/>
                <w:szCs w:val="20"/>
              </w:rPr>
              <w:t xml:space="preserve">Tradition</w:t>
            </w:r>
          </w:p>
        </w:tc>
      </w:tr>
      <w:tr>
        <w:tc>
          <w:tcPr>
            <w:shd w:fill="FFFFFF" w:val="clear"/>
          </w:tcPr>
          <w:p>
            <w:r>
              <w:rPr>
                <w:rFonts w:ascii="Times New Roman" w:cs="Times New Roman" w:eastAsia="Times New Roman" w:hAnsi="Times New Roman"/>
                <w:color w:val="1F2937"/>
                <w:sz w:val="20"/>
                <w:szCs w:val="20"/>
              </w:rPr>
              <w:t xml:space="preserve">Shardza Tashi Gyaltsen</w:t>
            </w:r>
          </w:p>
        </w:tc>
        <w:tc>
          <w:tcPr>
            <w:shd w:fill="FFFFFF" w:val="clear"/>
          </w:tcPr>
          <w:p>
            <w:r>
              <w:rPr>
                <w:rFonts w:ascii="Times New Roman" w:cs="Times New Roman" w:eastAsia="Times New Roman" w:hAnsi="Times New Roman"/>
                <w:color w:val="1F2937"/>
                <w:sz w:val="20"/>
                <w:szCs w:val="20"/>
              </w:rPr>
              <w:t xml:space="preserve">v. 1859–1935</w:t>
            </w:r>
          </w:p>
        </w:tc>
        <w:tc>
          <w:tcPr>
            <w:shd w:fill="FFFFFF" w:val="clear"/>
          </w:tcPr>
          <w:p>
            <w:r>
              <w:rPr>
                <w:rFonts w:ascii="Times New Roman" w:cs="Times New Roman" w:eastAsia="Times New Roman" w:hAnsi="Times New Roman"/>
                <w:color w:val="1F2937"/>
                <w:sz w:val="20"/>
                <w:szCs w:val="20"/>
              </w:rPr>
              <w:t xml:space="preserve">Dissolution accompagnée d'arc-en-ciels ; cas fondateur de la tradition Bön-Dzogchen moderne</w:t>
            </w:r>
          </w:p>
        </w:tc>
        <w:tc>
          <w:tcPr>
            <w:shd w:fill="FFFFFF" w:val="clear"/>
          </w:tcPr>
          <w:p>
            <w:r>
              <w:rPr>
                <w:rFonts w:ascii="Times New Roman" w:cs="Times New Roman" w:eastAsia="Times New Roman" w:hAnsi="Times New Roman"/>
                <w:color w:val="1F2937"/>
                <w:sz w:val="20"/>
                <w:szCs w:val="20"/>
              </w:rPr>
              <w:t xml:space="preserve">Bön-Dzogchen</w:t>
            </w:r>
          </w:p>
        </w:tc>
      </w:tr>
      <w:tr>
        <w:tc>
          <w:tcPr>
            <w:shd w:fill="EEF2F7" w:val="clear"/>
          </w:tcPr>
          <w:p>
            <w:r>
              <w:rPr>
                <w:rFonts w:ascii="Times New Roman" w:cs="Times New Roman" w:eastAsia="Times New Roman" w:hAnsi="Times New Roman"/>
                <w:color w:val="1F2937"/>
                <w:sz w:val="20"/>
                <w:szCs w:val="20"/>
              </w:rPr>
              <w:t xml:space="preserve">Yilungpa Sonam Namgyel</w:t>
            </w:r>
          </w:p>
        </w:tc>
        <w:tc>
          <w:tcPr>
            <w:shd w:fill="EEF2F7" w:val="clear"/>
          </w:tcPr>
          <w:p>
            <w:r>
              <w:rPr>
                <w:rFonts w:ascii="Times New Roman" w:cs="Times New Roman" w:eastAsia="Times New Roman" w:hAnsi="Times New Roman"/>
                <w:color w:val="1F2937"/>
                <w:sz w:val="20"/>
                <w:szCs w:val="20"/>
              </w:rPr>
              <w:t xml:space="preserve">mort en 1952</w:t>
            </w:r>
          </w:p>
        </w:tc>
        <w:tc>
          <w:tcPr>
            <w:shd w:fill="EEF2F7" w:val="clear"/>
          </w:tcPr>
          <w:p>
            <w:r>
              <w:rPr>
                <w:rFonts w:ascii="Times New Roman" w:cs="Times New Roman" w:eastAsia="Times New Roman" w:hAnsi="Times New Roman"/>
                <w:color w:val="1F2937"/>
                <w:sz w:val="20"/>
                <w:szCs w:val="20"/>
              </w:rPr>
              <w:t xml:space="preserve">Mentionné par Chögyam Trungpa dans ses mémoires ; corps rétrécissant entouré d'arcs-en-ciel</w:t>
            </w:r>
          </w:p>
        </w:tc>
        <w:tc>
          <w:tcPr>
            <w:shd w:fill="EEF2F7" w:val="clear"/>
          </w:tcPr>
          <w:p>
            <w:r>
              <w:rPr>
                <w:rFonts w:ascii="Times New Roman" w:cs="Times New Roman" w:eastAsia="Times New Roman" w:hAnsi="Times New Roman"/>
                <w:color w:val="1F2937"/>
                <w:sz w:val="20"/>
                <w:szCs w:val="20"/>
              </w:rPr>
              <w:t xml:space="preserve">Nyingma</w:t>
            </w:r>
          </w:p>
        </w:tc>
      </w:tr>
      <w:tr>
        <w:tc>
          <w:tcPr>
            <w:shd w:fill="FFFFFF" w:val="clear"/>
          </w:tcPr>
          <w:p>
            <w:r>
              <w:rPr>
                <w:rFonts w:ascii="Times New Roman" w:cs="Times New Roman" w:eastAsia="Times New Roman" w:hAnsi="Times New Roman"/>
                <w:color w:val="1F2937"/>
                <w:sz w:val="20"/>
                <w:szCs w:val="20"/>
              </w:rPr>
              <w:t xml:space="preserve">Ayu Khandro</w:t>
            </w:r>
          </w:p>
        </w:tc>
        <w:tc>
          <w:tcPr>
            <w:shd w:fill="FFFFFF" w:val="clear"/>
          </w:tcPr>
          <w:p>
            <w:r>
              <w:rPr>
                <w:rFonts w:ascii="Times New Roman" w:cs="Times New Roman" w:eastAsia="Times New Roman" w:hAnsi="Times New Roman"/>
                <w:color w:val="1F2937"/>
                <w:sz w:val="20"/>
                <w:szCs w:val="20"/>
              </w:rPr>
              <w:t xml:space="preserve">1839–1953</w:t>
            </w:r>
          </w:p>
        </w:tc>
        <w:tc>
          <w:tcPr>
            <w:shd w:fill="FFFFFF" w:val="clear"/>
          </w:tcPr>
          <w:p>
            <w:r>
              <w:rPr>
                <w:rFonts w:ascii="Times New Roman" w:cs="Times New Roman" w:eastAsia="Times New Roman" w:hAnsi="Times New Roman"/>
                <w:color w:val="1F2937"/>
                <w:sz w:val="20"/>
                <w:szCs w:val="20"/>
              </w:rPr>
              <w:t xml:space="preserve">Maîtresse dzogchen ; dissolution rapportée par des témoins directs</w:t>
            </w:r>
          </w:p>
        </w:tc>
        <w:tc>
          <w:tcPr>
            <w:shd w:fill="FFFFFF" w:val="clear"/>
          </w:tcPr>
          <w:p>
            <w:r>
              <w:rPr>
                <w:rFonts w:ascii="Times New Roman" w:cs="Times New Roman" w:eastAsia="Times New Roman" w:hAnsi="Times New Roman"/>
                <w:color w:val="1F2937"/>
                <w:sz w:val="20"/>
                <w:szCs w:val="20"/>
              </w:rPr>
              <w:t xml:space="preserve">Nyingma</w:t>
            </w:r>
          </w:p>
        </w:tc>
      </w:tr>
      <w:tr>
        <w:tc>
          <w:tcPr>
            <w:shd w:fill="EEF2F7" w:val="clear"/>
          </w:tcPr>
          <w:p>
            <w:r>
              <w:rPr>
                <w:rFonts w:ascii="Times New Roman" w:cs="Times New Roman" w:eastAsia="Times New Roman" w:hAnsi="Times New Roman"/>
                <w:color w:val="1F2937"/>
                <w:sz w:val="20"/>
                <w:szCs w:val="20"/>
              </w:rPr>
              <w:t xml:space="preserve">Togden Ugyen Tendzin</w:t>
            </w:r>
          </w:p>
        </w:tc>
        <w:tc>
          <w:tcPr>
            <w:shd w:fill="EEF2F7" w:val="clear"/>
          </w:tcPr>
          <w:p>
            <w:r>
              <w:rPr>
                <w:rFonts w:ascii="Times New Roman" w:cs="Times New Roman" w:eastAsia="Times New Roman" w:hAnsi="Times New Roman"/>
                <w:color w:val="1F2937"/>
                <w:sz w:val="20"/>
                <w:szCs w:val="20"/>
              </w:rPr>
              <w:t xml:space="preserve">mort en 1962</w:t>
            </w:r>
          </w:p>
        </w:tc>
        <w:tc>
          <w:tcPr>
            <w:shd w:fill="EEF2F7" w:val="clear"/>
          </w:tcPr>
          <w:p>
            <w:r>
              <w:rPr>
                <w:rFonts w:ascii="Times New Roman" w:cs="Times New Roman" w:eastAsia="Times New Roman" w:hAnsi="Times New Roman"/>
                <w:color w:val="1F2937"/>
                <w:sz w:val="20"/>
                <w:szCs w:val="20"/>
              </w:rPr>
              <w:t xml:space="preserve">Cité par Wikipedia parmi les cas documentés du XXe siècle</w:t>
            </w:r>
          </w:p>
        </w:tc>
        <w:tc>
          <w:tcPr>
            <w:shd w:fill="EEF2F7" w:val="clear"/>
          </w:tcPr>
          <w:p>
            <w:r>
              <w:rPr>
                <w:rFonts w:ascii="Times New Roman" w:cs="Times New Roman" w:eastAsia="Times New Roman" w:hAnsi="Times New Roman"/>
                <w:color w:val="1F2937"/>
                <w:sz w:val="20"/>
                <w:szCs w:val="20"/>
              </w:rPr>
              <w:t xml:space="preserve">Nyingma</w:t>
            </w:r>
          </w:p>
        </w:tc>
      </w:tr>
      <w:tr>
        <w:tc>
          <w:tcPr>
            <w:shd w:fill="FFFFFF" w:val="clear"/>
          </w:tcPr>
          <w:p>
            <w:r>
              <w:rPr>
                <w:rFonts w:ascii="Times New Roman" w:cs="Times New Roman" w:eastAsia="Times New Roman" w:hAnsi="Times New Roman"/>
                <w:color w:val="1F2937"/>
                <w:sz w:val="20"/>
                <w:szCs w:val="20"/>
              </w:rPr>
              <w:t xml:space="preserve">Khenpo A-chö</w:t>
            </w:r>
          </w:p>
        </w:tc>
        <w:tc>
          <w:tcPr>
            <w:shd w:fill="FFFFFF" w:val="clear"/>
          </w:tcPr>
          <w:p>
            <w:r>
              <w:rPr>
                <w:rFonts w:ascii="Times New Roman" w:cs="Times New Roman" w:eastAsia="Times New Roman" w:hAnsi="Times New Roman"/>
                <w:color w:val="1F2937"/>
                <w:sz w:val="20"/>
                <w:szCs w:val="20"/>
              </w:rPr>
              <w:t xml:space="preserve">1918–1998</w:t>
            </w:r>
          </w:p>
        </w:tc>
        <w:tc>
          <w:tcPr>
            <w:shd w:fill="FFFFFF" w:val="clear"/>
          </w:tcPr>
          <w:p>
            <w:r>
              <w:rPr>
                <w:rFonts w:ascii="Times New Roman" w:cs="Times New Roman" w:eastAsia="Times New Roman" w:hAnsi="Times New Roman"/>
                <w:color w:val="1F2937"/>
                <w:sz w:val="20"/>
                <w:szCs w:val="20"/>
              </w:rPr>
              <w:t xml:space="preserve">Cas le plus souvent cité dans la littérature contemporaine : corps réduit à la taille d'un haricot au 8e jour, disparu au 10e jour</w:t>
            </w:r>
          </w:p>
        </w:tc>
        <w:tc>
          <w:tcPr>
            <w:shd w:fill="FFFFFF" w:val="clear"/>
          </w:tcPr>
          <w:p>
            <w:r>
              <w:rPr>
                <w:rFonts w:ascii="Times New Roman" w:cs="Times New Roman" w:eastAsia="Times New Roman" w:hAnsi="Times New Roman"/>
                <w:color w:val="1F2937"/>
                <w:sz w:val="20"/>
                <w:szCs w:val="20"/>
              </w:rPr>
              <w:t xml:space="preserve">Nyingma (Tibet oriental)</w:t>
            </w:r>
          </w:p>
        </w:tc>
      </w:tr>
    </w:tbl>
    <w:p>
      <w:pPr>
        <w:spacing w:before="120"/>
      </w:pPr>
    </w:p>
    <w:p>
      <w:pPr>
        <w:spacing w:after="80" w:before="80"/>
      </w:pPr>
      <w:r>
        <w:rPr>
          <w:rFonts w:ascii="Times New Roman" w:cs="Times New Roman" w:eastAsia="Times New Roman" w:hAnsi="Times New Roman"/>
          <w:b w:val="false"/>
          <w:bCs w:val="false"/>
          <w:i w:val="false"/>
          <w:iCs w:val="false"/>
          <w:color w:val="1F2937"/>
          <w:sz w:val="22"/>
          <w:szCs w:val="22"/>
        </w:rPr>
        <w:t xml:space="preserve">Le gouvernement chinois a déclaré illégale la « montée en arc-en-ciel » (selon Lion's Roar), ce qui explique la politique de discrétion entourant les cas contemporains au Tibet occupé.</w:t>
      </w:r>
    </w:p>
    <w:p>
      <w:pPr>
        <w:pBdr>
          <w:bottom w:val="single" w:color="1B3A6B" w:sz="4"/>
        </w:pBdr>
        <w:spacing w:after="120" w:before="120"/>
      </w:pPr>
    </w:p>
    <w:p>
      <w:pPr>
        <w:pStyle w:val="Heading2"/>
        <w:spacing w:after="120" w:before="360"/>
      </w:pPr>
      <w:r>
        <w:rPr>
          <w:rFonts w:ascii="Times New Roman" w:cs="Times New Roman" w:eastAsia="Times New Roman" w:hAnsi="Times New Roman"/>
          <w:b/>
          <w:bCs/>
          <w:color w:val="1B3A6B"/>
          <w:sz w:val="30"/>
          <w:szCs w:val="30"/>
        </w:rPr>
        <w:t xml:space="preserve">🛠️ Pratique (80%) — Trois exercices</w:t>
      </w:r>
    </w:p>
    <w:p>
      <w:pPr>
        <w:pStyle w:val="Heading3"/>
        <w:spacing w:after="80" w:before="240"/>
      </w:pPr>
      <w:r>
        <w:rPr>
          <w:rFonts w:ascii="Times New Roman" w:cs="Times New Roman" w:eastAsia="Times New Roman" w:hAnsi="Times New Roman"/>
          <w:b/>
          <w:bCs/>
          <w:color w:val="1F2937"/>
          <w:sz w:val="26"/>
          <w:szCs w:val="26"/>
        </w:rPr>
        <w:t xml:space="preserve">Exercice 1 — Cartographie conceptuelle (compréhension active)</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estimée : 25 minutes.</w:t>
      </w:r>
    </w:p>
    <w:p>
      <w:pPr>
        <w:spacing w:after="80" w:before="80"/>
      </w:pPr>
      <w:r>
        <w:rPr>
          <w:rFonts w:ascii="Times New Roman" w:cs="Times New Roman" w:eastAsia="Times New Roman" w:hAnsi="Times New Roman"/>
          <w:b w:val="false"/>
          <w:bCs w:val="false"/>
          <w:i w:val="false"/>
          <w:iCs w:val="false"/>
          <w:color w:val="1F2937"/>
          <w:sz w:val="22"/>
          <w:szCs w:val="22"/>
        </w:rPr>
        <w:t xml:space="preserve">Matériel : une feuille vierge ou un carnet.</w:t>
      </w:r>
    </w:p>
    <w:p>
      <w:pPr>
        <w:spacing w:after="80" w:before="80"/>
      </w:pPr>
      <w:r>
        <w:rPr>
          <w:rFonts w:ascii="Times New Roman" w:cs="Times New Roman" w:eastAsia="Times New Roman" w:hAnsi="Times New Roman"/>
          <w:b w:val="false"/>
          <w:bCs w:val="false"/>
          <w:i w:val="false"/>
          <w:iCs w:val="false"/>
          <w:color w:val="1F2937"/>
          <w:sz w:val="22"/>
          <w:szCs w:val="22"/>
        </w:rPr>
        <w:t xml:space="preserve">Consigne : sans relire le cours, trace un schéma qui relie ces six termes entre eux. Indique la nature de chaque lien par une flèche légendée (ex. : « est la condition de », « se résorbe dans », « produit le signe de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Rigpa</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Kadag (pureté primordiale)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Lhündrup (présence spontanée)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Cinq lumières primordiales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Cinq éléments grossiers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Jalü (corps d'arc-en-ciel)</w:t>
      </w:r>
    </w:p>
    <w:p>
      <w:pPr>
        <w:spacing w:after="80" w:before="80"/>
      </w:pPr>
      <w:r>
        <w:rPr>
          <w:rFonts w:ascii="Times New Roman" w:cs="Times New Roman" w:eastAsia="Times New Roman" w:hAnsi="Times New Roman"/>
          <w:b w:val="false"/>
          <w:bCs w:val="false"/>
          <w:i w:val="false"/>
          <w:iCs w:val="false"/>
          <w:color w:val="1F2937"/>
          <w:sz w:val="22"/>
          <w:szCs w:val="22"/>
        </w:rPr>
        <w:t xml:space="preserve">Puis relis la section Théorie et corrige ou complète ton schéma en couleur différente.</w:t>
      </w:r>
    </w:p>
    <w:p>
      <w:pPr>
        <w:spacing w:after="80" w:before="80"/>
      </w:pPr>
      <w:r>
        <w:rPr>
          <w:rFonts w:ascii="Times New Roman" w:cs="Times New Roman" w:eastAsia="Times New Roman" w:hAnsi="Times New Roman"/>
          <w:b w:val="false"/>
          <w:bCs w:val="false"/>
          <w:i w:val="false"/>
          <w:iCs w:val="false"/>
          <w:color w:val="1F2937"/>
          <w:sz w:val="22"/>
          <w:szCs w:val="22"/>
        </w:rPr>
        <w:t xml:space="preserve">Ce que vérifie cet exercice : ta capacité à relier la doctrine de la base (leçon 3) et du tögal (leçon 7) à leur aboutissement dans le jalü, sans réciter mécaniquement.</w:t>
      </w:r>
    </w:p>
    <w:p>
      <w:pPr>
        <w:pStyle w:val="Heading3"/>
        <w:spacing w:after="80" w:before="240"/>
      </w:pPr>
      <w:r>
        <w:rPr>
          <w:rFonts w:ascii="Times New Roman" w:cs="Times New Roman" w:eastAsia="Times New Roman" w:hAnsi="Times New Roman"/>
          <w:b/>
          <w:bCs/>
          <w:color w:val="1F2937"/>
          <w:sz w:val="26"/>
          <w:szCs w:val="26"/>
        </w:rPr>
        <w:t xml:space="preserve">Exercice 2 — Lecture critique d'un récit (ancrage &amp; discernement)</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estimée : 30 minutes.</w:t>
      </w:r>
    </w:p>
    <w:p>
      <w:pPr>
        <w:spacing w:after="80" w:before="80"/>
      </w:pPr>
      <w:r>
        <w:rPr>
          <w:rFonts w:ascii="Times New Roman" w:cs="Times New Roman" w:eastAsia="Times New Roman" w:hAnsi="Times New Roman"/>
          <w:b w:val="false"/>
          <w:bCs w:val="false"/>
          <w:i w:val="false"/>
          <w:iCs w:val="false"/>
          <w:color w:val="1F2937"/>
          <w:sz w:val="22"/>
          <w:szCs w:val="22"/>
        </w:rPr>
        <w:t xml:space="preserve">Lis le passage suivant, synthèse non citée à partir des sources récupérées, qui reconstitue les grandes lignes du cas Khenpo A-chö :</w:t>
      </w:r>
    </w:p>
    <w:p>
      <w:pPr>
        <w:shd w:fill="F3F4F6" w:val="clear"/>
        <w:spacing w:after="100" w:before="100"/>
        <w:ind w:left="576"/>
      </w:pPr>
      <w:r>
        <w:rPr>
          <w:rFonts w:ascii="Times New Roman" w:cs="Times New Roman" w:eastAsia="Times New Roman" w:hAnsi="Times New Roman"/>
          <w:i/>
          <w:iCs/>
          <w:color w:val="1B3A6B"/>
          <w:sz w:val="22"/>
          <w:szCs w:val="22"/>
        </w:rPr>
        <w:t xml:space="preserve">« Khenpo A-chö, maître dzogchen du Tibet oriental (1918–1998), meurt après une longue maladie. Ses proches observent que le corps, au lieu de se décomposer, commence à rétrécir. Au huitième jour après la mort, il aurait atteint la taille d'un haricot ; au dixième jour, il avait disparu, ne laissant que les cheveux et les ongles. Des arcs-en-ciel auraient apparu dans le ciel autour du lieu de sa mort. »</w:t>
      </w:r>
      <w:r>
        <w:rPr>
          <w:rFonts w:ascii="Times New Roman" w:cs="Times New Roman" w:eastAsia="Times New Roman" w:hAnsi="Times New Roman"/>
          <w:color w:val="1F2937"/>
          <w:sz w:val="20"/>
          <w:szCs w:val="20"/>
        </w:rPr>
        <w:t xml:space="preserve">  — Synthèse à partir de Lion's Roar — Investigating the Rainbow Body</w:t>
      </w:r>
    </w:p>
    <w:p>
      <w:pPr>
        <w:spacing w:after="80" w:before="80"/>
      </w:pPr>
      <w:r>
        <w:rPr>
          <w:rFonts w:ascii="Times New Roman" w:cs="Times New Roman" w:eastAsia="Times New Roman" w:hAnsi="Times New Roman"/>
          <w:b w:val="false"/>
          <w:bCs w:val="false"/>
          <w:i w:val="false"/>
          <w:iCs w:val="false"/>
          <w:color w:val="1F2937"/>
          <w:sz w:val="22"/>
          <w:szCs w:val="22"/>
        </w:rPr>
        <w:t xml:space="preserve">Travail à faire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Identifie les éléments du récit qui relèvent (a) des signes physiques décrits par la tradition et (b) des éléments narratifs qui donnent une coloration symbolique ou dévotionnelle.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Quelles questions un chercheur en sciences sociales poserait-il sur ce récit (nature des témoins, chaîne de transmission, intérêt du récit pour la communauté) ? Formule au moins trois questions.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Ces questions invalident-elles l'intérêt du récit pour le praticien ? Rédige trois lignes sur la différence entre lecture critique et lecture pratiquante.</w:t>
      </w:r>
    </w:p>
    <w:p>
      <w:pPr>
        <w:spacing w:after="80" w:before="80"/>
      </w:pPr>
      <w:r>
        <w:rPr>
          <w:rFonts w:ascii="Times New Roman" w:cs="Times New Roman" w:eastAsia="Times New Roman" w:hAnsi="Times New Roman"/>
          <w:b w:val="false"/>
          <w:bCs w:val="false"/>
          <w:i w:val="false"/>
          <w:iCs w:val="false"/>
          <w:color w:val="1F2937"/>
          <w:sz w:val="22"/>
          <w:szCs w:val="22"/>
        </w:rPr>
        <w:t xml:space="preserve">Ce que vérifie cet exercice : ta capacité à tenir simultanément une posture de curiosité intellectuelle et une posture d'ouverture au récit de tradition, sans confondre les deux registres.</w:t>
      </w:r>
    </w:p>
    <w:p>
      <w:pPr>
        <w:pStyle w:val="Heading3"/>
        <w:spacing w:after="80" w:before="240"/>
      </w:pPr>
      <w:r>
        <w:rPr>
          <w:rFonts w:ascii="Times New Roman" w:cs="Times New Roman" w:eastAsia="Times New Roman" w:hAnsi="Times New Roman"/>
          <w:b/>
          <w:bCs/>
          <w:color w:val="1F2937"/>
          <w:sz w:val="26"/>
          <w:szCs w:val="26"/>
        </w:rPr>
        <w:t xml:space="preserve">Exercice 3 — Méditation guidée : reposer dans l'ösel (20 minutes)</w:t>
      </w:r>
    </w:p>
    <w:p>
      <w:pPr>
        <w:spacing w:after="80" w:before="80"/>
      </w:pPr>
      <w:r>
        <w:rPr>
          <w:rFonts w:ascii="Times New Roman" w:cs="Times New Roman" w:eastAsia="Times New Roman" w:hAnsi="Times New Roman"/>
          <w:b w:val="false"/>
          <w:bCs w:val="false"/>
          <w:i w:val="false"/>
          <w:iCs w:val="false"/>
          <w:color w:val="1F2937"/>
          <w:sz w:val="22"/>
          <w:szCs w:val="22"/>
        </w:rPr>
        <w:t xml:space="preserve">Préparation : installe-toi en posture assise stable. Ferme les yeux ou fixe doucement un point devant toi.</w:t>
      </w:r>
    </w:p>
    <w:p>
      <w:pPr>
        <w:spacing w:after="80" w:before="80"/>
      </w:pPr>
      <w:r>
        <w:rPr>
          <w:rFonts w:ascii="Times New Roman" w:cs="Times New Roman" w:eastAsia="Times New Roman" w:hAnsi="Times New Roman"/>
          <w:b w:val="false"/>
          <w:bCs w:val="false"/>
          <w:i w:val="false"/>
          <w:iCs w:val="false"/>
          <w:color w:val="1F2937"/>
          <w:sz w:val="22"/>
          <w:szCs w:val="22"/>
        </w:rPr>
        <w:t xml:space="preserve">Phase 1 — Posture &amp; détente (3 min.) : laisse le corps s'asseoir pesamment. Quelques respirations profondes. Relâche les épaules, la mâchoire, le front.</w:t>
      </w:r>
    </w:p>
    <w:p>
      <w:pPr>
        <w:spacing w:after="80" w:before="80"/>
      </w:pPr>
      <w:r>
        <w:rPr>
          <w:rFonts w:ascii="Times New Roman" w:cs="Times New Roman" w:eastAsia="Times New Roman" w:hAnsi="Times New Roman"/>
          <w:b w:val="false"/>
          <w:bCs w:val="false"/>
          <w:i w:val="false"/>
          <w:iCs w:val="false"/>
          <w:color w:val="1F2937"/>
          <w:sz w:val="22"/>
          <w:szCs w:val="22"/>
        </w:rPr>
        <w:t xml:space="preserve">Phase 2 — Rappel du rigpa (5 min.) : rappelle-toi la reconnaissance vue en leçon 1. Pas d'effort de concentration. Simplement : « Qui est conscient en ce moment ? » Laisse la question se dissoudre sans chercher de réponse.</w:t>
      </w:r>
    </w:p>
    <w:p>
      <w:pPr>
        <w:spacing w:after="80" w:before="80"/>
      </w:pPr>
      <w:r>
        <w:rPr>
          <w:rFonts w:ascii="Times New Roman" w:cs="Times New Roman" w:eastAsia="Times New Roman" w:hAnsi="Times New Roman"/>
          <w:b w:val="false"/>
          <w:bCs w:val="false"/>
          <w:i w:val="false"/>
          <w:iCs w:val="false"/>
          <w:color w:val="1F2937"/>
          <w:sz w:val="22"/>
          <w:szCs w:val="22"/>
        </w:rPr>
        <w:t xml:space="preserve">Phase 3 — Contemplation de la lumière intérieure (8 min.) : sans forcer, imagine que chaque cellule du corps est faite de lumière. Non pas une lumière fluorescente ou conceptuelle, mais la luminosité naturelle de la conscience elle-même — ce que les textes appellent ösel (lumière claire). Reste dans cette image sans l'alimenter. Si l'esprit part, reviens sans effort.</w:t>
      </w:r>
    </w:p>
    <w:p>
      <w:pPr>
        <w:spacing w:after="80" w:before="80"/>
      </w:pPr>
      <w:r>
        <w:rPr>
          <w:rFonts w:ascii="Times New Roman" w:cs="Times New Roman" w:eastAsia="Times New Roman" w:hAnsi="Times New Roman"/>
          <w:b w:val="false"/>
          <w:bCs w:val="false"/>
          <w:i w:val="false"/>
          <w:iCs w:val="false"/>
          <w:color w:val="1F2937"/>
          <w:sz w:val="22"/>
          <w:szCs w:val="22"/>
        </w:rPr>
        <w:t xml:space="preserve">Phase 4 — Retour &amp; intégration (4 min.) : quelques respirations profondes. Avant de rouvrir les yeux, pose-toi cette question intérieure : « Y a-t-il quelque chose dans cet instant qui ressemble à ce que les textes appellent pureté primordiale ? » — puis reprends l'activité ordinaire sans chercher à répondre.</w:t>
      </w:r>
    </w:p>
    <w:p>
      <w:pPr>
        <w:spacing w:after="80" w:before="80"/>
      </w:pPr>
      <w:r>
        <w:rPr>
          <w:rFonts w:ascii="Times New Roman" w:cs="Times New Roman" w:eastAsia="Times New Roman" w:hAnsi="Times New Roman"/>
          <w:b w:val="false"/>
          <w:bCs w:val="false"/>
          <w:i w:val="false"/>
          <w:iCs w:val="false"/>
          <w:color w:val="1F2937"/>
          <w:sz w:val="22"/>
          <w:szCs w:val="22"/>
        </w:rPr>
        <w:t xml:space="preserve">Note après la séance (5 min.) : écris trois lignes sur ce que tu as observé, sans jugement de valeur (ni « rien ne s'est passé » ni « c'était extraordinaire » — juste : qu'est-ce qui était là ?).</w:t>
      </w:r>
    </w:p>
    <w:p>
      <w:pPr>
        <w:pBdr>
          <w:bottom w:val="single" w:color="1B3A6B" w:sz="4"/>
        </w:pBdr>
        <w:spacing w:after="120" w:before="120"/>
      </w:pPr>
    </w:p>
    <w:p>
      <w:pPr>
        <w:pStyle w:val="Heading2"/>
        <w:spacing w:after="120" w:before="360"/>
      </w:pPr>
      <w:r>
        <w:rPr>
          <w:rFonts w:ascii="Times New Roman" w:cs="Times New Roman" w:eastAsia="Times New Roman" w:hAnsi="Times New Roman"/>
          <w:b/>
          <w:bCs/>
          <w:color w:val="1B3A6B"/>
          <w:sz w:val="30"/>
          <w:szCs w:val="30"/>
        </w:rPr>
        <w:t xml:space="preserve">🎯 Challenge — Synthèse : doctrine et récit</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estimée : 40 minutes.</w:t>
      </w:r>
    </w:p>
    <w:p>
      <w:pPr>
        <w:spacing w:after="80" w:before="80"/>
      </w:pPr>
      <w:r>
        <w:rPr>
          <w:rFonts w:ascii="Times New Roman" w:cs="Times New Roman" w:eastAsia="Times New Roman" w:hAnsi="Times New Roman"/>
          <w:b w:val="false"/>
          <w:bCs w:val="false"/>
          <w:i w:val="false"/>
          <w:iCs w:val="false"/>
          <w:color w:val="1F2937"/>
          <w:sz w:val="22"/>
          <w:szCs w:val="22"/>
        </w:rPr>
        <w:t xml:space="preserve">Exercice en deux temps :</w:t>
      </w:r>
    </w:p>
    <w:p>
      <w:pPr>
        <w:spacing w:after="80" w:before="80"/>
      </w:pPr>
      <w:r>
        <w:rPr>
          <w:rFonts w:ascii="Times New Roman" w:cs="Times New Roman" w:eastAsia="Times New Roman" w:hAnsi="Times New Roman"/>
          <w:b w:val="false"/>
          <w:bCs w:val="false"/>
          <w:i w:val="false"/>
          <w:iCs w:val="false"/>
          <w:color w:val="1F2937"/>
          <w:sz w:val="22"/>
          <w:szCs w:val="22"/>
        </w:rPr>
        <w:t xml:space="preserve">Temps 1 (20 min.) : rédige un paragraphe de 150 à 200 mots expliquant à quelqu'un qui n'a jamais entendu parler de dzogchen POURQUOI la tradition présente le corps d'arc-en-ciel comme une conséquence logique de la pratique, et non comme un miracle surnaturel. Tu dois mobiliser au moins trois termes techniques vus dans ce parcours (leçons 1 à 13 incluses).</w:t>
      </w:r>
    </w:p>
    <w:p>
      <w:pPr>
        <w:spacing w:after="80" w:before="80"/>
      </w:pPr>
      <w:r>
        <w:rPr>
          <w:rFonts w:ascii="Times New Roman" w:cs="Times New Roman" w:eastAsia="Times New Roman" w:hAnsi="Times New Roman"/>
          <w:b w:val="false"/>
          <w:bCs w:val="false"/>
          <w:i w:val="false"/>
          <w:iCs w:val="false"/>
          <w:color w:val="1F2937"/>
          <w:sz w:val="22"/>
          <w:szCs w:val="22"/>
        </w:rPr>
        <w:t xml:space="preserve">Temps 2 (20 min.) : choisis un des maîtres du tableau (ci-dessus) dont le cas t'a le plus interpellé, et écris une page de journal imaginaire d'un témoin de l'époque — quelqu'un qui était présent et qui essaie de mettre des mots sur ce qu'il a observé, sans être sûr de ce qu'il voit. Reste dans l'ambiguïté : ni croyant naïf, ni sceptique cynique.</w:t>
      </w:r>
    </w:p>
    <w:p>
      <w:pPr>
        <w:spacing w:after="80" w:before="80"/>
      </w:pPr>
      <w:r>
        <w:rPr>
          <w:rFonts w:ascii="Times New Roman" w:cs="Times New Roman" w:eastAsia="Times New Roman" w:hAnsi="Times New Roman"/>
          <w:b w:val="false"/>
          <w:bCs w:val="false"/>
          <w:i w:val="false"/>
          <w:iCs w:val="false"/>
          <w:color w:val="1F2937"/>
          <w:sz w:val="22"/>
          <w:szCs w:val="22"/>
        </w:rPr>
        <w:t xml:space="preserve">Ce que vérifie ce challenge : ta capacité à articuler doctrine et récit, théorie et expérience humaine — l'un des enjeux centraux du dzogchen comme voie vivante.</w:t>
      </w:r>
    </w:p>
    <w:p>
      <w:pPr>
        <w:pBdr>
          <w:bottom w:val="single" w:color="1B3A6B" w:sz="4"/>
        </w:pBdr>
        <w:spacing w:after="120" w:before="120"/>
      </w:pPr>
    </w:p>
    <w:p>
      <w:pPr>
        <w:pStyle w:val="Heading2"/>
        <w:spacing w:after="120" w:before="360"/>
      </w:pPr>
      <w:r>
        <w:rPr>
          <w:rFonts w:ascii="Times New Roman" w:cs="Times New Roman" w:eastAsia="Times New Roman" w:hAnsi="Times New Roman"/>
          <w:b/>
          <w:bCs/>
          <w:color w:val="1B3A6B"/>
          <w:sz w:val="30"/>
          <w:szCs w:val="30"/>
        </w:rPr>
        <w:t xml:space="preserve">🌉 Pont pro (court)</w:t>
      </w:r>
    </w:p>
    <w:p>
      <w:pPr>
        <w:spacing w:after="80" w:before="80"/>
      </w:pPr>
      <w:r>
        <w:rPr>
          <w:rFonts w:ascii="Times New Roman" w:cs="Times New Roman" w:eastAsia="Times New Roman" w:hAnsi="Times New Roman"/>
          <w:b w:val="false"/>
          <w:bCs w:val="false"/>
          <w:i w:val="false"/>
          <w:iCs w:val="false"/>
          <w:color w:val="1F2937"/>
          <w:sz w:val="22"/>
          <w:szCs w:val="22"/>
        </w:rPr>
        <w:t xml:space="preserve">En ESSMS, nous travaillons régulièrement avec des équipes confrontées à la mort de personnes accompagnées — parfois de manière répétée, parfois soudaine. La réflexion sur ce que différentes traditions font des récits autour de la mort (ici : les récits de jalü) n'est pas un contenu à transmettre en équipe ni une grille d'interprétation professionnelle.</w:t>
      </w:r>
    </w:p>
    <w:p>
      <w:pPr>
        <w:spacing w:after="80" w:before="80"/>
      </w:pPr>
      <w:r>
        <w:rPr>
          <w:rFonts w:ascii="Times New Roman" w:cs="Times New Roman" w:eastAsia="Times New Roman" w:hAnsi="Times New Roman"/>
          <w:b w:val="false"/>
          <w:bCs w:val="false"/>
          <w:i w:val="false"/>
          <w:iCs w:val="false"/>
          <w:color w:val="1F2937"/>
          <w:sz w:val="22"/>
          <w:szCs w:val="22"/>
        </w:rPr>
        <w:t xml:space="preserve">Ce que ce travail personnel peut nourrir : une capacité à tenir l'incertitude face aux récits que les familles ou les personnes accompagnées peuvent partager sur la mort, sans les invalider ni les adopter mécaniquement. Cela relève de la préparation personnelle du professionnel, pas d'un cadre d'intervention.</w:t>
      </w:r>
    </w:p>
    <w:p>
      <w:pPr>
        <w:pBdr>
          <w:bottom w:val="single" w:color="1B3A6B" w:sz="4"/>
        </w:pBdr>
        <w:spacing w:after="120" w:before="120"/>
      </w:pPr>
    </w:p>
    <w:p>
      <w:pPr>
        <w:pStyle w:val="Heading2"/>
        <w:spacing w:after="120" w:before="360"/>
      </w:pPr>
      <w:r>
        <w:rPr>
          <w:rFonts w:ascii="Times New Roman" w:cs="Times New Roman" w:eastAsia="Times New Roman" w:hAnsi="Times New Roman"/>
          <w:b/>
          <w:bCs/>
          <w:color w:val="1B3A6B"/>
          <w:sz w:val="30"/>
          <w:szCs w:val="30"/>
        </w:rPr>
        <w:t xml:space="preserve">📚 Ressources cliquables</w:t>
      </w:r>
    </w:p>
    <w:p>
      <w:pPr>
        <w:spacing w:after="80" w:before="80"/>
      </w:pPr>
      <w:r>
        <w:rPr>
          <w:rFonts w:ascii="Times New Roman" w:cs="Times New Roman" w:eastAsia="Times New Roman" w:hAnsi="Times New Roman"/>
          <w:b w:val="false"/>
          <w:bCs w:val="false"/>
          <w:i w:val="false"/>
          <w:iCs w:val="false"/>
          <w:color w:val="1F2937"/>
          <w:sz w:val="22"/>
          <w:szCs w:val="22"/>
        </w:rPr>
        <w:t xml:space="preserve">Toutes ces URLs ont été testées pendant cette exécution (codes HTTP indiqués).</w:t>
      </w:r>
    </w:p>
    <w:p>
      <w:pPr>
        <w:spacing w:after="80" w:before="80"/>
      </w:pPr>
      <w:hyperlink w:history="1" r:id="rId1ksii3u0ml66qfg05_w8z">
        <w:r>
          <w:rPr>
            <w:rFonts w:ascii="Times New Roman" w:cs="Times New Roman" w:eastAsia="Times New Roman" w:hAnsi="Times New Roman"/>
            <w:color w:val="1155CC"/>
            <w:sz w:val="22"/>
            <w:szCs w:val="22"/>
            <w:u w:val="single"/>
          </w:rPr>
          <w:t xml:space="preserve">Rainbow body — Wikipedia</w:t>
        </w:r>
      </w:hyperlink>
      <w:r>
        <w:rPr>
          <w:rFonts w:ascii="Times New Roman" w:cs="Times New Roman" w:eastAsia="Times New Roman" w:hAnsi="Times New Roman"/>
          <w:color w:val="1F2937"/>
          <w:sz w:val="22"/>
          <w:szCs w:val="22"/>
        </w:rPr>
        <w:t xml:space="preserve"> — Vue d'ensemble encyclopédique : terminologie, cas historiques, fondement doctrinal. (200 ✅)</w:t>
      </w:r>
    </w:p>
    <w:p>
      <w:pPr>
        <w:spacing w:after="80" w:before="80"/>
      </w:pPr>
      <w:hyperlink w:history="1" r:id="rIdbv3ccvh8iztmgxjobdzxz">
        <w:r>
          <w:rPr>
            <w:rFonts w:ascii="Times New Roman" w:cs="Times New Roman" w:eastAsia="Times New Roman" w:hAnsi="Times New Roman"/>
            <w:color w:val="1155CC"/>
            <w:sz w:val="22"/>
            <w:szCs w:val="22"/>
            <w:u w:val="single"/>
          </w:rPr>
          <w:t xml:space="preserve">What Is Rainbow Body? — Lion's Roar</w:t>
        </w:r>
      </w:hyperlink>
      <w:r>
        <w:rPr>
          <w:rFonts w:ascii="Times New Roman" w:cs="Times New Roman" w:eastAsia="Times New Roman" w:hAnsi="Times New Roman"/>
          <w:color w:val="1F2937"/>
          <w:sz w:val="22"/>
          <w:szCs w:val="22"/>
        </w:rPr>
        <w:t xml:space="preserve"> — Introduction accessible au phénomène, bien sourcée. (200 ✅)</w:t>
      </w:r>
    </w:p>
    <w:p>
      <w:pPr>
        <w:spacing w:after="80" w:before="80"/>
      </w:pPr>
      <w:hyperlink w:history="1" r:id="rIdxz8j1ketw-fapeivfioon">
        <w:r>
          <w:rPr>
            <w:rFonts w:ascii="Times New Roman" w:cs="Times New Roman" w:eastAsia="Times New Roman" w:hAnsi="Times New Roman"/>
            <w:color w:val="1155CC"/>
            <w:sz w:val="22"/>
            <w:szCs w:val="22"/>
            <w:u w:val="single"/>
          </w:rPr>
          <w:t xml:space="preserve">Investigating the Rainbow Body — Lion's Roar</w:t>
        </w:r>
      </w:hyperlink>
      <w:r>
        <w:rPr>
          <w:rFonts w:ascii="Times New Roman" w:cs="Times New Roman" w:eastAsia="Times New Roman" w:hAnsi="Times New Roman"/>
          <w:color w:val="1F2937"/>
          <w:sz w:val="22"/>
          <w:szCs w:val="22"/>
        </w:rPr>
        <w:t xml:space="preserve"> — Analyse critique des récits : cas Khenpo A-chö, tension entre témoignage et documentation. (200 ✅)</w:t>
      </w:r>
    </w:p>
    <w:p>
      <w:pPr>
        <w:spacing w:after="80" w:before="80"/>
      </w:pPr>
      <w:hyperlink w:history="1" r:id="rIddloxttsbersal2e2_rttn">
        <w:r>
          <w:rPr>
            <w:rFonts w:ascii="Times New Roman" w:cs="Times New Roman" w:eastAsia="Times New Roman" w:hAnsi="Times New Roman"/>
            <w:color w:val="1155CC"/>
            <w:sz w:val="22"/>
            <w:szCs w:val="22"/>
            <w:u w:val="single"/>
          </w:rPr>
          <w:t xml:space="preserve">The Rainbow Body in Tibetan Buddhism (In-Depth Edition) — The Backyard Buddhist</w:t>
        </w:r>
      </w:hyperlink>
      <w:r>
        <w:rPr>
          <w:rFonts w:ascii="Times New Roman" w:cs="Times New Roman" w:eastAsia="Times New Roman" w:hAnsi="Times New Roman"/>
          <w:color w:val="1F2937"/>
          <w:sz w:val="22"/>
          <w:szCs w:val="22"/>
        </w:rPr>
        <w:t xml:space="preserve"> — Article de fond, perspective contemporaine, signes et processus détaillés. (200 ✅)</w:t>
      </w:r>
    </w:p>
    <w:p>
      <w:pPr>
        <w:spacing w:after="80" w:before="80"/>
      </w:pPr>
      <w:hyperlink w:history="1" r:id="rIdnfdxxnfdqykuzdx9nbbnm">
        <w:r>
          <w:rPr>
            <w:rFonts w:ascii="Times New Roman" w:cs="Times New Roman" w:eastAsia="Times New Roman" w:hAnsi="Times New Roman"/>
            <w:color w:val="1155CC"/>
            <w:sz w:val="22"/>
            <w:szCs w:val="22"/>
            <w:u w:val="single"/>
          </w:rPr>
          <w:t xml:space="preserve">Rainbow signs at Thrangu Rinpoche's Monastery — Dakini Translations</w:t>
        </w:r>
      </w:hyperlink>
      <w:r>
        <w:rPr>
          <w:rFonts w:ascii="Times New Roman" w:cs="Times New Roman" w:eastAsia="Times New Roman" w:hAnsi="Times New Roman"/>
          <w:color w:val="1F2937"/>
          <w:sz w:val="22"/>
          <w:szCs w:val="22"/>
        </w:rPr>
        <w:t xml:space="preserve"> — Témoignage contemporain (2023) : signes observés lors des 49 jours de rituels funèbres. (200 ✅)</w:t>
      </w:r>
    </w:p>
    <w:p>
      <w:pPr>
        <w:spacing w:after="80" w:before="80"/>
      </w:pPr>
      <w:hyperlink w:history="1" r:id="rIdxawfkynfyo2-qbwae4xr1">
        <w:r>
          <w:rPr>
            <w:rFonts w:ascii="Times New Roman" w:cs="Times New Roman" w:eastAsia="Times New Roman" w:hAnsi="Times New Roman"/>
            <w:color w:val="1155CC"/>
            <w:sz w:val="22"/>
            <w:szCs w:val="22"/>
            <w:u w:val="single"/>
          </w:rPr>
          <w:t xml:space="preserve">Modern perception of the rainbow body phenomenon — Academia.edu</w:t>
        </w:r>
      </w:hyperlink>
      <w:r>
        <w:rPr>
          <w:rFonts w:ascii="Times New Roman" w:cs="Times New Roman" w:eastAsia="Times New Roman" w:hAnsi="Times New Roman"/>
          <w:color w:val="1F2937"/>
          <w:sz w:val="22"/>
          <w:szCs w:val="22"/>
        </w:rPr>
        <w:t xml:space="preserve"> — Étude académique sur la réception contemporaine du phénomène. (403 — accès bloqué côté robot, page probablement accessible manuellement)</w:t>
      </w:r>
    </w:p>
    <w:p>
      <w:pPr>
        <w:pBdr>
          <w:bottom w:val="single" w:color="1B3A6B" w:sz="4"/>
        </w:pBdr>
        <w:spacing w:after="120" w:before="120"/>
      </w:pPr>
    </w:p>
    <w:p>
      <w:pPr>
        <w:pStyle w:val="Heading2"/>
        <w:spacing w:after="120" w:before="360"/>
      </w:pPr>
      <w:r>
        <w:rPr>
          <w:rFonts w:ascii="Times New Roman" w:cs="Times New Roman" w:eastAsia="Times New Roman" w:hAnsi="Times New Roman"/>
          <w:b/>
          <w:bCs/>
          <w:color w:val="1B3A6B"/>
          <w:sz w:val="30"/>
          <w:szCs w:val="30"/>
        </w:rPr>
        <w:t xml:space="preserve">🔜 Prochaine leçon — n°15 / 20</w:t>
      </w:r>
    </w:p>
    <w:p>
      <w:pPr>
        <w:spacing w:after="80" w:before="80"/>
      </w:pPr>
      <w:r>
        <w:rPr>
          <w:rFonts w:ascii="Times New Roman" w:cs="Times New Roman" w:eastAsia="Times New Roman" w:hAnsi="Times New Roman"/>
          <w:b w:val="false"/>
          <w:bCs w:val="false"/>
          <w:i w:val="false"/>
          <w:iCs w:val="false"/>
          <w:color w:val="1F2937"/>
          <w:sz w:val="22"/>
          <w:szCs w:val="22"/>
        </w:rPr>
        <w:t xml:space="preserve">Longchenpa et les Sept Trésors</w:t>
      </w:r>
    </w:p>
    <w:p>
      <w:pPr>
        <w:spacing w:after="80" w:before="80"/>
      </w:pPr>
      <w:r>
        <w:rPr>
          <w:rFonts w:ascii="Times New Roman" w:cs="Times New Roman" w:eastAsia="Times New Roman" w:hAnsi="Times New Roman"/>
          <w:b w:val="false"/>
          <w:bCs w:val="false"/>
          <w:i w:val="false"/>
          <w:iCs w:val="false"/>
          <w:color w:val="1F2937"/>
          <w:sz w:val="22"/>
          <w:szCs w:val="22"/>
        </w:rPr>
        <w:t xml:space="preserve">Longchen Rabjam (1308–1364), dit Longchenpa, est le grand systématisateur du dzogchen nyingma. Ses Sept Trésors (Dzö Dün) constituent la synthèse doctrinale la plus complète de la Grande Perfection. La prochaine leçon te permettra de lire ces textes comme une carte du territoire que tu parcours depuis la leçon 1.</w:t>
      </w:r>
    </w:p>
    <w:p>
      <w:pPr>
        <w:pBdr>
          <w:bottom w:val="single" w:color="1B3A6B" w:sz="4"/>
        </w:pBdr>
        <w:spacing w:after="120" w:before="120"/>
      </w:pPr>
    </w:p>
    <w:p>
      <w:pPr>
        <w:spacing w:before="240"/>
        <w:jc w:val="center"/>
      </w:pPr>
      <w:r>
        <w:rPr>
          <w:rFonts w:ascii="Times New Roman" w:cs="Times New Roman" w:eastAsia="Times New Roman" w:hAnsi="Times New Roman"/>
          <w:i/>
          <w:iCs/>
          <w:color w:val="888888"/>
          <w:sz w:val="18"/>
          <w:szCs w:val="18"/>
        </w:rPr>
        <w:t xml:space="preserve">Parcours Dzogchen — Leçon 14 / 20  |  Usage personnel  |  1er septembre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ksii3u0ml66qfg05_w8z" Type="http://schemas.openxmlformats.org/officeDocument/2006/relationships/hyperlink" Target="https://en.wikipedia.org/wiki/Rainbow_body" TargetMode="External"/><Relationship Id="rIdbv3ccvh8iztmgxjobdzxz" Type="http://schemas.openxmlformats.org/officeDocument/2006/relationships/hyperlink" Target="https://www.lionsroar.com/what-is-rainbow-body/" TargetMode="External"/><Relationship Id="rIdxz8j1ketw-fapeivfioon" Type="http://schemas.openxmlformats.org/officeDocument/2006/relationships/hyperlink" Target="https://www.lionsroar.com/investigating-the-rainbow-body/" TargetMode="External"/><Relationship Id="rIddloxttsbersal2e2_rttn" Type="http://schemas.openxmlformats.org/officeDocument/2006/relationships/hyperlink" Target="https://thebackyardbuddhist.substack.com/p/the-rainbow-body-in-tibetan-buddhism" TargetMode="External"/><Relationship Id="rIdnfdxxnfdqykuzdx9nbbnm" Type="http://schemas.openxmlformats.org/officeDocument/2006/relationships/hyperlink" Target="https://dakinitranslations.com/2023/07/08/somewhere-over-the-rainbow-at-thrangu-rinpoches-monastery-remarkable-and-auspicious-rainbow-signs-at-thrangu-rinpoches-nepal-monastery-during-49-day-parinirvana-ritual/" TargetMode="External"/><Relationship Id="rIdxawfkynfyo2-qbwae4xr1" Type="http://schemas.openxmlformats.org/officeDocument/2006/relationships/hyperlink" Target="https://www.academia.edu/127852484/Modern_perception_of_the_rainbow_body_phenomenon_in_Tibetan_Buddhism"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2026-09-01T06:07:33.547Z</dcterms:created>
  <dcterms:modified xsi:type="dcterms:W3CDTF">2026-09-01T06:07:34.122Z</dcterms:modified>
</cp:coreProperties>
</file>

<file path=docProps/custom.xml><?xml version="1.0" encoding="utf-8"?>
<Properties xmlns="http://schemas.openxmlformats.org/officeDocument/2006/custom-properties" xmlns:vt="http://schemas.openxmlformats.org/officeDocument/2006/docPropsVTypes"/>
</file>