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High sensitivity GPS receiver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Records position, speed/pace, distance and calories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Easy-to-use, button operated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Virtual Pacer compares current pace to target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Auto Lap and pause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 xml:space="preserve">Display size, </w:t>
      </w:r>
      <w:proofErr w:type="spellStart"/>
      <w:r w:rsidRPr="00B02197">
        <w:rPr>
          <w:rFonts w:ascii="Arial" w:eastAsia="Times New Roman" w:hAnsi="Arial" w:cs="Arial"/>
          <w:color w:val="111111"/>
          <w:sz w:val="20"/>
          <w:szCs w:val="20"/>
        </w:rPr>
        <w:t>WxH</w:t>
      </w:r>
      <w:proofErr w:type="spellEnd"/>
      <w:r w:rsidRPr="00B02197">
        <w:rPr>
          <w:rFonts w:ascii="Arial" w:eastAsia="Times New Roman" w:hAnsi="Arial" w:cs="Arial"/>
          <w:color w:val="111111"/>
          <w:sz w:val="20"/>
          <w:szCs w:val="20"/>
        </w:rPr>
        <w:t xml:space="preserve">: 0.81” x 0.77” Display resolution, </w:t>
      </w:r>
      <w:proofErr w:type="spellStart"/>
      <w:r w:rsidRPr="00B02197">
        <w:rPr>
          <w:rFonts w:ascii="Arial" w:eastAsia="Times New Roman" w:hAnsi="Arial" w:cs="Arial"/>
          <w:color w:val="111111"/>
          <w:sz w:val="20"/>
          <w:szCs w:val="20"/>
        </w:rPr>
        <w:t>WxH</w:t>
      </w:r>
      <w:proofErr w:type="spellEnd"/>
      <w:r w:rsidRPr="00B02197">
        <w:rPr>
          <w:rFonts w:ascii="Arial" w:eastAsia="Times New Roman" w:hAnsi="Arial" w:cs="Arial"/>
          <w:color w:val="111111"/>
          <w:sz w:val="20"/>
          <w:szCs w:val="20"/>
        </w:rPr>
        <w:t>: 55 x 32 pixels</w:t>
      </w:r>
    </w:p>
    <w:p w:rsidR="00B02197" w:rsidRPr="00B02197" w:rsidRDefault="00B02197" w:rsidP="00B02197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Water resistant: yes (50m) GPS-enabled: yes High-sensitivity receiver: yes History: 7 activities</w:t>
      </w:r>
    </w:p>
    <w:p w:rsidR="00B02197" w:rsidRPr="00B0219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Garmin Connect compatible: yes Auto Pause: yes Auto Lap: yes Customizable screen(s): yes Shock Resistant: yes Sport watch: yes</w:t>
      </w:r>
    </w:p>
    <w:p w:rsidR="00B02197" w:rsidRPr="00B0219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 xml:space="preserve">Additional: Virtual Pacer (compares current running pace to target): </w:t>
      </w:r>
      <w:proofErr w:type="spellStart"/>
      <w:r w:rsidRPr="00B02197">
        <w:rPr>
          <w:rFonts w:ascii="Arial" w:eastAsia="Times New Roman" w:hAnsi="Arial" w:cs="Arial"/>
          <w:color w:val="111111"/>
          <w:sz w:val="20"/>
          <w:szCs w:val="20"/>
        </w:rPr>
        <w:t>yesPersonal</w:t>
      </w:r>
      <w:proofErr w:type="spellEnd"/>
      <w:r w:rsidRPr="00B02197">
        <w:rPr>
          <w:rFonts w:ascii="Arial" w:eastAsia="Times New Roman" w:hAnsi="Arial" w:cs="Arial"/>
          <w:color w:val="111111"/>
          <w:sz w:val="20"/>
          <w:szCs w:val="20"/>
        </w:rPr>
        <w:t xml:space="preserve"> Records: </w:t>
      </w:r>
      <w:proofErr w:type="spellStart"/>
      <w:r w:rsidRPr="00B02197">
        <w:rPr>
          <w:rFonts w:ascii="Arial" w:eastAsia="Times New Roman" w:hAnsi="Arial" w:cs="Arial"/>
          <w:color w:val="111111"/>
          <w:sz w:val="20"/>
          <w:szCs w:val="20"/>
        </w:rPr>
        <w:t>yesRun</w:t>
      </w:r>
      <w:proofErr w:type="spellEnd"/>
      <w:r w:rsidRPr="00B02197">
        <w:rPr>
          <w:rFonts w:ascii="Arial" w:eastAsia="Times New Roman" w:hAnsi="Arial" w:cs="Arial"/>
          <w:color w:val="111111"/>
          <w:sz w:val="20"/>
          <w:szCs w:val="20"/>
        </w:rPr>
        <w:t>/walk feature: yes</w:t>
      </w:r>
    </w:p>
    <w:p w:rsidR="00B02197" w:rsidRPr="00B02197" w:rsidRDefault="00B02197" w:rsidP="00B02197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949494"/>
          <w:sz w:val="20"/>
          <w:szCs w:val="20"/>
        </w:rPr>
      </w:pPr>
      <w:r w:rsidRPr="00B02197">
        <w:rPr>
          <w:rFonts w:ascii="Arial" w:eastAsia="Times New Roman" w:hAnsi="Arial" w:cs="Arial"/>
          <w:color w:val="111111"/>
          <w:sz w:val="20"/>
          <w:szCs w:val="20"/>
        </w:rPr>
        <w:t>Battery: rechargeable lithium-ion Battery life: 5 weeks in power save mode; 5 hours in training mode</w:t>
      </w:r>
    </w:p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85EF6"/>
    <w:multiLevelType w:val="multilevel"/>
    <w:tmpl w:val="8CD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9B7879"/>
    <w:multiLevelType w:val="multilevel"/>
    <w:tmpl w:val="108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97"/>
    <w:rsid w:val="00B02197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B021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B02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2018-05-25T08:18:00Z</dcterms:created>
  <dcterms:modified xsi:type="dcterms:W3CDTF">2018-05-25T08:21:00Z</dcterms:modified>
</cp:coreProperties>
</file>