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canton-network-payment-flow-analysis"/>
    <w:p>
      <w:pPr>
        <w:pStyle w:val="Heading1"/>
      </w:pPr>
      <w:r>
        <w:t xml:space="preserve">Canton Network Payment Flow Analysis</w:t>
      </w:r>
    </w:p>
    <w:bookmarkStart w:id="9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Canton Network operates as a privacy-enabled institutional blockchain processing reported $6 trillion in tokenized assets and $280 billion in daily repo volume according to industry sources. The network employs a distinct economic model featuring zero pre-allocation and a burn-and-mint equilibrium mechanism. This analysis examines Canton’s payment flows, token distribution, and economic sustainability relative to traditional L1 networks analyzed in our broader research.</w:t>
      </w:r>
    </w:p>
    <w:bookmarkEnd w:id="9"/>
    <w:bookmarkStart w:id="12" w:name="network-overview"/>
    <w:p>
      <w:pPr>
        <w:pStyle w:val="Heading2"/>
      </w:pPr>
      <w:r>
        <w:t xml:space="preserve">Network Overview</w:t>
      </w:r>
    </w:p>
    <w:bookmarkStart w:id="10" w:name="reported-metrics-2025"/>
    <w:p>
      <w:pPr>
        <w:pStyle w:val="Heading3"/>
      </w:pPr>
      <w:r>
        <w:t xml:space="preserve">Reported Metrics (2025)</w:t>
      </w:r>
    </w:p>
    <w:p>
      <w:pPr>
        <w:pStyle w:val="FirstParagraph"/>
      </w:pPr>
      <w:r>
        <w:rPr>
          <w:i/>
          <w:iCs/>
        </w:rPr>
        <w:t xml:space="preserve">Note: Figures sourced from third-party reports and news coverage, not independently verified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Value Secured</w:t>
      </w:r>
      <w:r>
        <w:t xml:space="preserve">: $6 trillion in tokenized RWA (per industry reports)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Daily Transaction Volume</w:t>
      </w:r>
      <w:r>
        <w:t xml:space="preserve">: $280 billion in repos (reported)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Network Participants</w:t>
      </w:r>
      <w:r>
        <w:t xml:space="preserve">: 400+ institutions (claimed)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Validator Count</w:t>
      </w:r>
      <w:r>
        <w:t xml:space="preserve">: 500+ validators, 30+ super validators (reported)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Daily Transactions</w:t>
      </w:r>
      <w:r>
        <w:t xml:space="preserve">: 3 million ledger events (confirmed by Canton blog)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Token Supply</w:t>
      </w:r>
      <w:r>
        <w:t xml:space="preserve">: ~28.48B Canton Coin (CC) in circulation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Network Launch</w:t>
      </w:r>
      <w:r>
        <w:t xml:space="preserve">: July 2024 (Global Synchronizer MainNet)</w:t>
      </w:r>
    </w:p>
    <w:bookmarkEnd w:id="10"/>
    <w:bookmarkStart w:id="11" w:name="institutional-participants"/>
    <w:p>
      <w:pPr>
        <w:pStyle w:val="Heading3"/>
      </w:pPr>
      <w:r>
        <w:t xml:space="preserve">Institutional Participants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Major Banks</w:t>
      </w:r>
      <w:r>
        <w:t xml:space="preserve">: Goldman Sachs, JPMorgan, Bank of America, Deutsche Bank, BNP Paribas, HSBC, Barclays, Citi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Infrastructure Providers</w:t>
      </w:r>
      <w:r>
        <w:t xml:space="preserve">: Microsoft, Chainlink, Coin Metrics, Kiln, P2P.org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Trading Firms</w:t>
      </w:r>
      <w:r>
        <w:t xml:space="preserve">: DRW Trading, Tradeweb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Other</w:t>
      </w:r>
      <w:r>
        <w:t xml:space="preserve">: Circle, BitSafe, Zerohash</w:t>
      </w:r>
    </w:p>
    <w:bookmarkEnd w:id="11"/>
    <w:bookmarkEnd w:id="12"/>
    <w:bookmarkStart w:id="18" w:name="economic-model"/>
    <w:p>
      <w:pPr>
        <w:pStyle w:val="Heading2"/>
      </w:pPr>
      <w:r>
        <w:t xml:space="preserve">Economic Model</w:t>
      </w:r>
    </w:p>
    <w:bookmarkStart w:id="15" w:name="canton-coin-cc-tokenomics"/>
    <w:p>
      <w:pPr>
        <w:pStyle w:val="Heading3"/>
      </w:pPr>
      <w:r>
        <w:t xml:space="preserve">Canton Coin (CC) Tokenomics</w:t>
      </w:r>
    </w:p>
    <w:bookmarkStart w:id="13" w:name="no-pre-allocation-structure"/>
    <w:p>
      <w:pPr>
        <w:pStyle w:val="Heading4"/>
      </w:pPr>
      <w:r>
        <w:t xml:space="preserve">No Pre-Allocation Structure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Zero pre-mine</w:t>
      </w:r>
      <w:r>
        <w:t xml:space="preserve">: No tokens created before network launch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VC allocations</w:t>
      </w:r>
      <w:r>
        <w:t xml:space="preserve">: Absence of traditional investor token allocations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founder tokens</w:t>
      </w:r>
      <w:r>
        <w:t xml:space="preserve">: No team or foundation pre-allocation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Distribution Method</w:t>
      </w:r>
      <w:r>
        <w:t xml:space="preserve">: Tokens distributed solely through network participation</w:t>
      </w:r>
    </w:p>
    <w:bookmarkEnd w:id="13"/>
    <w:bookmarkStart w:id="14" w:name="supply-dynamics"/>
    <w:p>
      <w:pPr>
        <w:pStyle w:val="Heading4"/>
      </w:pPr>
      <w:r>
        <w:t xml:space="preserve">Supply Dynamics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Current Supply</w:t>
      </w:r>
      <w:r>
        <w:t xml:space="preserve">: ~28.48 billion CC (February 2025)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10-Year Target</w:t>
      </w:r>
      <w:r>
        <w:t xml:space="preserve">: ~100 billion CC maximum supply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Annual Issuance Post-10 Years</w:t>
      </w:r>
      <w:r>
        <w:t xml:space="preserve">: 2.5 billion CC constant rate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Burn-and-Mint Equilibrium</w:t>
      </w:r>
      <w:r>
        <w:t xml:space="preserve">: ~2.5 billion CC burned and minted annually</w:t>
      </w:r>
    </w:p>
    <w:bookmarkEnd w:id="14"/>
    <w:bookmarkEnd w:id="15"/>
    <w:bookmarkStart w:id="17" w:name="fee-structure"/>
    <w:p>
      <w:pPr>
        <w:pStyle w:val="Heading3"/>
      </w:pPr>
      <w:r>
        <w:t xml:space="preserve">Fee Structure</w:t>
      </w:r>
    </w:p>
    <w:bookmarkStart w:id="16" w:name="transaction-fees"/>
    <w:p>
      <w:pPr>
        <w:pStyle w:val="Heading4"/>
      </w:pPr>
      <w:r>
        <w:t xml:space="preserve">Transaction Fees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Fee Denomination</w:t>
      </w:r>
      <w:r>
        <w:t xml:space="preserve">: All fees denominated in USD (not CC)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Token Price</w:t>
      </w:r>
      <w:r>
        <w:t xml:space="preserve">: CC price floats based on market value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Fee Burning</w:t>
      </w:r>
      <w:r>
        <w:t xml:space="preserve">: Usage fees are burned, reducing supply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Transparency</w:t>
      </w:r>
      <w:r>
        <w:t xml:space="preserve">: Fee distributions published despite transaction privacy</w:t>
      </w:r>
    </w:p>
    <w:bookmarkEnd w:id="16"/>
    <w:bookmarkEnd w:id="17"/>
    <w:bookmarkEnd w:id="18"/>
    <w:bookmarkStart w:id="28" w:name="payment-flow-distribution"/>
    <w:p>
      <w:pPr>
        <w:pStyle w:val="Heading2"/>
      </w:pPr>
      <w:r>
        <w:t xml:space="preserve">Payment Flow Distribution</w:t>
      </w:r>
    </w:p>
    <w:bookmarkStart w:id="20" w:name="when-users-pay-1-in-canton-network-fees"/>
    <w:p>
      <w:pPr>
        <w:pStyle w:val="Heading3"/>
      </w:pPr>
      <w:r>
        <w:t xml:space="preserve">When Users Pay $1 in Canton Network Fees:</w:t>
      </w:r>
    </w:p>
    <w:bookmarkStart w:id="19" w:name="direct-fee-recipients"/>
    <w:p>
      <w:pPr>
        <w:pStyle w:val="Heading4"/>
      </w:pPr>
      <w:r>
        <w:t xml:space="preserve">Direct Fee Recipients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Network Burn</w:t>
      </w:r>
      <w:r>
        <w:t xml:space="preserve">: $1.00 (100% of fees burned)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New Minting</w:t>
      </w:r>
      <w:r>
        <w:t xml:space="preserve">: Distributed based on participation metrics</w:t>
      </w:r>
    </w:p>
    <w:bookmarkEnd w:id="19"/>
    <w:bookmarkEnd w:id="20"/>
    <w:bookmarkStart w:id="23" w:name="canton-coin-reward-distribution"/>
    <w:p>
      <w:pPr>
        <w:pStyle w:val="Heading3"/>
      </w:pPr>
      <w:r>
        <w:t xml:space="preserve">Canton Coin Reward Distribution</w:t>
      </w:r>
    </w:p>
    <w:bookmarkStart w:id="21" w:name="current-phase-2025"/>
    <w:p>
      <w:pPr>
        <w:pStyle w:val="Heading4"/>
      </w:pPr>
      <w:r>
        <w:t xml:space="preserve">Current Phase (2025)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Super Validators</w:t>
      </w:r>
      <w:r>
        <w:t xml:space="preserve">: 35% of rewards (~875M CC annually)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Application Providers</w:t>
      </w:r>
      <w:r>
        <w:t xml:space="preserve">: 50% of rewards (~1.25B CC annually)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Users/Participants</w:t>
      </w:r>
      <w:r>
        <w:t xml:space="preserve">: 15% of rewards (~375M CC annually)</w:t>
      </w:r>
    </w:p>
    <w:bookmarkEnd w:id="21"/>
    <w:bookmarkStart w:id="22" w:name="evolution-timeline"/>
    <w:p>
      <w:pPr>
        <w:pStyle w:val="Heading4"/>
      </w:pPr>
      <w:r>
        <w:t xml:space="preserve">Evolution Timeline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Initial Phase (July-Dec 2024)</w:t>
      </w:r>
      <w:r>
        <w:t xml:space="preserve">: Heavy infrastructure emphasis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Current Phase (2025)</w:t>
      </w:r>
      <w:r>
        <w:t xml:space="preserve">: Balanced distribution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Year 5 Target</w:t>
      </w:r>
      <w:r>
        <w:t xml:space="preserve">: 62% to applications, 20% to super validators, 18% to users</w:t>
      </w:r>
    </w:p>
    <w:bookmarkEnd w:id="22"/>
    <w:bookmarkEnd w:id="23"/>
    <w:bookmarkStart w:id="27" w:name="validator-economics"/>
    <w:p>
      <w:pPr>
        <w:pStyle w:val="Heading3"/>
      </w:pPr>
      <w:r>
        <w:t xml:space="preserve">Validator Economics</w:t>
      </w:r>
    </w:p>
    <w:bookmarkStart w:id="24" w:name="regular-validators"/>
    <w:p>
      <w:pPr>
        <w:pStyle w:val="Heading4"/>
      </w:pPr>
      <w:r>
        <w:t xml:space="preserve">Regular Validators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Count</w:t>
      </w:r>
      <w:r>
        <w:t xml:space="preserve">: 500+ validators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Rewards</w:t>
      </w:r>
      <w:r>
        <w:t xml:space="preserve">: Canton Coin for liveness and participation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Requirements</w:t>
      </w:r>
      <w:r>
        <w:t xml:space="preserve">: Maintain continuous node operation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Growth</w:t>
      </w:r>
      <w:r>
        <w:t xml:space="preserve">: 40% month-on-month validator growth in 2025</w:t>
      </w:r>
    </w:p>
    <w:bookmarkEnd w:id="24"/>
    <w:bookmarkStart w:id="25" w:name="super-validators"/>
    <w:p>
      <w:pPr>
        <w:pStyle w:val="Heading4"/>
      </w:pPr>
      <w:r>
        <w:t xml:space="preserve">Super Validators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Count</w:t>
      </w:r>
      <w:r>
        <w:t xml:space="preserve">: 30+ super validators (invitation only)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Enhanced Role</w:t>
      </w:r>
      <w:r>
        <w:t xml:space="preserve">: Combined validator + synchronizer functions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Responsibilities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Validate all Canton Coin transfers</w:t>
      </w:r>
    </w:p>
    <w:p>
      <w:pPr>
        <w:pStyle w:val="Compact"/>
        <w:numPr>
          <w:ilvl w:val="1"/>
          <w:numId w:val="1010"/>
        </w:numPr>
      </w:pPr>
      <w:r>
        <w:t xml:space="preserve">Provide Name Service</w:t>
      </w:r>
    </w:p>
    <w:p>
      <w:pPr>
        <w:pStyle w:val="Compact"/>
        <w:numPr>
          <w:ilvl w:val="1"/>
          <w:numId w:val="1010"/>
        </w:numPr>
      </w:pPr>
      <w:r>
        <w:t xml:space="preserve">Support ecosystem applications</w:t>
      </w:r>
    </w:p>
    <w:p>
      <w:pPr>
        <w:pStyle w:val="Compact"/>
        <w:numPr>
          <w:ilvl w:val="1"/>
          <w:numId w:val="1010"/>
        </w:numPr>
      </w:pPr>
      <w:r>
        <w:t xml:space="preserve">Maintain Global Synchronizer infrastructure</w:t>
      </w:r>
    </w:p>
    <w:bookmarkEnd w:id="25"/>
    <w:bookmarkStart w:id="26" w:name="notable-super-validators-2025"/>
    <w:p>
      <w:pPr>
        <w:pStyle w:val="Heading4"/>
      </w:pPr>
      <w:r>
        <w:t xml:space="preserve">Notable Super Validators (2025)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Chainlink</w:t>
      </w:r>
      <w:r>
        <w:t xml:space="preserve">: Joined September 2025, providing oracle services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Coin Metrics</w:t>
      </w:r>
      <w:r>
        <w:t xml:space="preserve">: Data and analytics infrastructure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Kiln</w:t>
      </w:r>
      <w:r>
        <w:t xml:space="preserve">: Institutional staking infrastructure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P2P.org</w:t>
      </w:r>
      <w:r>
        <w:t xml:space="preserve">: Validator services for institutional clients</w:t>
      </w:r>
    </w:p>
    <w:bookmarkEnd w:id="26"/>
    <w:bookmarkEnd w:id="27"/>
    <w:bookmarkEnd w:id="28"/>
    <w:bookmarkStart w:id="35" w:name="revenue-analysis"/>
    <w:p>
      <w:pPr>
        <w:pStyle w:val="Heading2"/>
      </w:pPr>
      <w:r>
        <w:t xml:space="preserve">Revenue Analysis</w:t>
      </w:r>
    </w:p>
    <w:bookmarkStart w:id="31" w:name="network-revenue-streams"/>
    <w:p>
      <w:pPr>
        <w:pStyle w:val="Heading3"/>
      </w:pPr>
      <w:r>
        <w:t xml:space="preserve">Network Revenue Streams</w:t>
      </w:r>
    </w:p>
    <w:bookmarkStart w:id="29" w:name="transaction-based-revenue-estimated"/>
    <w:p>
      <w:pPr>
        <w:pStyle w:val="Heading4"/>
      </w:pPr>
      <w:r>
        <w:t xml:space="preserve">Transaction-Based Revenue (Estimated)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Reported Daily Repo Volume</w:t>
      </w:r>
      <w:r>
        <w:t xml:space="preserve">: $280 billion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Hypothetical Daily Fees</w:t>
      </w:r>
      <w:r>
        <w:t xml:space="preserve">: $2.8-5.6 million (if charging 1-2 bps)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Theoretical Annual Revenue</w:t>
      </w:r>
      <w:r>
        <w:t xml:space="preserve">: $1-2 billion (unverified projection)</w:t>
      </w:r>
    </w:p>
    <w:bookmarkEnd w:id="29"/>
    <w:bookmarkStart w:id="30" w:name="token-economics-value"/>
    <w:p>
      <w:pPr>
        <w:pStyle w:val="Heading4"/>
      </w:pPr>
      <w:r>
        <w:t xml:space="preserve">Token Economics Value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Canton Coin Market Cap</w:t>
      </w:r>
      <w:r>
        <w:t xml:space="preserve">: ~$1.4 billion (at $0.05/CC)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Annual Reward Distribution</w:t>
      </w:r>
      <w:r>
        <w:t xml:space="preserve">: 2.5 billion CC (~$125 million value)</w:t>
      </w:r>
    </w:p>
    <w:bookmarkEnd w:id="30"/>
    <w:bookmarkEnd w:id="31"/>
    <w:bookmarkStart w:id="34" w:name="institutional-value-capture"/>
    <w:p>
      <w:pPr>
        <w:pStyle w:val="Heading3"/>
      </w:pPr>
      <w:r>
        <w:t xml:space="preserve">Institutional Value Capture</w:t>
      </w:r>
    </w:p>
    <w:bookmarkStart w:id="32" w:name="super-validator-revenue"/>
    <w:p>
      <w:pPr>
        <w:pStyle w:val="Heading4"/>
      </w:pPr>
      <w:r>
        <w:t xml:space="preserve">Super Validator Revenue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Annual CC Rewards</w:t>
      </w:r>
      <w:r>
        <w:t xml:space="preserve">: ~875 million CC (35% of 2.5B)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USD Value</w:t>
      </w:r>
      <w:r>
        <w:t xml:space="preserve">: ~$43.75 million (at $0.05/CC)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Per Super Validator</w:t>
      </w:r>
      <w:r>
        <w:t xml:space="preserve">: ~$1.46 million annually (30 validators)</w:t>
      </w:r>
    </w:p>
    <w:bookmarkEnd w:id="32"/>
    <w:bookmarkStart w:id="33" w:name="application-provider-revenue"/>
    <w:p>
      <w:pPr>
        <w:pStyle w:val="Heading4"/>
      </w:pPr>
      <w:r>
        <w:t xml:space="preserve">Application Provider Revenue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Annual CC Rewards</w:t>
      </w:r>
      <w:r>
        <w:t xml:space="preserve">: ~1.25 billion CC (50% of 2.5B)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USD Value</w:t>
      </w:r>
      <w:r>
        <w:t xml:space="preserve">: ~$62.5 million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Primary Recipients</w:t>
      </w:r>
      <w:r>
        <w:t xml:space="preserve">: DeFi protocols, tokenization platforms, trading systems</w:t>
      </w:r>
    </w:p>
    <w:bookmarkEnd w:id="33"/>
    <w:bookmarkEnd w:id="34"/>
    <w:bookmarkEnd w:id="35"/>
    <w:bookmarkStart w:id="39" w:name="sustainability-analysis"/>
    <w:p>
      <w:pPr>
        <w:pStyle w:val="Heading2"/>
      </w:pPr>
      <w:r>
        <w:t xml:space="preserve">Sustainability Analysis</w:t>
      </w:r>
    </w:p>
    <w:bookmarkStart w:id="38" w:name="revenue-vs.-costs-ratio"/>
    <w:p>
      <w:pPr>
        <w:pStyle w:val="Heading3"/>
      </w:pPr>
      <w:r>
        <w:t xml:space="preserve">Revenue vs. Costs Ratio</w:t>
      </w:r>
    </w:p>
    <w:p>
      <w:pPr>
        <w:pStyle w:val="FirstParagraph"/>
      </w:pPr>
      <w:r>
        <w:t xml:space="preserve">Unlike traditional L1s analyzed in our research, Canton Network demonstrates:</w:t>
      </w:r>
    </w:p>
    <w:bookmarkStart w:id="36" w:name="structural-differences"/>
    <w:p>
      <w:pPr>
        <w:pStyle w:val="Heading4"/>
      </w:pPr>
      <w:r>
        <w:t xml:space="preserve">Structural Differences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Consensus Mechanism</w:t>
      </w:r>
      <w:r>
        <w:t xml:space="preserve">: No Proof-of-Work mining costs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Fee Mechanics</w:t>
      </w:r>
      <w:r>
        <w:t xml:space="preserve">: 100% fee burning creates deflationary pressure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Capital Raise</w:t>
      </w:r>
      <w:r>
        <w:t xml:space="preserve">: $135M funding round reported (June 2025)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Volume Claims</w:t>
      </w:r>
      <w:r>
        <w:t xml:space="preserve">: $280B daily transaction volume (unverified)</w:t>
      </w:r>
    </w:p>
    <w:bookmarkEnd w:id="36"/>
    <w:bookmarkStart w:id="37" w:name="economic-model-analysis"/>
    <w:p>
      <w:pPr>
        <w:pStyle w:val="Heading4"/>
      </w:pPr>
      <w:r>
        <w:t xml:space="preserve">Economic Model Analysis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Theoretical Annual Revenue</w:t>
      </w:r>
      <w:r>
        <w:t xml:space="preserve">: $1-2 billion (assuming standard institutional fees)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Token Distribution Value</w:t>
      </w:r>
      <w:r>
        <w:t xml:space="preserve">: $125 million (at $0.05/CC price assumption)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Hypothetical Ratio</w:t>
      </w:r>
      <w:r>
        <w:t xml:space="preserve">: 8-16x revenue to distribution costs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Comparative Analysis</w:t>
      </w:r>
      <w:r>
        <w:t xml:space="preserve">: 0.06-0.125x subsidy ratio vs. 158x Bitcoin, 254x Solana</w:t>
      </w:r>
    </w:p>
    <w:bookmarkEnd w:id="37"/>
    <w:bookmarkEnd w:id="38"/>
    <w:bookmarkEnd w:id="39"/>
    <w:bookmarkStart w:id="42" w:name="competitive-analysis"/>
    <w:p>
      <w:pPr>
        <w:pStyle w:val="Heading2"/>
      </w:pPr>
      <w:r>
        <w:t xml:space="preserve">Competitive Analysis</w:t>
      </w:r>
    </w:p>
    <w:bookmarkStart w:id="40" w:name="canton-vs.-traditional-l1s"/>
    <w:p>
      <w:pPr>
        <w:pStyle w:val="Heading3"/>
      </w:pPr>
      <w:r>
        <w:t xml:space="preserve">Canton vs. Traditional L1s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Canton*</w:t>
            </w:r>
          </w:p>
        </w:tc>
        <w:tc>
          <w:tcPr/>
          <w:p>
            <w:pPr>
              <w:pStyle w:val="Compact"/>
            </w:pPr>
            <w:r>
              <w:t xml:space="preserve">Ethereum</w:t>
            </w:r>
          </w:p>
        </w:tc>
        <w:tc>
          <w:tcPr/>
          <w:p>
            <w:pPr>
              <w:pStyle w:val="Compact"/>
            </w:pPr>
            <w:r>
              <w:t xml:space="preserve">Bitcoin</w:t>
            </w:r>
          </w:p>
        </w:tc>
        <w:tc>
          <w:tcPr/>
          <w:p>
            <w:pPr>
              <w:pStyle w:val="Compact"/>
            </w:pPr>
            <w:r>
              <w:t xml:space="preserve">Solana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Annual Fees</w:t>
            </w:r>
          </w:p>
        </w:tc>
        <w:tc>
          <w:tcPr/>
          <w:p>
            <w:pPr>
              <w:pStyle w:val="Compact"/>
            </w:pPr>
            <w:r>
              <w:t xml:space="preserve">$1-2B (est.)</w:t>
            </w:r>
          </w:p>
        </w:tc>
        <w:tc>
          <w:tcPr/>
          <w:p>
            <w:pPr>
              <w:pStyle w:val="Compact"/>
            </w:pPr>
            <w:r>
              <w:t xml:space="preserve">$65M</w:t>
            </w:r>
          </w:p>
        </w:tc>
        <w:tc>
          <w:tcPr/>
          <w:p>
            <w:pPr>
              <w:pStyle w:val="Compact"/>
            </w:pPr>
            <w:r>
              <w:t xml:space="preserve">$115M</w:t>
            </w:r>
          </w:p>
        </w:tc>
        <w:tc>
          <w:tcPr/>
          <w:p>
            <w:pPr>
              <w:pStyle w:val="Compact"/>
            </w:pPr>
            <w:r>
              <w:t xml:space="preserve">$55M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Annual Subsidies</w:t>
            </w:r>
          </w:p>
        </w:tc>
        <w:tc>
          <w:tcPr/>
          <w:p>
            <w:pPr>
              <w:pStyle w:val="Compact"/>
            </w:pPr>
            <w:r>
              <w:t xml:space="preserve">$125M (token value)</w:t>
            </w:r>
          </w:p>
        </w:tc>
        <w:tc>
          <w:tcPr/>
          <w:p>
            <w:pPr>
              <w:pStyle w:val="Compact"/>
            </w:pPr>
            <w:r>
              <w:t xml:space="preserve">$8B</w:t>
            </w:r>
          </w:p>
        </w:tc>
        <w:tc>
          <w:tcPr/>
          <w:p>
            <w:pPr>
              <w:pStyle w:val="Compact"/>
            </w:pPr>
            <w:r>
              <w:t xml:space="preserve">$18.2B</w:t>
            </w:r>
          </w:p>
        </w:tc>
        <w:tc>
          <w:tcPr/>
          <w:p>
            <w:pPr>
              <w:pStyle w:val="Compact"/>
            </w:pPr>
            <w:r>
              <w:t xml:space="preserve">$14-19B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Subsidy Ratio</w:t>
            </w:r>
          </w:p>
        </w:tc>
        <w:tc>
          <w:tcPr/>
          <w:p>
            <w:pPr>
              <w:pStyle w:val="Compact"/>
            </w:pPr>
            <w:r>
              <w:t xml:space="preserve">0.06-0.125x**</w:t>
            </w:r>
          </w:p>
        </w:tc>
        <w:tc>
          <w:tcPr/>
          <w:p>
            <w:pPr>
              <w:pStyle w:val="Compact"/>
            </w:pPr>
            <w:r>
              <w:t xml:space="preserve">123x</w:t>
            </w:r>
          </w:p>
        </w:tc>
        <w:tc>
          <w:tcPr/>
          <w:p>
            <w:pPr>
              <w:pStyle w:val="Compact"/>
            </w:pPr>
            <w:r>
              <w:t xml:space="preserve">158x</w:t>
            </w:r>
          </w:p>
        </w:tc>
        <w:tc>
          <w:tcPr/>
          <w:p>
            <w:pPr>
              <w:pStyle w:val="Compact"/>
            </w:pPr>
            <w:r>
              <w:t xml:space="preserve">254-345x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Pre-mine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Institutional Claims</w:t>
            </w:r>
          </w:p>
        </w:tc>
        <w:tc>
          <w:tcPr/>
          <w:p>
            <w:pPr>
              <w:pStyle w:val="Compact"/>
            </w:pPr>
            <w:r>
              <w:t xml:space="preserve">400+</w:t>
            </w:r>
          </w:p>
        </w:tc>
        <w:tc>
          <w:tcPr/>
          <w:p>
            <w:pPr>
              <w:pStyle w:val="Compact"/>
            </w:pPr>
            <w:r>
              <w:t xml:space="preserve">Minimal</w:t>
            </w:r>
          </w:p>
        </w:tc>
        <w:tc>
          <w:tcPr/>
          <w:p>
            <w:pPr>
              <w:pStyle w:val="Compact"/>
            </w:pPr>
            <w:r>
              <w:t xml:space="preserve">Minimal</w:t>
            </w:r>
          </w:p>
        </w:tc>
        <w:tc>
          <w:tcPr/>
          <w:p>
            <w:pPr>
              <w:pStyle w:val="Compact"/>
            </w:pPr>
            <w:r>
              <w:t xml:space="preserve">Minimal</w:t>
            </w:r>
          </w:p>
        </w:tc>
      </w:tr>
    </w:tbl>
    <w:p>
      <w:pPr>
        <w:pStyle w:val="BodyText"/>
      </w:pPr>
      <w:r>
        <w:t xml:space="preserve">*Canton figures based on reported metrics and estimates</w:t>
      </w:r>
      <w:r>
        <w:t xml:space="preserve"> </w:t>
      </w:r>
      <w:r>
        <w:t xml:space="preserve">**Assuming fee estimates are accurate</w:t>
      </w:r>
    </w:p>
    <w:bookmarkEnd w:id="40"/>
    <w:bookmarkStart w:id="41" w:name="Xe21b0346b8db4a0badf0f55c0bf287e45d55515"/>
    <w:p>
      <w:pPr>
        <w:pStyle w:val="Heading3"/>
      </w:pPr>
      <w:r>
        <w:t xml:space="preserve">Structural Differences from Traditional L1s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Privacy Architecture</w:t>
      </w:r>
      <w:r>
        <w:t xml:space="preserve">: Transactions private while fee distributions remain public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Token Distribution</w:t>
      </w:r>
      <w:r>
        <w:t xml:space="preserve">: Absence of pre-allocation changes incentive structure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Fee Denomination</w:t>
      </w:r>
      <w:r>
        <w:t xml:space="preserve">: USD-based fees separate from token price volatility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Reported Scale</w:t>
      </w:r>
      <w:r>
        <w:t xml:space="preserve">: Claims of $6T in assets (unverified)</w:t>
      </w:r>
    </w:p>
    <w:bookmarkEnd w:id="41"/>
    <w:bookmarkEnd w:id="42"/>
    <w:bookmarkStart w:id="47" w:name="future-projections"/>
    <w:p>
      <w:pPr>
        <w:pStyle w:val="Heading2"/>
      </w:pPr>
      <w:r>
        <w:t xml:space="preserve">Future Projections</w:t>
      </w:r>
    </w:p>
    <w:bookmarkStart w:id="45" w:name="projected-scenarios-speculative"/>
    <w:p>
      <w:pPr>
        <w:pStyle w:val="Heading3"/>
      </w:pPr>
      <w:r>
        <w:t xml:space="preserve">Projected Scenarios (Speculative)</w:t>
      </w:r>
    </w:p>
    <w:bookmarkStart w:id="43" w:name="potential-network-growth"/>
    <w:p>
      <w:pPr>
        <w:pStyle w:val="Heading4"/>
      </w:pPr>
      <w:r>
        <w:t xml:space="preserve">Potential Network Growth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Claimed Targets</w:t>
      </w:r>
      <w:r>
        <w:t xml:space="preserve">: $10 trillion TVL by 2030 (unsubstantiated)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Volume Projections</w:t>
      </w:r>
      <w:r>
        <w:t xml:space="preserve">: Theoretical growth to $500B+ daily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Validator Expansion</w:t>
      </w:r>
      <w:r>
        <w:t xml:space="preserve">: Possible growth to 1,000+ nodes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Super Validator Scale</w:t>
      </w:r>
      <w:r>
        <w:t xml:space="preserve">: Could reach 50-75 participants</w:t>
      </w:r>
    </w:p>
    <w:bookmarkEnd w:id="43"/>
    <w:bookmarkStart w:id="44" w:name="token-supply-trajectory"/>
    <w:p>
      <w:pPr>
        <w:pStyle w:val="Heading4"/>
      </w:pPr>
      <w:r>
        <w:t xml:space="preserve">Token Supply Trajectory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Mathematical Cap</w:t>
      </w:r>
      <w:r>
        <w:t xml:space="preserve">: 100B CC by 2034 based on issuance schedule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Distribution Evolution</w:t>
      </w:r>
      <w:r>
        <w:t xml:space="preserve">: Planned shift to 62% application rewards by year 5</w:t>
      </w:r>
    </w:p>
    <w:bookmarkEnd w:id="44"/>
    <w:bookmarkEnd w:id="45"/>
    <w:bookmarkStart w:id="46" w:name="hypothetical-revenue-scenarios"/>
    <w:p>
      <w:pPr>
        <w:pStyle w:val="Heading3"/>
      </w:pPr>
      <w:r>
        <w:t xml:space="preserve">Hypothetical Revenue Scenarios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2025</w:t>
      </w:r>
      <w:r>
        <w:t xml:space="preserve">: $1-2B if current volume claims accurate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2027</w:t>
      </w:r>
      <w:r>
        <w:t xml:space="preserve">: $3-5B assuming linear growth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2030</w:t>
      </w:r>
      <w:r>
        <w:t xml:space="preserve">: $8-12B in optimistic scenario</w:t>
      </w:r>
    </w:p>
    <w:bookmarkEnd w:id="46"/>
    <w:bookmarkEnd w:id="47"/>
    <w:bookmarkStart w:id="50" w:name="risk-assessment"/>
    <w:p>
      <w:pPr>
        <w:pStyle w:val="Heading2"/>
      </w:pPr>
      <w:r>
        <w:t xml:space="preserve">Risk Assessment</w:t>
      </w:r>
    </w:p>
    <w:bookmarkStart w:id="48" w:name="observable-factors"/>
    <w:p>
      <w:pPr>
        <w:pStyle w:val="Heading3"/>
      </w:pPr>
      <w:r>
        <w:t xml:space="preserve">Observable Factors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Institutional Presence</w:t>
      </w:r>
      <w:r>
        <w:t xml:space="preserve">: Named participants include major banks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Volume Claims</w:t>
      </w:r>
      <w:r>
        <w:t xml:space="preserve">: Reported transaction volumes suggest active usage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Economic Structure</w:t>
      </w:r>
      <w:r>
        <w:t xml:space="preserve">: No traditional token unlock schedule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Capital Formation</w:t>
      </w:r>
      <w:r>
        <w:t xml:space="preserve">: $135M funding round reported</w:t>
      </w:r>
    </w:p>
    <w:bookmarkEnd w:id="48"/>
    <w:bookmarkStart w:id="49" w:name="uncertainties-and-risks"/>
    <w:p>
      <w:pPr>
        <w:pStyle w:val="Heading3"/>
      </w:pPr>
      <w:r>
        <w:t xml:space="preserve">Uncertainties and Risks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Verification Gap</w:t>
      </w:r>
      <w:r>
        <w:t xml:space="preserve">: Limited independent verification of key metrics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Fee Transparency</w:t>
      </w:r>
      <w:r>
        <w:t xml:space="preserve">: Actual fee rates not publicly disclosed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Competitive Landscape</w:t>
      </w:r>
      <w:r>
        <w:t xml:space="preserve">: Multiple institutional blockchain initiatives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Regulatory Dependencies</w:t>
      </w:r>
      <w:r>
        <w:t xml:space="preserve">: Subject to evolving financial regulations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Technology Scalability</w:t>
      </w:r>
      <w:r>
        <w:t xml:space="preserve">: Privacy-preserving architecture at scale untested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Concentration Risk</w:t>
      </w:r>
      <w:r>
        <w:t xml:space="preserve">: Invitation-only super validator model</w:t>
      </w:r>
    </w:p>
    <w:bookmarkEnd w:id="49"/>
    <w:bookmarkEnd w:id="50"/>
    <w:bookmarkStart w:id="53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Canton Network’s economic model differs structurally from traditional L1 networks through its zero pre-allocation approach and burn-mint mechanism. If the reported $280 billion daily transaction volume generates fees at standard institutional rates (1-2 bps), the network could theoretically achieve $1-2 billion in annual revenue against $125 million in token distribution costs.</w:t>
      </w:r>
    </w:p>
    <w:p>
      <w:pPr>
        <w:pStyle w:val="BodyText"/>
      </w:pPr>
      <w:r>
        <w:t xml:space="preserve">This would result in a 0.06-0.125x subsidy ratio, contrasting with the 158x ratio observed in Bitcoin and 254-345x in Solana. However, these calculations rely on unverified transaction volumes and assumed fee rates. The reported $6 trillion in tokenized assets, if accurate, would represent significant institutional adoption, though independent verification remains limited.</w:t>
      </w:r>
    </w:p>
    <w:bookmarkStart w:id="51" w:name="critical-observations"/>
    <w:p>
      <w:pPr>
        <w:pStyle w:val="Heading3"/>
      </w:pPr>
      <w:r>
        <w:t xml:space="preserve">Critical Observations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Economic Structure</w:t>
      </w:r>
      <w:r>
        <w:t xml:space="preserve">: No pre-allocation eliminates traditional token unlock pressure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Fee Mechanism</w:t>
      </w:r>
      <w:r>
        <w:t xml:space="preserve">: USD-denominated fees with 100% burn differs from gas token models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Distribution Model</w:t>
      </w:r>
      <w:r>
        <w:t xml:space="preserve">: Rewards based on participation metrics rather than stake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Verification Challenges</w:t>
      </w:r>
      <w:r>
        <w:t xml:space="preserve">: Key metrics sourced from news reports rather than on-chain data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Comparative Position</w:t>
      </w:r>
      <w:r>
        <w:t xml:space="preserve">: If metrics are accurate, represents lower subsidy dependency than analyzed L1s</w:t>
      </w:r>
    </w:p>
    <w:bookmarkEnd w:id="51"/>
    <w:bookmarkStart w:id="52" w:name="data-limitations"/>
    <w:p>
      <w:pPr>
        <w:pStyle w:val="Heading3"/>
      </w:pPr>
      <w:r>
        <w:t xml:space="preserve">Data Limitations</w:t>
      </w:r>
    </w:p>
    <w:p>
      <w:pPr>
        <w:pStyle w:val="Compact"/>
        <w:numPr>
          <w:ilvl w:val="0"/>
          <w:numId w:val="1025"/>
        </w:numPr>
      </w:pPr>
      <w:r>
        <w:t xml:space="preserve">Transaction volumes and asset values not independently verifiable</w:t>
      </w:r>
    </w:p>
    <w:p>
      <w:pPr>
        <w:pStyle w:val="Compact"/>
        <w:numPr>
          <w:ilvl w:val="0"/>
          <w:numId w:val="1025"/>
        </w:numPr>
      </w:pPr>
      <w:r>
        <w:t xml:space="preserve">Fee revenue calculations based on assumptions rather than disclosed rates</w:t>
      </w:r>
    </w:p>
    <w:p>
      <w:pPr>
        <w:pStyle w:val="Compact"/>
        <w:numPr>
          <w:ilvl w:val="0"/>
          <w:numId w:val="1025"/>
        </w:numPr>
      </w:pPr>
      <w:r>
        <w:t xml:space="preserve">Limited transparency on actual network economics</w:t>
      </w:r>
    </w:p>
    <w:p>
      <w:pPr>
        <w:pStyle w:val="Compact"/>
        <w:numPr>
          <w:ilvl w:val="0"/>
          <w:numId w:val="1025"/>
        </w:numPr>
      </w:pPr>
      <w:r>
        <w:t xml:space="preserve">Institutional participation claims difficult to verify independently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Analysis Date: October 2025</w:t>
      </w:r>
      <w:r>
        <w:t xml:space="preserve"> </w:t>
      </w:r>
      <w:r>
        <w:rPr>
          <w:i/>
          <w:iCs/>
        </w:rPr>
        <w:t xml:space="preserve">Data Sources: Third-party news reports, Canton blog posts, industry coverage</w:t>
      </w:r>
      <w:r>
        <w:t xml:space="preserve"> </w:t>
      </w:r>
      <w:r>
        <w:rPr>
          <w:i/>
          <w:iCs/>
        </w:rPr>
        <w:t xml:space="preserve">Disclaimer: Key metrics including $6T TVL and $280B daily volume sourced from news reports and not independently verified. Revenue calculations based on assumptions about institutional fee structures (1-2 bps) rather than disclosed rates.</w:t>
      </w:r>
    </w:p>
    <w:bookmarkEnd w:id="52"/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2025-10-14T09:41:47Z</dcterms:created>
  <dcterms:modified xsi:type="dcterms:W3CDTF">2025-10-14T09:41:47Z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