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PROSPEKT INFORMACYJNY - CZĘŚĆ OGÓLNA</w:t>
      </w:r>
    </w:p>
    <w:p>
      <w:pPr>
        <w:jc w:val="center"/>
      </w:pPr>
      <w:r>
        <w:rPr>
          <w:rFonts w:ascii="Arial" w:hAnsi="Arial"/>
          <w:b/>
          <w:sz w:val="28"/>
        </w:rPr>
        <w:t>OSIEDLE ZIĘTKA - KNURÓW</w:t>
      </w:r>
    </w:p>
    <w:p>
      <w:pPr>
        <w:jc w:val="center"/>
      </w:pPr>
      <w:r>
        <w:rPr>
          <w:i/>
          <w:sz w:val="17"/>
        </w:rPr>
        <w:t>WERSJA V3 - układ rozszerzony o wszystkie rubryki wymagane ustawowym wzorem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Stan na dzień sporządzenia prospektu informacyjnego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29.08.2026 r.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Data sporządzenia prospektu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29.08.2026 r.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Podstawa prawna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Ustawa z dnia 20 maja 2021 r. o ochronie praw nabywcy lokalu mieszkalnego lub domu jednorodzinnego oraz Deweloperskim Funduszu Gwarancyjnym - tekst jednolity Dz.U. z 2026 r. poz. 880, z uwzględnieniem art. 5a dotyczącym określania ceny jako iloczynu powierzchni użytkowej i ceny za 1 m².</w:t>
            </w:r>
          </w:p>
        </w:tc>
      </w:tr>
    </w:tbl>
    <w:p>
      <w:pPr>
        <w:spacing w:after="60"/>
      </w:pPr>
      <w:r>
        <w:rPr>
          <w:rFonts w:ascii="Arial" w:hAnsi="Arial"/>
          <w:i/>
          <w:sz w:val="16"/>
        </w:rPr>
        <w:t>Pola oznaczone „DO UZUPEŁNIENIA / DO POTWIERDZENIA” wskazują dokładnie, jakie dane należy wpisać przed przekazaniem finalnego prospektu nabywcy.</w:t>
      </w:r>
    </w:p>
    <w:p>
      <w:pPr>
        <w:pStyle w:val="Heading1"/>
        <w:spacing w:before="140" w:after="80"/>
      </w:pPr>
      <w:r>
        <w:t>I. DANE IDENTYFIKACYJNE I KONTAKTOWE DOTYCZĄCE DEWELOPERA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Deweloper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STM DEVELOPMENT Spółka z ograniczoną odpowiedzialnością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Forma prawna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spółka z ograniczoną odpowiedzialnością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KRS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0000957256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NIP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9691665438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REGON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521413440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Siedziba / adres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ul. Kazimierza Wielkiego 9B/7, 44-194 Knurów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Adres miejsca wykonywania działalności / punkt sprzedaży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ul. Kazimierza Wielkiego 9B/7, 44-194 Knurów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Numer telefonu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575 949 600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Adres poczty elektronicznej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syltomex@gmail.com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Numer faksu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Adres strony internetowej dewelopera / inwestycji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- należy wpisać adres strony, na której będzie publikowana część ogólna prospektu i informacje cenowe wymagane ustawą.</w:t>
            </w:r>
          </w:p>
        </w:tc>
      </w:tr>
    </w:tbl>
    <w:p>
      <w:pPr>
        <w:pStyle w:val="Heading1"/>
        <w:spacing w:before="140" w:after="80"/>
      </w:pPr>
      <w:r>
        <w:t>II. DOŚWIADCZENIE DEWELOPERA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Historia i udokumentowane doświadczenie dewelopera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STM DEVELOPMENT Sp. z o.o. prowadzi działalność od 2022 r. Doświadczenie osób zarządzających i podmiotów powiązanych obejmuje realizacje mieszkaniowe w Knurowie i Gliwicach. Realizacji podmiotów powiązanych nie wykazuje się jako własnych ukończonych przedsięwzięć STM DEVELOPMENT, jeżeli dokumenty nie potwierdzają, że Deweloper był stroną realizującą przedsięwzięcie.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PRZYKŁAD UKOŃCZONEGO PRZEDSIĘWZIĘCIA - adres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wyłącznie przedsięwzięciem zrealizowanym przez STM DEVELOPMENT. Jeżeli brak - wpisać, że Deweloper nie posiada ukończonego przedsięwzięcia spełniającego kryterium tej rubryki.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PRZYKŁAD UKOŃCZONEGO PRZEDSIĘWZIĘCIA - data rozpoczęcia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/ nie dotyczy, jeżeli brak przedsięwzięcia.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PRZYKŁAD UKOŃCZONEGO PRZEDSIĘWZIĘCIA - data wydania decyzji o pozwoleniu na użytkowanie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/ nie dotyczy, jeżeli brak przedsięwzięcia.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PRZYKŁAD INNEGO UKOŃCZONEGO PRZEDSIĘWZIĘCIA - adres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wyłącznie inwestycją STM DEVELOPMENT.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PRZYKŁAD INNEGO UKOŃCZONEGO PRZEDSIĘWZIĘCIA - data rozpoczęcia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PRZYKŁAD INNEGO UKOŃCZONEGO PRZEDSIĘWZIĘCIA - data pozwolenia na użytkowanie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PRZYKŁAD OSTATNIEGO UKOŃCZONEGO PRZEDSIĘWZIĘCIA - adres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wyłącznie ostatnim ukończonym przedsięwzięciem STM DEVELOPMENT.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PRZYKŁAD OSTATNIEGO UKOŃCZONEGO PRZEDSIĘWZIĘCIA - data rozpoczęcia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PRZYKŁAD OSTATNIEGO UKOŃCZONEGO PRZEDSIĘWZIĘCIA - data pozwolenia na użytkowanie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Informacja dodatkowa o doświadczeniu podmiotów powiązanych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Knurów, ul. ks. Jagły 8; Knurów, ul. ks. Jagły 1; Gliwice, ul. Kasprzaka 29 - wskazywać wyłącznie jako doświadczenie osób zarządzających / podmiotów powiązanych, nie jako ukończone przedsięwzięcia STM DEVELOPMENT, jeśli dokumenty nie potwierdzają inaczej.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Czy przeciwko deweloperowi prowadzono lub prowadzi się postępowania egzekucyjne na kwotę powyżej 100 000 zł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POTWIERDZENIA aktualnym oświadczeniem STM DEVELOPMENT - wpisać TAK albo NIE; przy TAK podać podstawowe informacje zgodne ze stanem faktycznym.</w:t>
            </w:r>
          </w:p>
        </w:tc>
      </w:tr>
    </w:tbl>
    <w:p>
      <w:pPr>
        <w:pStyle w:val="Heading1"/>
        <w:spacing w:before="140" w:after="80"/>
      </w:pPr>
      <w:r>
        <w:t>III. INFORMACJE DOTYCZĄCE NIERUCHOMOŚCI I PRZEDSIĘWZIĘCIA DEWELOPERSKIEGO</w:t>
      </w:r>
    </w:p>
    <w:p>
      <w:pPr>
        <w:pStyle w:val="Heading2"/>
        <w:spacing w:before="100" w:after="60"/>
      </w:pPr>
      <w:r>
        <w:t>A. INFORMACJE DOTYCZĄCE GRUNTU I ZAGOSPODAROWANIA PRZESTRZENNEGO TERENU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Adres, numer działki ewidencyjnej i numer obrębu ewidencyjnego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Knurów, ul. Jerzego Ziętka, rejon pomiędzy ul. Jerzego Ziętka i ul. Zimową, woj. śląskie. Działki: 3537/199, 3537/201, 3537/202. Obręb: Knurów - numer obrębu i identyfikatory działek DO UZUPEŁNIENIA z aktualnego wypisu z rejestru gruntów.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Łączna powierzchnia działek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2 855 m² (3537/199 - 277 m²; 3537/201 - 82 m²; 3537/202 - 2 496 m²) - DO POTWIERDZENIA aktualnym wypisem.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Numer księgi wieczystej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GL1G/00163210/2 - stan księgi należy zweryfikować na dzień sporządzenia / aktualizacji prospektu.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Istniejące obciążenia hipoteczne nieruchomości lub wnioski o wpis w dziale IV księgi wieczystej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Według wzoru umowy deweloperskiej dział IV był wolny od wpisów i wzmianek. DO OBOWIĄZKOWEJ WERYFIKACJI w aktualnej KW; wpisać wszystkie hipoteki i wnioski o wpis.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 przypadku braku księgi wieczystej - powierzchnia i stan prawny nieruchomości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dla nieruchomości prowadzona jest KW GL1G/00163210/2.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Prawo do nieruchomości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Własność STM DEVELOPMENT Sp. z o.o. - zgodnie ze wzorem umowy deweloperskiej, nabycie na podstawie umowy sprzedaży z 17.08.2023 r., Rep. A nr 4647/2023.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Dostęp do drogi publicznej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Tak - ul. Jerzego Ziętka; zgodnie z MPZP obsługa komunikacyjna Z24.MN możliwa od ul. Jerzego Ziętka i ul. Zimowej.</w:t>
            </w:r>
          </w:p>
        </w:tc>
      </w:tr>
    </w:tbl>
    <w:p>
      <w:pPr>
        <w:pStyle w:val="Heading2"/>
        <w:spacing w:before="100" w:after="60"/>
      </w:pPr>
      <w:r>
        <w:t>Informacje dotyczące obiektów istniejących w sąsiedztwie inwestycji i wpływających na warunki życia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Stan istniejący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W sąsiedztwie występują tereny zabudowy mieszkaniowej, usługowej i handlowej oraz układ drogowy ul. Jerzego Ziętka, ul. Zimowej i ul. 26 Stycznia. Wcześniejsza wersja wskazywała także obiekty handlowe / supermarket oraz przebieg sieci wodociągowej, ciepłowniczej, telekomunikacyjnej i gazowej - DO POTWIERDZENIA dokumentami i mapą przed finalizacją.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Obiekty / funkcje mogące generować uciążliwości zapachowe, hałasowe lub świetlne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W dostępnych źródłach ujawniono funkcje usługowe/handlowe oraz inwestycje przemysłowo-magazynowo-usługowe w rejonie ul. 26 Stycznia, mogące powodować zwiększony ruch, hałas lub oświetlenie. Wpisać aktualny stan faktyczny na dzień prospektu.</w:t>
            </w:r>
          </w:p>
        </w:tc>
      </w:tr>
    </w:tbl>
    <w:p>
      <w:pPr>
        <w:pStyle w:val="Heading2"/>
        <w:spacing w:before="100" w:after="60"/>
      </w:pPr>
      <w:r>
        <w:t>Akty planowania przestrzennego i inne akty prawne na terenie objętym przedsięwzięciem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Plan ogólny gminy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Na dzień 29.08.2026 r. w BIP Miasta Knurów dostępny jest projekt Planu Ogólnego Miasta Knurów po etapie konsultacji społecznych. W sprawdzonych źródłach nie potwierdzono wejścia w życie uchwalonego planu ogólnego. Przed finalizacją wpisać aktualny status, numer uchwały i datę, jeżeli plan zostanie uchwalony.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Miejscowy plan zagospodarowania przestrzennego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Uchwała Nr XXIII/279/2020 Rady Miasta Knurów z dnia 17.04.2020 r., Dz. Urz. Woj. Śląskiego z 23.04.2020 r., poz. 3308 - MPZP obejmujący rejon ul. Jerzego Ziętka, ul. Szpitalnej, ul. 26 Stycznia i ul. Zimowej.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Miejscowy plan odbudowy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stwierdzono obowiązującego miejscowego planu odbudowy w sprawdzonych źródłach - DO PONOWNEJ WERYFIKACJI na dzień prospektu finalnego.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Inne akty prawne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 zgodnie z ustawowym katalogiem: akty dotyczące m.in. inwestycji mieszkaniowych, ochrony przyrody, stref ochronnych ujęć wody, obszarów cichych, obszarów ograniczonego użytkowania, zabytków, Pomników Zagłady, parków kulturowych i zasad sytuowania reklam / ogrodzeń. Jeżeli brak - wpisać „nie stwierdzono / nie dotyczy”.</w:t>
            </w:r>
          </w:p>
        </w:tc>
      </w:tr>
    </w:tbl>
    <w:p>
      <w:pPr>
        <w:pStyle w:val="Heading2"/>
        <w:spacing w:before="100" w:after="60"/>
      </w:pPr>
      <w:r>
        <w:t>Ustalenia obowiązującego MPZP dla terenu objętego przedsięwzięciem - Z24.MN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Przeznaczenie terenu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Z24.MN - teren zabudowy mieszkaniowej jednorodzinnej; dopuszczone budynki mieszkalne jednorodzinne, parkingi terenowe, komunikacja wewnętrzna, obiekty urządzenia ogrodu i terenu, zieleń przydomowa oraz sieci infrastruktury technicznej.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Maksymalna intensywność zabudowy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1,2.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Maksymalna i minimalna nadziemna intensywność zabudowy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MPZP posługuje się wskaźnikiem intensywności zabudowy 0,1-1,2. Odrębnego wskaźnika nadziemnej intensywności plan nie określa wprost - wpisać literalną treść właściwego ustalenia MPZP / informację „nie określono odrębnie”, po weryfikacji prawnej.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Maksymalna powierzchnia zabudowy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50%.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Maksymalna wysokość zabudowy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Budynki mieszkalne do 8,0 m i maksymalnie 2 kondygnacje nadziemne; druga kondygnacja wyłącznie w formie poddasza użytkowego.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Minimalny udział procentowy powierzchni biologicznie czynnej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30%.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Minimalna liczba miejsc do parkowania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Według MPZP i § 5 planu. Dla inwestycji przewiduje się 2 miejsca postojowe przypisane do każdego oferowanego lokalu / domu - zapis musi być zgodny z PZT i umowami.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 ochrony środowiska i zdrowia ludzi, przyrody i krajobrazu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literalnymi ustaleniami MPZP dotyczącymi ochrony środowiska, przyrody, krajobrazu, emisji i uciążliwości właściwymi dla terenu Z24.MN.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Wymagania dotyczące zabudowy i zagospodarowania terenu położonego na obszarach szczególnego zagrożenia powodzią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 na podstawie MPZP oraz aktualnych map zagrożenia i ryzyka powodziowego. Jeżeli teren nie leży na takim obszarze - wpisać „nie dotyczy / teren nie jest położony na obszarze szczególnego zagrożenia powodzią”.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 ochrony dziedzictwa kulturowego i zabytków oraz dóbr kultury współczesnej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literalnym ustaleniem MPZP. Jeżeli dla działek brak szczególnych ustaleń - wpisać odpowiednią informację z planu.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Wymagania dotyczące ochrony innych terenów lub obiektów podlegających ochronie na podstawie przepisów odrębnych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zgodnie z MPZP i innymi aktami. Wskazać strefy ochronne, formy ochrony przyrody, tereny górnicze, ujęcia wody itp., jeżeli dotyczą.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 i szczegółowe zasady obsługi w zakresie komunikacji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Obsługa komunikacyjna zgodnie z MPZP i PZT, w szczególności od ul. Jerzego Ziętka i ul. Zimowej. DO UZUPEŁNIENIA literalnym zapisem planu dotyczącym dróg wewnętrznych, zjazdów i parkingów.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 i szczegółowe zasady obsługi w zakresie infrastruktury technicznej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literalnymi ustaleniami MPZP dotyczącymi zaopatrzenia w wodę, kanalizacji, gazu, energii elektrycznej, ciepła, telekomunikacji, wód opadowych i odpadów.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Dodatkowe parametry architektoniczne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Dach budynków mieszkalnych spadzisty, symetryczny, kąt głównych połaci 30°, murłata nie wyżej niż 30 cm nad stropem, pokrycie w kolorze grafitowym; zakaz podpiwniczenia. Kolorystyka i elementy zagospodarowania zgodnie z MPZP i projektem.</w:t>
            </w:r>
          </w:p>
        </w:tc>
      </w:tr>
    </w:tbl>
    <w:p>
      <w:pPr>
        <w:pStyle w:val="Heading2"/>
        <w:spacing w:before="100" w:after="60"/>
      </w:pPr>
      <w:r>
        <w:t>Ustalenia obowiązującego MPZP dla działek lub ich fragmentów znajdujących się do 100 m od granicy przedsięwzięcia</w:t>
      </w:r>
    </w:p>
    <w:p>
      <w:pPr>
        <w:spacing w:after="60"/>
      </w:pPr>
      <w:r>
        <w:rPr>
          <w:rFonts w:ascii="Arial" w:hAnsi="Arial"/>
          <w:i/>
          <w:sz w:val="16"/>
        </w:rPr>
        <w:t>Przed finalnym wydaniem trzeba potwierdzić geometrycznie na rysunku MPZP, które fragmenty poniższych terenów faktycznie mieszczą się w buforze 100 m. W razie braku planu dla fragmentu wpisuje się „Brak planu”.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</w:tblGrid>
      <w:tr>
        <w:trPr/>
        <w:tc>
          <w:tcPr>
            <w:tcW w:type="dxa" w:w="1530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Teren</w:t>
            </w:r>
          </w:p>
        </w:tc>
        <w:tc>
          <w:tcPr>
            <w:tcW w:type="dxa" w:w="1530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Przeznaczenie</w:t>
            </w:r>
          </w:p>
        </w:tc>
        <w:tc>
          <w:tcPr>
            <w:tcW w:type="dxa" w:w="1530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Intensywność max / min nadziemna</w:t>
            </w:r>
          </w:p>
        </w:tc>
        <w:tc>
          <w:tcPr>
            <w:tcW w:type="dxa" w:w="1530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Pow. zabudowy max</w:t>
            </w:r>
          </w:p>
        </w:tc>
        <w:tc>
          <w:tcPr>
            <w:tcW w:type="dxa" w:w="1530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Wysokość max</w:t>
            </w:r>
          </w:p>
        </w:tc>
        <w:tc>
          <w:tcPr>
            <w:tcW w:type="dxa" w:w="1530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PBC min</w:t>
            </w:r>
          </w:p>
        </w:tc>
        <w:tc>
          <w:tcPr>
            <w:tcW w:type="dxa" w:w="1530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Miejsca parkingowe</w:t>
            </w:r>
          </w:p>
        </w:tc>
      </w:tr>
      <w:tr>
        <w:trPr/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Z24.1MWU / Z24.2MWU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zabudowa mieszkaniowa wielorodzinna i usługowa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0,3-1,1; nadziemna - DO WERYFIKACJI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30%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13,5 m / 4 kondygnacje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30%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zgodnie z § 5 MPZP</w:t>
            </w:r>
          </w:p>
        </w:tc>
      </w:tr>
      <w:tr>
        <w:trPr/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Z24.U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zabudowa usługowa, działalność nieuciążliwa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0,1-1,0; nadziemna - DO WERYFIKACJI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60%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 m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15%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zgodnie z § 5 MPZP</w:t>
            </w:r>
          </w:p>
        </w:tc>
      </w:tr>
      <w:tr>
        <w:trPr/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Z24.UUC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usługi, w tym możliwość obiektów handlowych &gt; 2000 m²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0,1-1,0; nadziemna - DO WERYFIKACJI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50%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 m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20%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zgodnie z § 5 MPZP</w:t>
            </w:r>
          </w:p>
        </w:tc>
      </w:tr>
      <w:tr>
        <w:trPr/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Z24.1KDD / Z24.2KDD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drogi dojazdowe klasy D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nie dotyczy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nie dotyczy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nie dotyczy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DO WERYFIKACJI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nie dotyczy</w:t>
            </w:r>
          </w:p>
        </w:tc>
      </w:tr>
      <w:tr>
        <w:trPr/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INNY TEREN W BUFORZE 100 m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DO UZUPEŁNIENIA po pomiarze graficznym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DO UZUPEŁNIENIA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DO UZUPEŁNIENIA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DO UZUPEŁNIENIA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DO UZUPEŁNIENIA</w:t>
            </w:r>
          </w:p>
        </w:tc>
        <w:tc>
          <w:tcPr>
            <w:tcW w:type="dxa" w:w="1530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DO UZUPEŁNIENIA</w:t>
            </w:r>
          </w:p>
        </w:tc>
      </w:tr>
    </w:tbl>
    <w:p>
      <w:pPr>
        <w:spacing w:after="60"/>
      </w:pPr>
      <w:r>
        <w:rPr>
          <w:rFonts w:ascii="Arial" w:hAnsi="Arial"/>
          <w:i/>
          <w:sz w:val="16"/>
        </w:rPr>
        <w:t>Dodatkowo: dla Z24.UUC wzdłuż granicy z Z24.MN obowiązuje strefa zieleni ochronnej szerokości 15 m, a w określonych warunkach przewidziano ekran osłonowy min. 3 m z roślinnością pnącą. Dla Z24.2KDD przy granicy z Z24.2MWU przewidziano pas zieleni ochronnej min. 4 m.</w:t>
      </w:r>
    </w:p>
    <w:p>
      <w:pPr>
        <w:pStyle w:val="Heading2"/>
        <w:spacing w:before="100" w:after="60"/>
      </w:pPr>
      <w:r>
        <w:t>Ustalenia decyzji o warunkach zabudowy albo decyzji lokalizacyjnej - w przypadku braku MPZP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Funkcja zabudowy i zagospodarowania terenu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teren przedsięwzięcia objęty jest obowiązującym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Sposób użytkowania obiektów budowlanych oraz zagospodarowania terenu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Gabaryty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Forma architektoniczna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Usytuowanie linii zabudowy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Intensywność wykorzystania terenu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 ochrony środowiska i zdrowia ludzi, przyrody i krajobrazu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Wymagania dla obszarów szczególnego zagrożenia powodzią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 ochrony dziedzictwa kulturowego i zabytków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Ochrona innych terenów lub obiektów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 obsługi komunikacyjnej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 obsługi infrastruktury technicznej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Minimalny udział powierzchni biologicznie czynnej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Nadziemna intensywność zabudowy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Wysokość zabudowy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obowiązuje MPZP.</w:t>
            </w:r>
          </w:p>
        </w:tc>
      </w:tr>
    </w:tbl>
    <w:p>
      <w:pPr>
        <w:pStyle w:val="Heading2"/>
        <w:spacing w:before="100" w:after="60"/>
      </w:pPr>
      <w:r>
        <w:t>Informacje dotyczące przewidzianych inwestycji w promieniu 1 km od przedsięwzięcia - według kategorii źródeł ustawowych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Miejscowe plany zagospodarowania przestrzennego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W otoczeniu obowiązują ustalenia MPZP przewidujące m.in. zabudowę mieszkaniową, usługową, handlową i komunikacyjną. DO UZUPEŁNIENIA listą wszystkich istotnych terenów / zamierzeń po końcowej analizie 1 km.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Decyzje o warunkach zabudowy i zagospodarowania terenu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 w aktualnym rejestrze decyzji WZ dla promienia 1 km. Jeżeli brak istotnych decyzji - wpisać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Decyzje o środowiskowych uwarunkowaniach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1) działka 98/24, rejon ul. 26 Stycznia - budowa dwóch hal magazynowych z boksami biurowymi typu SBU, decyzja środowiskowa z 23.07.2026 r.; 2) działki 98/25 i 98/33 - wcześniejsza decyzja środowiskowa dla zespołu przemysłowo-magazynowo-usługowego; 3) działka 133/2, rejon ul. 1 Maja / Witosa - decyzja środowiskowa dla zespołu 7 budynków wielorodzinnych z garażami podziemnymi.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Uchwały o obszarach ograniczonego użytkowania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WERYFIKACJI. Jeżeli nie występują - wpisać „nie stwierdzono obszarów ograniczonego użytkowania mających znaczenie dla inwestycji”.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Miejscowe plany odbudowy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stwierdzono w dotychczasowym przeglądzie - DO PONOWNEJ WERYFIKACJI.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Mapy zagrożenia powodziowego i mapy ryzyka powodziowego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 na aktualnych mapach ISOK / Wody Polskie dla promienia 1 km; wpisać wynik wprost.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Inne potwierdzone inwestycje administracyjne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Działka 98/25 - pozwolenie na budowę nr 324/26 z 16.07.2026 r. dla hali przemysłowo-magazynowo-usługowej wraz z infrastrukturą; działka 133/2 - etapowa realizacja 7 budynków, w tym uchwała Nr XV/166/2025 dla etapu 3 budynków i wcześniejszy etap 4 budynków.</w:t>
            </w:r>
          </w:p>
        </w:tc>
      </w:tr>
    </w:tbl>
    <w:p>
      <w:pPr>
        <w:pStyle w:val="Heading2"/>
        <w:spacing w:before="100" w:after="60"/>
      </w:pPr>
      <w:r>
        <w:t>Ustalenia decyzji w zakresie rozmieszczenia inwestycji celu publicznego mogące mieć znaczenie dla przedsięwzięcia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zezwoleniu na realizację inwestycji drogowej (ZRID)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 w promieniu 1 km; jeżeli brak - wpisać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ustaleniu lokalizacji linii kolejowej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WERYFIKACJI; jeżeli brak -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zezwoleniu na realizację inwestycji w zakresie lotniska użytku publicznego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WERYFIKACJI; jeżeli brak -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pozwoleniu na realizację inwestycji w zakresie budowli przeciwpowodziowych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WERYFIKACJI; jeżeli brak -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ustaleniu lokalizacji inwestycji w zakresie obiektu energetyki jądrowej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WERYFIKACJI; jeżeli brak -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ustaleniu lokalizacji strategicznej inwestycji w zakresie sieci przesyłowej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WERYFIKACJI; jeżeli brak -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ustaleniu lokalizacji regionalnej sieci szerokopasmowej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WERYFIKACJI; jeżeli brak -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ustaleniu lokalizacji inwestycji w zakresie Centralnego Portu Komunikacyjnego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WERYFIKACJI; jeżeli brak -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zezwoleniu na realizację inwestycji w zakresie infrastruktury dostępowej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WERYFIKACJI; jeżeli brak - „nie stwierdzono”.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Decyzja o ustaleniu lokalizacji strategicznej inwestycji w sektorze naftowym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WERYFIKACJI; jeżeli brak - „nie stwierdzono”.</w:t>
            </w:r>
          </w:p>
        </w:tc>
      </w:tr>
    </w:tbl>
    <w:p>
      <w:pPr>
        <w:pStyle w:val="Heading2"/>
        <w:spacing w:before="100" w:after="60"/>
      </w:pPr>
      <w:r>
        <w:t>B. INFORMACJE DOTYCZĄCE BUDYNKÓW I PRZEDSIĘWZIĘCIA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Nazwa przedsięwzięcia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Osiedle Ziętka - Knurów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Czy jest pozwolenie na budowę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TAK - numer, data i organ wydający DO UZUPEŁNIENIA na podstawie decyzji zatwierdzającej PZT i PAB.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Czy pozwolenie na budowę jest ostateczne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UZUPEŁNIENIA: TAK / NIE oraz data ostateczności.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Czy pozwolenie na budowę jest zaskarżone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UZUPEŁNIENIA: TAK / NIE.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Numer pozwolenia na budowę oraz nazwa organu, który je wydał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pełnym numerem decyzji, datą i nazwą organu.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Data uprawomocnienia się decyzji o pozwoleniu na użytkowanie budynku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na dzień 29.08.2026 r. - inwestycja niezakończona; po uzyskaniu wpisać datę.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Numer zgłoszenia budowy oraz organ i informacja o braku sprzeciwu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- inwestycja realizowana na podstawie pozwolenia na budowę.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Data zakończenia budowy domu jednorodzinnego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na dzień sporządzenia prospektu - budowa niezakończona; po zakończeniu wpisać właściwą datę.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Planowany termin rozpoczęcia robót budowlanych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01.10.2026 r.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Planowany termin zakończenia robót budowlanych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31.01.2028 r.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Opis przedsięwzięcia - liczba budynków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Budowa 11 budynków mieszkalnych jednorodzinnych, oznaczonych roboczo 1-11, wraz z infrastrukturą, drogą wewnętrzną, miejscami postojowymi i zagospodarowaniem terenu.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Rozmieszczenie budynków na nieruchomości / minimalny odstęp między budynkami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Zgodnie z zatwierdzonym PZT stanowiącym załącznik. DO UZUPEŁNIENIA minimalnymi odległościami wpisanymi wprost z PZT.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Sposób pomiaru powierzchni użytkowej lokalu / domu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Według Polskiej Normy właściwej dla daty złożenia wniosku o pozwolenie na budowę. W dokumentach roboczych przyjęto PN-ISO 9836:2022-07 - DO POTWIERDZENIA na podstawie daty wniosku i projektu.</w:t>
            </w:r>
          </w:p>
        </w:tc>
      </w:tr>
    </w:tbl>
    <w:p>
      <w:pPr>
        <w:pStyle w:val="Heading2"/>
        <w:spacing w:before="100" w:after="60"/>
      </w:pPr>
      <w:r>
        <w:t>Finansowanie przedsięwzięcia i środki ochrony nabywców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Zamierzony sposób i procentowy udział źródeł finansowania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Środki własne Dewelopera: DO UZUPEŁNIENIA %; kredyt deweloperski: DO UZUPEŁNIENIA %; środki nabywców wpłacane na MRP: DO UZUPEŁNIENIA %. Suma 100%.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Instytucja finansująca kredyt dewelopera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pełną nazwą banku / instytucji, jeżeli kredyt występuje; jeżeli nie - wpisać „nie dotyczy”.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Środki ochrony nabywców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Otwarty mieszkaniowy rachunek powierniczy (OMRP).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Bank prowadzący MRP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pełną nazwą banku oraz datą / numerem umowy MRP.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Wysokość stawki procentowej składki na DFG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POTWIERDZENIA według stawki obowiązującej w dniu rozpoczęcia sprzedaży. W dokumentach roboczych przyjęto 0,45% dla OMRP.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Główne zasady funkcjonowania zabezpieczenia środków nabywcy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Wpłaty nabywców są dokonywane na OMRP. Bank wypłaca Deweloperowi środki po stwierdzeniu zakończenia danego etapu i po kontroli wymaganej ustawą. Finalny opis należy ujednolicić z umową MRP.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Nazwa instytucji zapewniającej bezpieczeństwo środków nabywcy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pełną nazwą banku prowadzącego OMRP.</w:t>
            </w:r>
          </w:p>
        </w:tc>
      </w:tr>
    </w:tbl>
    <w:p>
      <w:pPr>
        <w:pStyle w:val="Heading2"/>
        <w:spacing w:before="100" w:after="60"/>
      </w:pPr>
      <w:r>
        <w:t>HARMONOGRAM PRZEDSIĘWZIĘCIA - 8 ETAPÓW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rPr/>
        <w:tc>
          <w:tcPr>
            <w:tcW w:type="dxa" w:w="2677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Etap</w:t>
            </w:r>
          </w:p>
        </w:tc>
        <w:tc>
          <w:tcPr>
            <w:tcW w:type="dxa" w:w="2677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Zakres</w:t>
            </w:r>
          </w:p>
        </w:tc>
        <w:tc>
          <w:tcPr>
            <w:tcW w:type="dxa" w:w="2677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Termin</w:t>
            </w:r>
          </w:p>
        </w:tc>
        <w:tc>
          <w:tcPr>
            <w:tcW w:type="dxa" w:w="2677"/>
            <w:vAlign w:val="center"/>
            <w:shd w:fill="D9E2F3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5"/>
              </w:rPr>
              <w:t>Udział kosztów</w:t>
            </w:r>
          </w:p>
        </w:tc>
      </w:tr>
      <w:tr>
        <w:trPr/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Etap 1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Roboty ziemne, fundamenty, stan zero oraz instalacje i podejścia podposadzkowe wykonywane pod płytą fundamentową.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31.12.2026 r.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25%</w:t>
            </w:r>
          </w:p>
        </w:tc>
      </w:tr>
      <w:tr>
        <w:trPr/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Etap 2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Budynki 1 i 2 - mury, stropy, dachy.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30.03.2027 r.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15%</w:t>
            </w:r>
          </w:p>
        </w:tc>
      </w:tr>
      <w:tr>
        <w:trPr/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Etap 3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Budynki 3 i 4 - mury, stropy, dachy. Budynki 1 i 2 - okna i drzwi, instalacje wod.-kan., elektryczne, centralne ogrzewanie podłogowe, tynki i wylewki.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30.05.2027 r.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10%</w:t>
            </w:r>
          </w:p>
        </w:tc>
      </w:tr>
      <w:tr>
        <w:trPr/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Etap 4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Budynki 5 i 6 - mury, stropy, dachy. Budynki 3 i 4 - okna i drzwi, instalacje wod.-kan., elektryczne, centralne ogrzewanie podłogowe, tynki i wylewki.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30.07.2027 r.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10%</w:t>
            </w:r>
          </w:p>
        </w:tc>
      </w:tr>
      <w:tr>
        <w:trPr/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Etap 5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Budynki 7 i 8 - mury, stropy, dachy. Budynki 5 i 6 - okna i drzwi, instalacje wod.-kan., elektryczne, centralne ogrzewanie podłogowe, tynki i wylewki.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30.08.2027 r.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10%</w:t>
            </w:r>
          </w:p>
        </w:tc>
      </w:tr>
      <w:tr>
        <w:trPr/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Etap 6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Budynki 9, 10 i 11 - mury, stropy, dachy. Budynki 7 i 8 - okna i drzwi, instalacje wod.-kan., elektryczne, centralne ogrzewanie podłogowe, tynki i wylewki.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30.09.2027 r.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10%</w:t>
            </w:r>
          </w:p>
        </w:tc>
      </w:tr>
      <w:tr>
        <w:trPr/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Etap 7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Budynki 9, 10 i 11 - okna i drzwi, instalacje wod.-kan., elektryczne, centralne ogrzewanie podłogowe, tynki i wylewki. Budynki 1-11 - wewnętrzne instalacje gazowe wraz z kotłami gazowymi.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30.11.2027 r.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10%</w:t>
            </w:r>
          </w:p>
        </w:tc>
      </w:tr>
      <w:tr>
        <w:trPr/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Etap 8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Przyłącza zewnętrzne i media: wod.-kan., gaz, energia elektryczna. Prace wykończeniowe w standardzie deweloperskim, droga wewnętrzna, bramy wjazdowe, miejsca postojowe, zagospodarowanie terenu, prace porządkowe i przygotowanie inwestycji do odbioru.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31.01.2028 r.</w:t>
            </w:r>
          </w:p>
        </w:tc>
        <w:tc>
          <w:tcPr>
            <w:tcW w:type="dxa" w:w="2677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4"/>
              </w:rPr>
              <w:t>10%</w:t>
            </w:r>
          </w:p>
        </w:tc>
      </w:tr>
    </w:tbl>
    <w:p>
      <w:pPr>
        <w:jc w:val="right"/>
      </w:pPr>
      <w:r>
        <w:rPr>
          <w:b/>
          <w:sz w:val="19"/>
        </w:rPr>
        <w:t>SUMA: 100%</w:t>
      </w:r>
    </w:p>
    <w:p>
      <w:pPr>
        <w:spacing w:after="60"/>
      </w:pPr>
      <w:r>
        <w:rPr>
          <w:rFonts w:ascii="Arial" w:hAnsi="Arial"/>
          <w:i/>
          <w:sz w:val="16"/>
        </w:rPr>
        <w:t>Etapy 1-8 mieszczą się w ustawowym przedziale 10%-25%, a suma udziałów wynosi 100%.</w:t>
      </w:r>
    </w:p>
    <w:p>
      <w:pPr>
        <w:pStyle w:val="Heading2"/>
        <w:spacing w:before="100" w:after="60"/>
      </w:pPr>
      <w:r>
        <w:t>Dopuszczenie waloryzacji ceny oraz zasady waloryzacji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Waloryzacja / zmiana ceny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Cena konkretnego lokalu / domu w części indywidualnej i umowach musi wynikać z powierzchni użytkowej × ceny za 1 m². DO UZUPEŁNIENIA finalnym, jednolitym zapisem zasad zmiany ceny, w szczególności w przypadku zmiany VAT i różnicy powierzchni po pomiarze powykonawczym, zgodnym z finalną umową deweloperską.</w:t>
            </w:r>
          </w:p>
        </w:tc>
      </w:tr>
    </w:tbl>
    <w:p>
      <w:pPr>
        <w:pStyle w:val="Heading2"/>
        <w:spacing w:before="100" w:after="60"/>
      </w:pPr>
      <w:r>
        <w:t>WARUNKI ODSTĄPIENIA OD UMOWY DEWELOPERSKIEJ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Warunki, na jakich nabywca może odstąpić od umowy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pełnym, aktualnym katalogiem przypadków odstąpienia nabywcy wynikającym z art. 43 ustawy oraz ewentualnych dodatkowych przypadków z finalnej umowy deweloperskiej. Treść musi być identyczna merytorycznie z finalnym wzorem umowy.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Warunki odstąpienia przez dewelopera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pełnym katalogiem zgodnym z ustawą i finalnym wzorem umowy, w szczególności dotyczącym braku zapłaty po prawidłowym wezwaniu oraz niestawiennictwa nabywcy do odbioru / aktu po spełnieniu przesłanek ustawowych.</w:t>
            </w:r>
          </w:p>
        </w:tc>
      </w:tr>
    </w:tbl>
    <w:p>
      <w:pPr>
        <w:pStyle w:val="Heading1"/>
        <w:spacing w:before="140" w:after="80"/>
      </w:pPr>
      <w:r>
        <w:t>INNE INFORMACJE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Zgoda banku / wierzyciela hipotecznego na bezobciążeniowe przeniesienie własności lub zobowiązanie do jej udzielenia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Jeżeli obciążenie hipoteczne istnieje lub powstanie - DO UZUPEŁNIENIA informacją, czy Deweloper posiada zgodę / promesę wierzyciela na bezobciążeniowe przeniesienie własności po zapłacie pełnej ceny. Jeżeli brak hipoteki - wpisać „nie dotyczy”.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Zgoda dotycząca lokalu użytkowego / ułamkowej części lokalu użytkowego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dotyczy, o ile umowy objęte prospektem nie obejmują nabycia lokalu użytkowego lub udziału w nim; w przeciwnym razie uzupełnić zgodnie z ustawą.</w:t>
            </w:r>
          </w:p>
        </w:tc>
      </w:tr>
    </w:tbl>
    <w:p>
      <w:pPr>
        <w:pStyle w:val="Heading2"/>
        <w:spacing w:before="100" w:after="60"/>
      </w:pPr>
      <w:r>
        <w:t>Dokumenty, z którymi zainteresowany może zapoznać się w lokalu przedsiębiorstwa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1. Aktualny stan księgi wieczystej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KW GL1G/00163210/2 - udostępnić aktualny stan.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2. Aktualny odpis / wyciąg / wydruk KRS lub CEIDG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Aktualny wydruk KRS STM DEVELOPMENT Sp. z o.o.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3. Pozwolenie na budowę albo zgłoszenie 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Udostępnić decyzję o pozwoleniu na budowę po uzupełnieniu numeru, daty i organu.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4. Sprawozdanie finansowe dewelopera za ostatnie dwa lata / wymagany okres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Udostępnić sprawozdania finansowe zgodnie z ustawowym zakresem.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5. Projekt budowlany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Udostępnić zatwierdzony projekt budowlany.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6. Decyzja o pozwoleniu na użytkowanie lub zawiadomienie o zakończeniu budowy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na obecnym etapie - budowa niezakończona; po uzyskaniu udostępnić.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7. Zaświadczenie o samodzielności lokalu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na obecnym etapie; po uzyskaniu - udostępnić, jeżeli dotyczy.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8. Akt ustanowienia odrębnej własności lokalu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nie dotyczy na obecnym etapie; po ustanowieniu - udostępnić, jeżeli dotyczy.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9. Dokument potwierdzający zgodę / zobowiązanie wierzyciela hipotecznego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UZUPEŁNIENIA, jeżeli nieruchomość jest lub będzie obciążona hipoteką; w razie braku obciążenia - „nie dotyczy”.</w:t>
            </w:r>
          </w:p>
        </w:tc>
      </w:tr>
    </w:tbl>
    <w:p>
      <w:pPr>
        <w:pStyle w:val="Heading2"/>
        <w:spacing w:before="100" w:after="60"/>
      </w:pPr>
      <w:r>
        <w:t>Informacja o ochronie środków zgromadzonych na mieszkaniowym rachunku powierniczym - BFG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Bank prowadzący MRP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pełną nazwą banku.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Informacja ustawowa o systemie gwarantowania depozytów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DO UZUPEŁNIENIA pełnym ustawowym blokiem po wskazaniu banku, w tym: informacja że środki na MRP są objęte obowiązkowym systemem gwarantowania depozytów na zasadach ustawy o BFG; wskazanie warunku gwarancji; zasad ustalania deponenta przy rachunku powierniczym; limit gwarancyjny równowartości 100 000 euro oraz przypadki ochrony ponad limit; zasady sumowania należności; termin wypłaty środków gwarantowanych; waluta wypłaty; znaki towarowe banku; adres strony BFG.</w:t>
            </w:r>
          </w:p>
        </w:tc>
      </w:tr>
      <w:tr>
        <w:trPr/>
        <w:tc>
          <w:tcPr>
            <w:tcW w:type="dxa" w:w="5355"/>
            <w:vAlign w:val="center"/>
            <w:shd w:fill="E7E6E6"/>
          </w:tcPr>
          <w:p>
            <w:pPr>
              <w:spacing w:after="0" w:before="0"/>
            </w:pPr>
            <w:r/>
            <w:r>
              <w:rPr>
                <w:rFonts w:ascii="Arial" w:hAnsi="Arial"/>
                <w:b/>
                <w:sz w:val="17"/>
              </w:rPr>
              <w:t>Oddział instytucji kredytowej - jeżeli dotyczy</w:t>
            </w:r>
          </w:p>
        </w:tc>
        <w:tc>
          <w:tcPr>
            <w:tcW w:type="dxa" w:w="5355"/>
            <w:vAlign w:val="center"/>
          </w:tcPr>
          <w:p>
            <w:pPr>
              <w:spacing w:after="0" w:before="0"/>
            </w:pPr>
            <w:r/>
            <w:r>
              <w:rPr>
                <w:rFonts w:ascii="Arial" w:hAnsi="Arial"/>
                <w:b w:val="0"/>
                <w:sz w:val="17"/>
              </w:rPr>
              <w:t>Jeżeli MRP prowadzi oddział instytucji kredytowej, wpisać ustawową informację o systemie gwarantowania państwa macierzystego. W przeciwnym razie - „nie dotyczy”.</w:t>
            </w:r>
          </w:p>
        </w:tc>
      </w:tr>
    </w:tbl>
    <w:p>
      <w:pPr>
        <w:spacing w:before="160"/>
      </w:pPr>
      <w:r>
        <w:rPr>
          <w:b/>
        </w:rPr>
        <w:t>STM DEVELOPMENT Sp. z o.o.</w:t>
        <w:br/>
      </w:r>
      <w:r>
        <w:t>Osoba uprawniona do reprezentacji Dewelopera: ______________________________</w:t>
        <w:br/>
      </w:r>
      <w:r>
        <w:t>Data aktualizacji: 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4" w:right="765" w:bottom="79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STM DEVELOPMENT Sp. z o.o. - Osiedle Ziętka - V3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5"/>
      </w:rPr>
      <w:t>STM DEVELOPMENT Sp. z o.o. - Prospekt informacyjny Osiedle Ziętka - CZĘŚĆ OGÓLNA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Część ogólna prospektu Osiedle Ziętka - V3</dc:title>
  <dc:subject>Prospekt informacyjny - część ogólna</dc:subject>
  <dc:creator>STM DEVELOPMENT Sp. z o.o.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