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B49600"/>
          <w:sz w:val="24"/>
        </w:rPr>
        <w:t>EY KPI Advisory &amp; Analytics Copilot</w:t>
      </w:r>
    </w:p>
    <w:p>
      <w:pPr>
        <w:spacing w:after="240"/>
      </w:pPr>
      <w:r>
        <w:rPr>
          <w:rFonts w:ascii="Calibri" w:hAnsi="Calibri"/>
          <w:b/>
          <w:color w:val="1B1B1B"/>
          <w:sz w:val="44"/>
        </w:rPr>
        <w:t>KPI Generation Prompt &amp; Requirements</w:t>
      </w:r>
    </w:p>
    <w:p>
      <w:pPr>
        <w:spacing w:after="480" w:line="312" w:lineRule="auto"/>
      </w:pPr>
      <w:r>
        <w:rPr>
          <w:b/>
        </w:rPr>
        <w:t xml:space="preserve">Industry Sector: </w:t>
      </w:r>
      <w:r>
        <w:t>Logistics</w:t>
        <w:br/>
      </w:r>
      <w:r>
        <w:rPr>
          <w:b/>
        </w:rPr>
        <w:t xml:space="preserve">Organizational Level: </w:t>
      </w:r>
      <w:r>
        <w:t>Business Unit</w:t>
        <w:br/>
      </w:r>
      <w:r>
        <w:rPr>
          <w:b/>
        </w:rPr>
        <w:t xml:space="preserve">Strategic KPI Count: </w:t>
      </w:r>
      <w:r>
        <w:t>9 Metrics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00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Calibri" w:hAnsi="Calibri"/>
        </w:rPr>
        <w:t>You are an Enterprise KPI Transformation Advisor operating at the senior consulting level. Your objective is to design a comprehensive KPI framework for a Logistics Business Unit. This framework must address the strategic mandate of driving bottom-line profitability through marginal cost improvements and operational efficiencies, while simultaneously elevating warehouse safety and risk mitigation standards.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1B1B1B"/>
        </w:rPr>
        <w:t>Strategic Context &amp; Objectives</w:t>
      </w:r>
    </w:p>
    <w:p>
      <w:pPr>
        <w:spacing w:after="120" w:line="276" w:lineRule="auto"/>
      </w:pPr>
      <w:r>
        <w:rPr>
          <w:rFonts w:ascii="Calibri" w:hAnsi="Calibri"/>
        </w:rPr>
        <w:t>The Business Unit is navigating a high-cost environment characterized by volatile fuel expenses, operational waste, and manual data collection processes that undermine data trust. To succeed, the organization must focus on:</w:t>
      </w:r>
    </w:p>
    <w:p>
      <w:pPr>
        <w:pStyle w:val="ListBullet"/>
        <w:spacing w:after="60"/>
      </w:pPr>
      <w:r>
        <w:rPr>
          <w:rFonts w:ascii="Calibri" w:hAnsi="Calibri"/>
        </w:rPr>
        <w:t>**Profitability &amp; Marginal Improvements**: Identifying and tracking incremental cost-saving opportunities across operations, procurement, and quality to expand gross margins and optimize working capital.</w:t>
      </w:r>
    </w:p>
    <w:p>
      <w:pPr>
        <w:pStyle w:val="ListBullet"/>
        <w:spacing w:after="60"/>
      </w:pPr>
      <w:r>
        <w:rPr>
          <w:rFonts w:ascii="Calibri" w:hAnsi="Calibri"/>
        </w:rPr>
        <w:t>**Warehouse Safety &amp; Compliance**: Strengthening safety protocols and risk management within logistics facilities to eliminate compliance risks and operational disruptions.</w:t>
      </w:r>
    </w:p>
    <w:p>
      <w:pPr>
        <w:pStyle w:val="ListBullet"/>
        <w:spacing w:after="60"/>
      </w:pPr>
      <w:r>
        <w:rPr>
          <w:rFonts w:ascii="Calibri" w:hAnsi="Calibri"/>
        </w:rPr>
        <w:t>**Operational Reliability**: Enhancing asset productivity and service reliability to mitigate customer churn and reduce defect/scrap rates.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1B1B1B"/>
        </w:rPr>
        <w:t>Scope of the KPI Framework</w:t>
      </w:r>
    </w:p>
    <w:p>
      <w:pPr>
        <w:spacing w:after="120" w:line="276" w:lineRule="auto"/>
      </w:pPr>
      <w:r>
        <w:rPr>
          <w:rFonts w:ascii="Calibri" w:hAnsi="Calibri"/>
        </w:rPr>
        <w:t>Your downstream task is to define a balanced set of KPIs across the following functional areas and Key Result Areas (KRAs):</w:t>
      </w:r>
    </w:p>
    <w:p>
      <w:pPr>
        <w:pStyle w:val="ListBullet"/>
        <w:spacing w:after="60"/>
      </w:pPr>
      <w:r>
        <w:rPr>
          <w:rFonts w:ascii="Calibri" w:hAnsi="Calibri"/>
        </w:rPr>
        <w:t>**Functional Areas**: Quality, Procurement, Operations, and Finance.</w:t>
      </w:r>
    </w:p>
    <w:p>
      <w:pPr>
        <w:pStyle w:val="ListBullet"/>
        <w:spacing w:after="60"/>
      </w:pPr>
      <w:r>
        <w:rPr>
          <w:rFonts w:ascii="Calibri" w:hAnsi="Calibri"/>
        </w:rPr>
        <w:t>**Key Result Areas (KRAs)**: Service Reliability, Risk Management, Asset Productivity, and Cash Flow.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1B1B1B"/>
        </w:rPr>
        <w:t>Downstream Generation Instructions</w:t>
      </w:r>
    </w:p>
    <w:p>
      <w:pPr>
        <w:spacing w:after="120" w:line="276" w:lineRule="auto"/>
      </w:pPr>
      <w:r>
        <w:rPr>
          <w:rFonts w:ascii="Calibri" w:hAnsi="Calibri"/>
        </w:rPr>
        <w:t>Please generate a KPI Library consisting of exactly 9 KPIs. For each KPI, you must provide the following metadata without recommending specific pre-determined metrics or formulas:</w:t>
      </w:r>
    </w:p>
    <w:p>
      <w:pPr>
        <w:spacing w:after="120" w:line="276" w:lineRule="auto"/>
      </w:pPr>
      <w:r>
        <w:rPr>
          <w:rFonts w:ascii="Calibri" w:hAnsi="Calibri"/>
        </w:rPr>
        <w:t>1. **KPI Name**: A professional, business-aligned name reflecting the strategic priorities.</w:t>
      </w:r>
    </w:p>
    <w:p>
      <w:pPr>
        <w:spacing w:after="120" w:line="276" w:lineRule="auto"/>
      </w:pPr>
      <w:r>
        <w:rPr>
          <w:rFonts w:ascii="Calibri" w:hAnsi="Calibri"/>
        </w:rPr>
        <w:t>2. **Description**: A detailed explanation of what the metric measures and its strategic relevance to profitability, marginal improvement, or warehouse safety.</w:t>
      </w:r>
    </w:p>
    <w:p>
      <w:pPr>
        <w:spacing w:after="120" w:line="276" w:lineRule="auto"/>
      </w:pPr>
      <w:r>
        <w:rPr>
          <w:rFonts w:ascii="Calibri" w:hAnsi="Calibri"/>
        </w:rPr>
        <w:t>3. **Business Owner**: The functional executive or manager responsible for the business outcome.</w:t>
      </w:r>
    </w:p>
    <w:p>
      <w:pPr>
        <w:spacing w:after="120" w:line="276" w:lineRule="auto"/>
      </w:pPr>
      <w:r>
        <w:rPr>
          <w:rFonts w:ascii="Calibri" w:hAnsi="Calibri"/>
        </w:rPr>
        <w:t>4. **Data Owner**: The technical or operational role responsible for data quality, addressing the challenge of manual data collection and low data trust.</w:t>
      </w:r>
    </w:p>
    <w:p>
      <w:pPr>
        <w:spacing w:after="120" w:line="276" w:lineRule="auto"/>
      </w:pPr>
      <w:r>
        <w:rPr>
          <w:rFonts w:ascii="Calibri" w:hAnsi="Calibri"/>
        </w:rPr>
        <w:t>5. **Refresh Cadence**: The appropriate frequency of review (e.g., Daily, Weekly, Monthly) to ensure timely decision-making.</w:t>
      </w:r>
    </w:p>
    <w:p>
      <w:pPr>
        <w:spacing w:after="120" w:line="276" w:lineRule="auto"/>
      </w:pPr>
      <w:r>
        <w:rPr>
          <w:rFonts w:ascii="Calibri" w:hAnsi="Calibri"/>
        </w:rPr>
        <w:t>6. **Target &amp; Threshold Ranges**: Conceptual guidance on how targets and tolerance thresholds should be structured to drive performance.</w:t>
      </w:r>
    </w:p>
    <w:p>
      <w:pPr>
        <w:spacing w:after="120" w:line="276" w:lineRule="auto"/>
      </w:pPr>
      <w:r>
        <w:rPr>
          <w:rFonts w:ascii="Calibri" w:hAnsi="Calibri"/>
        </w:rPr>
        <w:t>7. **Implementation Notes**: Specific guidance on data sourcing, automation opportunities, and change management required to transition from manual tracking to high-trust data pipelines.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