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8C566" w14:textId="77777777" w:rsidR="0090527B" w:rsidRDefault="00000000">
      <w:pPr>
        <w:spacing w:after="70"/>
        <w:jc w:val="center"/>
      </w:pPr>
      <w:r>
        <w:rPr>
          <w:b/>
          <w:bCs/>
          <w:color w:val="1F3864"/>
          <w:sz w:val="34"/>
          <w:szCs w:val="34"/>
        </w:rPr>
        <w:t>Technical Appendix</w:t>
      </w:r>
    </w:p>
    <w:p w14:paraId="3E39A74E" w14:textId="77777777" w:rsidR="0090527B" w:rsidRDefault="00000000">
      <w:pPr>
        <w:spacing w:after="170"/>
        <w:jc w:val="center"/>
      </w:pPr>
      <w:r>
        <w:rPr>
          <w:b/>
          <w:bCs/>
          <w:sz w:val="24"/>
          <w:szCs w:val="24"/>
        </w:rPr>
        <w:t>Neuroadaptive Curriculum Shaping for Reinforcement Learning</w:t>
      </w:r>
    </w:p>
    <w:p w14:paraId="44D43F97" w14:textId="1377B6D4" w:rsidR="0090527B" w:rsidRDefault="00000000">
      <w:pPr>
        <w:spacing w:after="40"/>
        <w:jc w:val="center"/>
      </w:pPr>
      <w:r>
        <w:rPr>
          <w:sz w:val="21"/>
          <w:szCs w:val="21"/>
        </w:rPr>
        <w:t>Ryan</w:t>
      </w:r>
      <w:r w:rsidR="000663E2">
        <w:rPr>
          <w:sz w:val="21"/>
          <w:szCs w:val="21"/>
        </w:rPr>
        <w:t xml:space="preserve"> Johnson</w:t>
      </w:r>
      <w:proofErr w:type="gramStart"/>
      <w:r>
        <w:rPr>
          <w:sz w:val="21"/>
          <w:szCs w:val="21"/>
        </w:rPr>
        <w:t>|  B.S.</w:t>
      </w:r>
      <w:proofErr w:type="gramEnd"/>
      <w:r>
        <w:rPr>
          <w:sz w:val="21"/>
          <w:szCs w:val="21"/>
        </w:rPr>
        <w:t xml:space="preserve"> Artificial Intelligence </w:t>
      </w:r>
      <w:proofErr w:type="gramStart"/>
      <w:r>
        <w:rPr>
          <w:sz w:val="21"/>
          <w:szCs w:val="21"/>
        </w:rPr>
        <w:t>Engineering  |</w:t>
      </w:r>
      <w:proofErr w:type="gramEnd"/>
      <w:r>
        <w:rPr>
          <w:sz w:val="21"/>
          <w:szCs w:val="21"/>
        </w:rPr>
        <w:t xml:space="preserve">  Neumont College of Computer Science</w:t>
      </w:r>
    </w:p>
    <w:p w14:paraId="1D985F0C" w14:textId="1139C65B" w:rsidR="0090527B" w:rsidRDefault="00000000">
      <w:pPr>
        <w:spacing w:after="240"/>
        <w:jc w:val="center"/>
      </w:pPr>
      <w:r>
        <w:rPr>
          <w:i/>
          <w:iCs/>
          <w:sz w:val="21"/>
          <w:szCs w:val="21"/>
        </w:rPr>
        <w:t xml:space="preserve">Revision </w:t>
      </w:r>
      <w:proofErr w:type="gramStart"/>
      <w:r>
        <w:rPr>
          <w:i/>
          <w:iCs/>
          <w:sz w:val="21"/>
          <w:szCs w:val="21"/>
        </w:rPr>
        <w:t>3  |</w:t>
      </w:r>
      <w:proofErr w:type="gramEnd"/>
      <w:r>
        <w:rPr>
          <w:i/>
          <w:iCs/>
          <w:sz w:val="21"/>
          <w:szCs w:val="21"/>
        </w:rPr>
        <w:t xml:space="preserve">  September 16, </w:t>
      </w:r>
      <w:proofErr w:type="gramStart"/>
      <w:r>
        <w:rPr>
          <w:i/>
          <w:iCs/>
          <w:sz w:val="21"/>
          <w:szCs w:val="21"/>
        </w:rPr>
        <w:t>2026  |</w:t>
      </w:r>
      <w:proofErr w:type="gramEnd"/>
      <w:r>
        <w:rPr>
          <w:i/>
          <w:iCs/>
          <w:sz w:val="21"/>
          <w:szCs w:val="21"/>
        </w:rPr>
        <w:t xml:space="preserve">  Instructor: </w:t>
      </w:r>
      <w:r w:rsidR="000663E2">
        <w:rPr>
          <w:i/>
          <w:iCs/>
          <w:sz w:val="21"/>
          <w:szCs w:val="21"/>
        </w:rPr>
        <w:t>Brett Beardall</w:t>
      </w:r>
      <w:r>
        <w:rPr>
          <w:i/>
          <w:iCs/>
          <w:sz w:val="21"/>
          <w:szCs w:val="21"/>
        </w:rPr>
        <w:t xml:space="preserve"> </w:t>
      </w:r>
    </w:p>
    <w:p w14:paraId="79830501" w14:textId="77777777" w:rsidR="0090527B" w:rsidRDefault="0090527B">
      <w:pPr>
        <w:pBdr>
          <w:bottom w:val="single" w:sz="6" w:space="0" w:color="1F3864"/>
        </w:pBdr>
        <w:spacing w:before="60" w:after="170"/>
      </w:pPr>
    </w:p>
    <w:p w14:paraId="3263F9AA" w14:textId="77777777" w:rsidR="0090527B" w:rsidRDefault="00000000">
      <w:pPr>
        <w:spacing w:after="60" w:line="276" w:lineRule="auto"/>
      </w:pPr>
      <w:r>
        <w:rPr>
          <w:sz w:val="22"/>
          <w:szCs w:val="22"/>
        </w:rPr>
        <w:t>This appendix documents the technical specifications underlying the proposal. It is organized to address the specific questions raised in review: the status and scope of the combat environment, how difficulty is standardized across three different measurement systems, what EEG features are extracted and why they indicate difficulty, how the pipeline produces estimates, which public datasets are used and whether domain transfer is assumed, what hardware the signal requirements imply, what happens if the EEG component cannot run, and how each component is implemented.</w:t>
      </w:r>
    </w:p>
    <w:p w14:paraId="406DC3CD" w14:textId="77777777" w:rsidR="0090527B" w:rsidRDefault="00000000">
      <w:pPr>
        <w:pStyle w:val="Heading1"/>
        <w:spacing w:before="330" w:after="140"/>
      </w:pPr>
      <w:r>
        <w:rPr>
          <w:b/>
          <w:bCs/>
          <w:color w:val="1F3864"/>
          <w:sz w:val="28"/>
          <w:szCs w:val="28"/>
        </w:rPr>
        <w:t>A1. Combat Environment</w:t>
      </w:r>
    </w:p>
    <w:p w14:paraId="4DFD6F88" w14:textId="77777777" w:rsidR="0090527B" w:rsidRDefault="00000000">
      <w:pPr>
        <w:pStyle w:val="Heading2"/>
        <w:spacing w:before="230" w:after="100"/>
      </w:pPr>
      <w:r>
        <w:rPr>
          <w:b/>
          <w:bCs/>
          <w:color w:val="1F3864"/>
          <w:sz w:val="24"/>
          <w:szCs w:val="24"/>
        </w:rPr>
        <w:t>A1.1 Build status</w:t>
      </w:r>
    </w:p>
    <w:p w14:paraId="0EAC8901" w14:textId="77777777" w:rsidR="0090527B" w:rsidRDefault="00000000">
      <w:pPr>
        <w:spacing w:after="130" w:line="276" w:lineRule="auto"/>
      </w:pPr>
      <w:r>
        <w:rPr>
          <w:sz w:val="22"/>
          <w:szCs w:val="22"/>
        </w:rPr>
        <w:t>The environment does not exist and will be built as part of this project. It is not an off-the-shelf component, and the schedule allocates weeks 2 and 3 to it. The specification below is published in the project repository at the start of week 1 so the scope is fixed and reviewable before implementation begins.</w:t>
      </w:r>
    </w:p>
    <w:p w14:paraId="0C10A19D" w14:textId="5D1EEAB4" w:rsidR="0090527B" w:rsidRDefault="00000000">
      <w:pPr>
        <w:spacing w:after="130" w:line="276" w:lineRule="auto"/>
      </w:pPr>
      <w:r>
        <w:rPr>
          <w:sz w:val="22"/>
          <w:szCs w:val="22"/>
        </w:rPr>
        <w:t xml:space="preserve">Repository: </w:t>
      </w:r>
      <w:hyperlink r:id="rId5" w:history="1">
        <w:r w:rsidRPr="000663E2">
          <w:rPr>
            <w:rStyle w:val="Hyperlink"/>
            <w:sz w:val="22"/>
            <w:szCs w:val="22"/>
          </w:rPr>
          <w:t>GitHub URL</w:t>
        </w:r>
      </w:hyperlink>
      <w:r>
        <w:rPr>
          <w:sz w:val="22"/>
          <w:szCs w:val="22"/>
        </w:rPr>
        <w:t>. The environment specification is committed as docs/ENVIRONMENT_SPEC.md.</w:t>
      </w:r>
    </w:p>
    <w:p w14:paraId="7514CAFD" w14:textId="77777777" w:rsidR="0090527B" w:rsidRDefault="00000000">
      <w:pPr>
        <w:pStyle w:val="Heading2"/>
        <w:spacing w:before="230" w:after="100"/>
      </w:pPr>
      <w:r>
        <w:rPr>
          <w:b/>
          <w:bCs/>
          <w:color w:val="1F3864"/>
          <w:sz w:val="24"/>
          <w:szCs w:val="24"/>
        </w:rPr>
        <w:t>A1.2 Justification for building rather than adopting</w:t>
      </w:r>
    </w:p>
    <w:p w14:paraId="39BC4CA3" w14:textId="77777777" w:rsidR="0090527B" w:rsidRDefault="00000000">
      <w:pPr>
        <w:spacing w:after="130" w:line="276" w:lineRule="auto"/>
      </w:pPr>
      <w:r>
        <w:rPr>
          <w:sz w:val="22"/>
          <w:szCs w:val="22"/>
        </w:rPr>
        <w:t xml:space="preserve">Three requirements rule out existing environments. The configuration space must be a small set of explicitly parameterized difficulty cells that a human can </w:t>
      </w:r>
      <w:proofErr w:type="gramStart"/>
      <w:r>
        <w:rPr>
          <w:sz w:val="22"/>
          <w:szCs w:val="22"/>
        </w:rPr>
        <w:t>play</w:t>
      </w:r>
      <w:proofErr w:type="gramEnd"/>
      <w:r>
        <w:rPr>
          <w:sz w:val="22"/>
          <w:szCs w:val="22"/>
        </w:rPr>
        <w:t xml:space="preserve"> and an agent can train on identically. The simulator must run headless and deterministically under a fixed seed at thousands of steps per second to make sixty training runs affordable. And the same build must be playable by a human at real-time speed with rendering. No existing minimal combat environment meets all three, and adapting one would cost more than writing a purpose-built simulator with a deliberately small feature set.</w:t>
      </w:r>
    </w:p>
    <w:p w14:paraId="07D4E575" w14:textId="77777777" w:rsidR="0090527B" w:rsidRDefault="00000000">
      <w:pPr>
        <w:pStyle w:val="Heading2"/>
        <w:spacing w:before="230" w:after="100"/>
      </w:pPr>
      <w:r>
        <w:rPr>
          <w:b/>
          <w:bCs/>
          <w:color w:val="1F3864"/>
          <w:sz w:val="24"/>
          <w:szCs w:val="24"/>
        </w:rPr>
        <w:t>A1.3 Specification</w:t>
      </w:r>
    </w:p>
    <w:p w14:paraId="0D735D9F" w14:textId="77777777" w:rsidR="0090527B" w:rsidRDefault="00000000">
      <w:pPr>
        <w:pStyle w:val="ListParagraph"/>
        <w:numPr>
          <w:ilvl w:val="0"/>
          <w:numId w:val="2"/>
        </w:numPr>
        <w:spacing w:after="80" w:line="276" w:lineRule="auto"/>
      </w:pPr>
      <w:r>
        <w:rPr>
          <w:sz w:val="22"/>
          <w:szCs w:val="22"/>
        </w:rPr>
        <w:t>Two-dimensional continuous arena, fixed size, no terrain or obstacles.</w:t>
      </w:r>
    </w:p>
    <w:p w14:paraId="1DDB655F" w14:textId="77777777" w:rsidR="0090527B" w:rsidRDefault="00000000">
      <w:pPr>
        <w:pStyle w:val="ListParagraph"/>
        <w:numPr>
          <w:ilvl w:val="0"/>
          <w:numId w:val="2"/>
        </w:numPr>
        <w:spacing w:after="80" w:line="276" w:lineRule="auto"/>
      </w:pPr>
      <w:r>
        <w:rPr>
          <w:sz w:val="22"/>
          <w:szCs w:val="22"/>
        </w:rPr>
        <w:t>One agent and one enemy. No allies, no items, no progression systems.</w:t>
      </w:r>
    </w:p>
    <w:p w14:paraId="04CCA15E" w14:textId="77777777" w:rsidR="0090527B" w:rsidRDefault="00000000">
      <w:pPr>
        <w:pStyle w:val="ListParagraph"/>
        <w:numPr>
          <w:ilvl w:val="0"/>
          <w:numId w:val="2"/>
        </w:numPr>
        <w:spacing w:after="80" w:line="276" w:lineRule="auto"/>
      </w:pPr>
      <w:r>
        <w:rPr>
          <w:sz w:val="22"/>
          <w:szCs w:val="22"/>
        </w:rPr>
        <w:t>Agent state: position, velocity, health, stamina, action cooldown.</w:t>
      </w:r>
    </w:p>
    <w:p w14:paraId="39573AF0" w14:textId="77777777" w:rsidR="0090527B" w:rsidRDefault="00000000">
      <w:pPr>
        <w:pStyle w:val="ListParagraph"/>
        <w:numPr>
          <w:ilvl w:val="0"/>
          <w:numId w:val="2"/>
        </w:numPr>
        <w:spacing w:after="80" w:line="276" w:lineRule="auto"/>
      </w:pPr>
      <w:r>
        <w:rPr>
          <w:sz w:val="22"/>
          <w:szCs w:val="22"/>
        </w:rPr>
        <w:t>Enemy state: position, current attack, attack phase (telegraph, active, recovery), phase timer.</w:t>
      </w:r>
    </w:p>
    <w:p w14:paraId="627CCDF8" w14:textId="77777777" w:rsidR="0090527B" w:rsidRDefault="00000000">
      <w:pPr>
        <w:pStyle w:val="ListParagraph"/>
        <w:numPr>
          <w:ilvl w:val="0"/>
          <w:numId w:val="2"/>
        </w:numPr>
        <w:spacing w:after="80" w:line="276" w:lineRule="auto"/>
      </w:pPr>
      <w:r>
        <w:rPr>
          <w:sz w:val="22"/>
          <w:szCs w:val="22"/>
        </w:rPr>
        <w:t>Agent actions: move in eight directions, attack, dodge, block, wait. Discrete.</w:t>
      </w:r>
    </w:p>
    <w:p w14:paraId="68F6998E" w14:textId="77777777" w:rsidR="0090527B" w:rsidRDefault="00000000">
      <w:pPr>
        <w:pStyle w:val="ListParagraph"/>
        <w:numPr>
          <w:ilvl w:val="0"/>
          <w:numId w:val="2"/>
        </w:numPr>
        <w:spacing w:after="80" w:line="276" w:lineRule="auto"/>
      </w:pPr>
      <w:r>
        <w:rPr>
          <w:sz w:val="22"/>
          <w:szCs w:val="22"/>
        </w:rPr>
        <w:t xml:space="preserve">Enemy </w:t>
      </w:r>
      <w:proofErr w:type="spellStart"/>
      <w:r>
        <w:rPr>
          <w:sz w:val="22"/>
          <w:szCs w:val="22"/>
        </w:rPr>
        <w:t>behaviour</w:t>
      </w:r>
      <w:proofErr w:type="spellEnd"/>
      <w:r>
        <w:rPr>
          <w:sz w:val="22"/>
          <w:szCs w:val="22"/>
        </w:rPr>
        <w:t xml:space="preserve">: a </w:t>
      </w:r>
      <w:proofErr w:type="gramStart"/>
      <w:r>
        <w:rPr>
          <w:sz w:val="22"/>
          <w:szCs w:val="22"/>
        </w:rPr>
        <w:t>small fixed</w:t>
      </w:r>
      <w:proofErr w:type="gramEnd"/>
      <w:r>
        <w:rPr>
          <w:sz w:val="22"/>
          <w:szCs w:val="22"/>
        </w:rPr>
        <w:t xml:space="preserve"> set of attack patterns selected by a scripted policy. The enemy does not learn.</w:t>
      </w:r>
    </w:p>
    <w:p w14:paraId="576DBD18" w14:textId="77777777" w:rsidR="0090527B" w:rsidRDefault="00000000">
      <w:pPr>
        <w:pStyle w:val="ListParagraph"/>
        <w:numPr>
          <w:ilvl w:val="0"/>
          <w:numId w:val="2"/>
        </w:numPr>
        <w:spacing w:after="80" w:line="276" w:lineRule="auto"/>
      </w:pPr>
      <w:r>
        <w:rPr>
          <w:sz w:val="22"/>
          <w:szCs w:val="22"/>
        </w:rPr>
        <w:t>Episode: one combat encounter, terminating on agent death, enemy death, or a step limit.</w:t>
      </w:r>
    </w:p>
    <w:p w14:paraId="27FC19C3" w14:textId="77777777" w:rsidR="0090527B" w:rsidRDefault="00000000">
      <w:pPr>
        <w:pStyle w:val="ListParagraph"/>
        <w:numPr>
          <w:ilvl w:val="0"/>
          <w:numId w:val="2"/>
        </w:numPr>
        <w:spacing w:after="80" w:line="276" w:lineRule="auto"/>
      </w:pPr>
      <w:r>
        <w:rPr>
          <w:sz w:val="22"/>
          <w:szCs w:val="22"/>
        </w:rPr>
        <w:t>Fixed simulation tick. Human play renders at real time; agent training runs headless at maximum speed with identical dynamics.</w:t>
      </w:r>
    </w:p>
    <w:p w14:paraId="0D7511BA" w14:textId="77777777" w:rsidR="0090527B" w:rsidRDefault="00000000">
      <w:pPr>
        <w:spacing w:after="60" w:line="276" w:lineRule="auto"/>
      </w:pPr>
      <w:r>
        <w:rPr>
          <w:sz w:val="22"/>
          <w:szCs w:val="22"/>
        </w:rPr>
        <w:t xml:space="preserve">Feature freeze applies </w:t>
      </w:r>
      <w:proofErr w:type="gramStart"/>
      <w:r>
        <w:rPr>
          <w:sz w:val="22"/>
          <w:szCs w:val="22"/>
        </w:rPr>
        <w:t>at</w:t>
      </w:r>
      <w:proofErr w:type="gramEnd"/>
      <w:r>
        <w:rPr>
          <w:sz w:val="22"/>
          <w:szCs w:val="22"/>
        </w:rPr>
        <w:t xml:space="preserve"> specification. Anything not listed above is out of scope for this capstone regardless of how easy it would be to add.</w:t>
      </w:r>
    </w:p>
    <w:p w14:paraId="5F35D5C6" w14:textId="77777777" w:rsidR="0090527B" w:rsidRDefault="00000000">
      <w:pPr>
        <w:pStyle w:val="Heading2"/>
        <w:spacing w:before="230" w:after="100"/>
      </w:pPr>
      <w:r>
        <w:rPr>
          <w:b/>
          <w:bCs/>
          <w:color w:val="1F3864"/>
          <w:sz w:val="24"/>
          <w:szCs w:val="24"/>
        </w:rPr>
        <w:lastRenderedPageBreak/>
        <w:t>A1.4 Difficulty configuration space</w:t>
      </w:r>
    </w:p>
    <w:p w14:paraId="2F56F887" w14:textId="77777777" w:rsidR="0090527B" w:rsidRDefault="00000000">
      <w:pPr>
        <w:spacing w:after="130" w:line="276" w:lineRule="auto"/>
      </w:pPr>
      <w:r>
        <w:rPr>
          <w:sz w:val="22"/>
          <w:szCs w:val="22"/>
        </w:rPr>
        <w:t>Difficulty is parameterized on two axes chosen because they plausibly affect human and agent difficulty through the same mechanism, which is the requirement Gate 2 tests.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4200"/>
      </w:tblGrid>
      <w:tr w:rsidR="0090527B" w14:paraId="13275AFC" w14:textId="77777777">
        <w:tblPrEx>
          <w:tblCellMar>
            <w:top w:w="0" w:type="dxa"/>
            <w:bottom w:w="0" w:type="dxa"/>
          </w:tblCellMar>
        </w:tblPrEx>
        <w:trPr>
          <w:tblHeader/>
        </w:trPr>
        <w:tc>
          <w:tcPr>
            <w:tcW w:w="2600" w:type="dxa"/>
            <w:shd w:val="clear" w:color="auto" w:fill="D9E2F3"/>
            <w:tcMar>
              <w:top w:w="80" w:type="dxa"/>
              <w:left w:w="110" w:type="dxa"/>
              <w:bottom w:w="80" w:type="dxa"/>
              <w:right w:w="110" w:type="dxa"/>
            </w:tcMar>
          </w:tcPr>
          <w:p w14:paraId="36892697" w14:textId="77777777" w:rsidR="0090527B" w:rsidRDefault="00000000">
            <w:pPr>
              <w:spacing w:line="250" w:lineRule="auto"/>
            </w:pPr>
            <w:r>
              <w:rPr>
                <w:b/>
                <w:bCs/>
              </w:rPr>
              <w:t>Axis</w:t>
            </w:r>
          </w:p>
        </w:tc>
        <w:tc>
          <w:tcPr>
            <w:tcW w:w="3200" w:type="dxa"/>
            <w:shd w:val="clear" w:color="auto" w:fill="D9E2F3"/>
            <w:tcMar>
              <w:top w:w="80" w:type="dxa"/>
              <w:left w:w="110" w:type="dxa"/>
              <w:bottom w:w="80" w:type="dxa"/>
              <w:right w:w="110" w:type="dxa"/>
            </w:tcMar>
          </w:tcPr>
          <w:p w14:paraId="469A36A3" w14:textId="77777777" w:rsidR="0090527B" w:rsidRDefault="00000000">
            <w:pPr>
              <w:spacing w:line="250" w:lineRule="auto"/>
            </w:pPr>
            <w:r>
              <w:rPr>
                <w:b/>
                <w:bCs/>
              </w:rPr>
              <w:t>Levels</w:t>
            </w:r>
          </w:p>
        </w:tc>
        <w:tc>
          <w:tcPr>
            <w:tcW w:w="4200" w:type="dxa"/>
            <w:shd w:val="clear" w:color="auto" w:fill="D9E2F3"/>
            <w:tcMar>
              <w:top w:w="80" w:type="dxa"/>
              <w:left w:w="110" w:type="dxa"/>
              <w:bottom w:w="80" w:type="dxa"/>
              <w:right w:w="110" w:type="dxa"/>
            </w:tcMar>
          </w:tcPr>
          <w:p w14:paraId="252EE581" w14:textId="77777777" w:rsidR="0090527B" w:rsidRDefault="00000000">
            <w:pPr>
              <w:spacing w:line="250" w:lineRule="auto"/>
            </w:pPr>
            <w:r>
              <w:rPr>
                <w:b/>
                <w:bCs/>
              </w:rPr>
              <w:t>Rationale</w:t>
            </w:r>
          </w:p>
        </w:tc>
      </w:tr>
      <w:tr w:rsidR="0090527B" w14:paraId="29E5DC68" w14:textId="77777777">
        <w:tblPrEx>
          <w:tblCellMar>
            <w:top w:w="0" w:type="dxa"/>
            <w:bottom w:w="0" w:type="dxa"/>
          </w:tblCellMar>
        </w:tblPrEx>
        <w:tc>
          <w:tcPr>
            <w:tcW w:w="2600" w:type="dxa"/>
            <w:tcMar>
              <w:top w:w="80" w:type="dxa"/>
              <w:left w:w="110" w:type="dxa"/>
              <w:bottom w:w="80" w:type="dxa"/>
              <w:right w:w="110" w:type="dxa"/>
            </w:tcMar>
          </w:tcPr>
          <w:p w14:paraId="67DA3635" w14:textId="77777777" w:rsidR="0090527B" w:rsidRDefault="00000000">
            <w:pPr>
              <w:spacing w:line="250" w:lineRule="auto"/>
            </w:pPr>
            <w:r>
              <w:t>Telegraph duration</w:t>
            </w:r>
          </w:p>
        </w:tc>
        <w:tc>
          <w:tcPr>
            <w:tcW w:w="3200" w:type="dxa"/>
            <w:tcMar>
              <w:top w:w="80" w:type="dxa"/>
              <w:left w:w="110" w:type="dxa"/>
              <w:bottom w:w="80" w:type="dxa"/>
              <w:right w:w="110" w:type="dxa"/>
            </w:tcMar>
          </w:tcPr>
          <w:p w14:paraId="395E8617" w14:textId="77777777" w:rsidR="0090527B" w:rsidRDefault="00000000">
            <w:pPr>
              <w:spacing w:line="250" w:lineRule="auto"/>
            </w:pPr>
            <w:r>
              <w:t>5 (long to short)</w:t>
            </w:r>
          </w:p>
        </w:tc>
        <w:tc>
          <w:tcPr>
            <w:tcW w:w="4200" w:type="dxa"/>
            <w:tcMar>
              <w:top w:w="80" w:type="dxa"/>
              <w:left w:w="110" w:type="dxa"/>
              <w:bottom w:w="80" w:type="dxa"/>
              <w:right w:w="110" w:type="dxa"/>
            </w:tcMar>
          </w:tcPr>
          <w:p w14:paraId="7A4AFD57" w14:textId="77777777" w:rsidR="0090527B" w:rsidRDefault="00000000">
            <w:pPr>
              <w:spacing w:line="250" w:lineRule="auto"/>
            </w:pPr>
            <w:r>
              <w:t>Compresses the window for recognizing and responding to an attack. Affects a human through reaction time and an agent through the number of decision steps available.</w:t>
            </w:r>
          </w:p>
        </w:tc>
      </w:tr>
      <w:tr w:rsidR="0090527B" w14:paraId="454B071B" w14:textId="77777777">
        <w:tblPrEx>
          <w:tblCellMar>
            <w:top w:w="0" w:type="dxa"/>
            <w:bottom w:w="0" w:type="dxa"/>
          </w:tblCellMar>
        </w:tblPrEx>
        <w:tc>
          <w:tcPr>
            <w:tcW w:w="2600" w:type="dxa"/>
            <w:tcMar>
              <w:top w:w="80" w:type="dxa"/>
              <w:left w:w="110" w:type="dxa"/>
              <w:bottom w:w="80" w:type="dxa"/>
              <w:right w:w="110" w:type="dxa"/>
            </w:tcMar>
          </w:tcPr>
          <w:p w14:paraId="72454789" w14:textId="77777777" w:rsidR="0090527B" w:rsidRDefault="00000000">
            <w:pPr>
              <w:spacing w:line="250" w:lineRule="auto"/>
            </w:pPr>
            <w:r>
              <w:t>Attack rate</w:t>
            </w:r>
          </w:p>
        </w:tc>
        <w:tc>
          <w:tcPr>
            <w:tcW w:w="3200" w:type="dxa"/>
            <w:tcMar>
              <w:top w:w="80" w:type="dxa"/>
              <w:left w:w="110" w:type="dxa"/>
              <w:bottom w:w="80" w:type="dxa"/>
              <w:right w:w="110" w:type="dxa"/>
            </w:tcMar>
          </w:tcPr>
          <w:p w14:paraId="66D65717" w14:textId="77777777" w:rsidR="0090527B" w:rsidRDefault="00000000">
            <w:pPr>
              <w:spacing w:line="250" w:lineRule="auto"/>
            </w:pPr>
            <w:r>
              <w:t>5 (sparse to dense)</w:t>
            </w:r>
          </w:p>
        </w:tc>
        <w:tc>
          <w:tcPr>
            <w:tcW w:w="4200" w:type="dxa"/>
            <w:tcMar>
              <w:top w:w="80" w:type="dxa"/>
              <w:left w:w="110" w:type="dxa"/>
              <w:bottom w:w="80" w:type="dxa"/>
              <w:right w:w="110" w:type="dxa"/>
            </w:tcMar>
          </w:tcPr>
          <w:p w14:paraId="47D8052A" w14:textId="77777777" w:rsidR="0090527B" w:rsidRDefault="00000000">
            <w:pPr>
              <w:spacing w:line="250" w:lineRule="auto"/>
            </w:pPr>
            <w:r>
              <w:t>Reduces recovery windows and forces stamina management under pressure. Affects both learners through the same resource constraint.</w:t>
            </w:r>
          </w:p>
        </w:tc>
      </w:tr>
    </w:tbl>
    <w:p w14:paraId="6A5C7165" w14:textId="77777777" w:rsidR="0090527B" w:rsidRDefault="0090527B">
      <w:pPr>
        <w:spacing w:after="90" w:line="276" w:lineRule="auto"/>
      </w:pPr>
    </w:p>
    <w:p w14:paraId="777720AE" w14:textId="77777777" w:rsidR="0090527B" w:rsidRDefault="00000000">
      <w:pPr>
        <w:spacing w:after="130" w:line="276" w:lineRule="auto"/>
      </w:pPr>
      <w:r>
        <w:rPr>
          <w:sz w:val="22"/>
          <w:szCs w:val="22"/>
        </w:rPr>
        <w:t>This yields 25 configurations, which fits the session budget derived in A7.3. All other environment parameters are held constant across configurations. Five configurations are reserved as the held-out set for generalization testing and are never sampled during training in any condition; the split is fixed before any experimental runs.</w:t>
      </w:r>
    </w:p>
    <w:p w14:paraId="302DB01E" w14:textId="77777777" w:rsidR="0090527B" w:rsidRDefault="00000000">
      <w:pPr>
        <w:pStyle w:val="Heading2"/>
        <w:spacing w:before="230" w:after="100"/>
      </w:pPr>
      <w:r>
        <w:rPr>
          <w:b/>
          <w:bCs/>
          <w:color w:val="1F3864"/>
          <w:sz w:val="24"/>
          <w:szCs w:val="24"/>
        </w:rPr>
        <w:t>A1.5 Measured axis asymmetry</w:t>
      </w:r>
    </w:p>
    <w:p w14:paraId="63CA40F1" w14:textId="77777777" w:rsidR="0090527B" w:rsidRDefault="00000000">
      <w:pPr>
        <w:spacing w:after="130" w:line="276" w:lineRule="auto"/>
      </w:pPr>
      <w:r>
        <w:rPr>
          <w:sz w:val="22"/>
          <w:szCs w:val="22"/>
        </w:rPr>
        <w:t xml:space="preserve">The environment is implemented and tested. A scripted reactive policy </w:t>
      </w:r>
      <w:proofErr w:type="gramStart"/>
      <w:r>
        <w:rPr>
          <w:sz w:val="22"/>
          <w:szCs w:val="22"/>
        </w:rPr>
        <w:t>run</w:t>
      </w:r>
      <w:proofErr w:type="gramEnd"/>
      <w:r>
        <w:rPr>
          <w:sz w:val="22"/>
          <w:szCs w:val="22"/>
        </w:rPr>
        <w:t xml:space="preserve"> over 40 episodes per cell produces a clear overall gradient: mean damage taken rises from 23.1 at the easiest cell to 90.2 at the hardest, and win rate falls from 1.00 to 0.65.</w:t>
      </w:r>
    </w:p>
    <w:p w14:paraId="612A59C8" w14:textId="77777777" w:rsidR="0090527B" w:rsidRDefault="00000000">
      <w:pPr>
        <w:spacing w:after="130" w:line="276" w:lineRule="auto"/>
      </w:pPr>
      <w:r>
        <w:rPr>
          <w:sz w:val="22"/>
          <w:szCs w:val="22"/>
        </w:rPr>
        <w:t xml:space="preserve">The two axes are not equally potent for the agent. Shortening the attack gap raises damage taken by 43.5 on average; shortening the telegraph duration raises it by </w:t>
      </w:r>
      <w:proofErr w:type="gramStart"/>
      <w:r>
        <w:rPr>
          <w:sz w:val="22"/>
          <w:szCs w:val="22"/>
        </w:rPr>
        <w:t>17.3, and</w:t>
      </w:r>
      <w:proofErr w:type="gramEnd"/>
      <w:r>
        <w:rPr>
          <w:sz w:val="22"/>
          <w:szCs w:val="22"/>
        </w:rPr>
        <w:t xml:space="preserve"> has no measurable effect at the sparsest gap level, where four of five telegraph levels produce identical results. The probable cause is that the 200 </w:t>
      </w:r>
      <w:proofErr w:type="spellStart"/>
      <w:r>
        <w:rPr>
          <w:sz w:val="22"/>
          <w:szCs w:val="22"/>
        </w:rPr>
        <w:t>ms</w:t>
      </w:r>
      <w:proofErr w:type="spellEnd"/>
      <w:r>
        <w:rPr>
          <w:sz w:val="22"/>
          <w:szCs w:val="22"/>
        </w:rPr>
        <w:t xml:space="preserve"> observation delay swamps the difference between a 0.70 s and a 0.24 s wind-up for a purely reactive policy.</w:t>
      </w:r>
    </w:p>
    <w:p w14:paraId="30C32DA4" w14:textId="77777777" w:rsidR="0090527B" w:rsidRDefault="00000000">
      <w:pPr>
        <w:spacing w:after="130" w:line="276" w:lineRule="auto"/>
      </w:pPr>
      <w:r>
        <w:rPr>
          <w:sz w:val="22"/>
          <w:szCs w:val="22"/>
        </w:rPr>
        <w:t>This is recorded rather than tuned away because it is directly relevant to the reverse-ordered condition: telegraph duration is a perception and reaction-speed axis, precisely the category Moravec’s paradox predicts will diverge between human and machine. Rebalancing options are listed in the repository specification and must be settled before the human session is designed. A scripted policy is not a substitute for Gate 1.</w:t>
      </w:r>
    </w:p>
    <w:p w14:paraId="4ABABA34" w14:textId="77777777" w:rsidR="0090527B" w:rsidRDefault="00000000">
      <w:pPr>
        <w:pStyle w:val="Heading1"/>
        <w:spacing w:before="330" w:after="140"/>
      </w:pPr>
      <w:r>
        <w:rPr>
          <w:b/>
          <w:bCs/>
          <w:color w:val="1F3864"/>
          <w:sz w:val="28"/>
          <w:szCs w:val="28"/>
        </w:rPr>
        <w:t>A2. Standardizing Difficulty Across Three Measurement Systems</w:t>
      </w:r>
    </w:p>
    <w:p w14:paraId="78863D9F" w14:textId="77777777" w:rsidR="0090527B" w:rsidRDefault="00000000">
      <w:pPr>
        <w:spacing w:after="130" w:line="276" w:lineRule="auto"/>
      </w:pPr>
      <w:r>
        <w:rPr>
          <w:sz w:val="22"/>
          <w:szCs w:val="22"/>
        </w:rPr>
        <w:t>Three gates measure difficulty in three incompatible units: agent success rate, human success rate and reaction time, and an EEG spectral index in arbitrary units. They are made comparable by reduction to rank.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4300"/>
      </w:tblGrid>
      <w:tr w:rsidR="0090527B" w14:paraId="01267419" w14:textId="77777777">
        <w:tblPrEx>
          <w:tblCellMar>
            <w:top w:w="0" w:type="dxa"/>
            <w:bottom w:w="0" w:type="dxa"/>
          </w:tblCellMar>
        </w:tblPrEx>
        <w:trPr>
          <w:tblHeader/>
        </w:trPr>
        <w:tc>
          <w:tcPr>
            <w:tcW w:w="2200" w:type="dxa"/>
            <w:shd w:val="clear" w:color="auto" w:fill="D9E2F3"/>
            <w:tcMar>
              <w:top w:w="80" w:type="dxa"/>
              <w:left w:w="110" w:type="dxa"/>
              <w:bottom w:w="80" w:type="dxa"/>
              <w:right w:w="110" w:type="dxa"/>
            </w:tcMar>
          </w:tcPr>
          <w:p w14:paraId="50F6E9B5" w14:textId="77777777" w:rsidR="0090527B" w:rsidRDefault="00000000">
            <w:pPr>
              <w:spacing w:line="250" w:lineRule="auto"/>
            </w:pPr>
            <w:r>
              <w:rPr>
                <w:b/>
                <w:bCs/>
              </w:rPr>
              <w:t>Gate</w:t>
            </w:r>
          </w:p>
        </w:tc>
        <w:tc>
          <w:tcPr>
            <w:tcW w:w="3500" w:type="dxa"/>
            <w:shd w:val="clear" w:color="auto" w:fill="D9E2F3"/>
            <w:tcMar>
              <w:top w:w="80" w:type="dxa"/>
              <w:left w:w="110" w:type="dxa"/>
              <w:bottom w:w="80" w:type="dxa"/>
              <w:right w:w="110" w:type="dxa"/>
            </w:tcMar>
          </w:tcPr>
          <w:p w14:paraId="2B70A2CA" w14:textId="77777777" w:rsidR="0090527B" w:rsidRDefault="00000000">
            <w:pPr>
              <w:spacing w:line="250" w:lineRule="auto"/>
            </w:pPr>
            <w:r>
              <w:rPr>
                <w:b/>
                <w:bCs/>
              </w:rPr>
              <w:t>Quantity measured</w:t>
            </w:r>
          </w:p>
        </w:tc>
        <w:tc>
          <w:tcPr>
            <w:tcW w:w="4300" w:type="dxa"/>
            <w:shd w:val="clear" w:color="auto" w:fill="D9E2F3"/>
            <w:tcMar>
              <w:top w:w="80" w:type="dxa"/>
              <w:left w:w="110" w:type="dxa"/>
              <w:bottom w:w="80" w:type="dxa"/>
              <w:right w:w="110" w:type="dxa"/>
            </w:tcMar>
          </w:tcPr>
          <w:p w14:paraId="1B21F7A7" w14:textId="77777777" w:rsidR="0090527B" w:rsidRDefault="00000000">
            <w:pPr>
              <w:spacing w:line="250" w:lineRule="auto"/>
            </w:pPr>
            <w:r>
              <w:rPr>
                <w:b/>
                <w:bCs/>
              </w:rPr>
              <w:t>Reduction</w:t>
            </w:r>
          </w:p>
        </w:tc>
      </w:tr>
      <w:tr w:rsidR="0090527B" w14:paraId="5DE7D9F3" w14:textId="77777777">
        <w:tblPrEx>
          <w:tblCellMar>
            <w:top w:w="0" w:type="dxa"/>
            <w:bottom w:w="0" w:type="dxa"/>
          </w:tblCellMar>
        </w:tblPrEx>
        <w:tc>
          <w:tcPr>
            <w:tcW w:w="2200" w:type="dxa"/>
            <w:tcMar>
              <w:top w:w="80" w:type="dxa"/>
              <w:left w:w="110" w:type="dxa"/>
              <w:bottom w:w="80" w:type="dxa"/>
              <w:right w:w="110" w:type="dxa"/>
            </w:tcMar>
          </w:tcPr>
          <w:p w14:paraId="3B409FED" w14:textId="77777777" w:rsidR="0090527B" w:rsidRDefault="00000000">
            <w:pPr>
              <w:spacing w:line="250" w:lineRule="auto"/>
            </w:pPr>
            <w:r>
              <w:t>Gate 1 (agent)</w:t>
            </w:r>
          </w:p>
        </w:tc>
        <w:tc>
          <w:tcPr>
            <w:tcW w:w="3500" w:type="dxa"/>
            <w:tcMar>
              <w:top w:w="80" w:type="dxa"/>
              <w:left w:w="110" w:type="dxa"/>
              <w:bottom w:w="80" w:type="dxa"/>
              <w:right w:w="110" w:type="dxa"/>
            </w:tcMar>
          </w:tcPr>
          <w:p w14:paraId="39440D75" w14:textId="77777777" w:rsidR="0090527B" w:rsidRDefault="00000000">
            <w:pPr>
              <w:spacing w:line="250" w:lineRule="auto"/>
            </w:pPr>
            <w:r>
              <w:t>Success rate per configuration for a trained baseline agent</w:t>
            </w:r>
          </w:p>
        </w:tc>
        <w:tc>
          <w:tcPr>
            <w:tcW w:w="4300" w:type="dxa"/>
            <w:tcMar>
              <w:top w:w="80" w:type="dxa"/>
              <w:left w:w="110" w:type="dxa"/>
              <w:bottom w:w="80" w:type="dxa"/>
              <w:right w:w="110" w:type="dxa"/>
            </w:tcMar>
          </w:tcPr>
          <w:p w14:paraId="02C515F4" w14:textId="77777777" w:rsidR="0090527B" w:rsidRDefault="00000000">
            <w:pPr>
              <w:spacing w:line="250" w:lineRule="auto"/>
            </w:pPr>
            <w:r>
              <w:t>Rank over the 25 configurations</w:t>
            </w:r>
          </w:p>
        </w:tc>
      </w:tr>
      <w:tr w:rsidR="0090527B" w14:paraId="7D6910A4" w14:textId="77777777">
        <w:tblPrEx>
          <w:tblCellMar>
            <w:top w:w="0" w:type="dxa"/>
            <w:bottom w:w="0" w:type="dxa"/>
          </w:tblCellMar>
        </w:tblPrEx>
        <w:tc>
          <w:tcPr>
            <w:tcW w:w="2200" w:type="dxa"/>
            <w:tcMar>
              <w:top w:w="80" w:type="dxa"/>
              <w:left w:w="110" w:type="dxa"/>
              <w:bottom w:w="80" w:type="dxa"/>
              <w:right w:w="110" w:type="dxa"/>
            </w:tcMar>
          </w:tcPr>
          <w:p w14:paraId="22A134D8" w14:textId="77777777" w:rsidR="0090527B" w:rsidRDefault="00000000">
            <w:pPr>
              <w:spacing w:line="250" w:lineRule="auto"/>
            </w:pPr>
            <w:r>
              <w:t>Gate 2 (human)</w:t>
            </w:r>
          </w:p>
        </w:tc>
        <w:tc>
          <w:tcPr>
            <w:tcW w:w="3500" w:type="dxa"/>
            <w:tcMar>
              <w:top w:w="80" w:type="dxa"/>
              <w:left w:w="110" w:type="dxa"/>
              <w:bottom w:w="80" w:type="dxa"/>
              <w:right w:w="110" w:type="dxa"/>
            </w:tcMar>
          </w:tcPr>
          <w:p w14:paraId="1D750CBA" w14:textId="77777777" w:rsidR="0090527B" w:rsidRDefault="00000000">
            <w:pPr>
              <w:spacing w:line="250" w:lineRule="auto"/>
            </w:pPr>
            <w:r>
              <w:t>Success rate and median reaction time per configuration</w:t>
            </w:r>
          </w:p>
        </w:tc>
        <w:tc>
          <w:tcPr>
            <w:tcW w:w="4300" w:type="dxa"/>
            <w:tcMar>
              <w:top w:w="80" w:type="dxa"/>
              <w:left w:w="110" w:type="dxa"/>
              <w:bottom w:w="80" w:type="dxa"/>
              <w:right w:w="110" w:type="dxa"/>
            </w:tcMar>
          </w:tcPr>
          <w:p w14:paraId="2E75EF46" w14:textId="77777777" w:rsidR="0090527B" w:rsidRDefault="00000000">
            <w:pPr>
              <w:spacing w:line="250" w:lineRule="auto"/>
            </w:pPr>
            <w:r>
              <w:t>Rank over the same 25 configurations</w:t>
            </w:r>
          </w:p>
        </w:tc>
      </w:tr>
      <w:tr w:rsidR="0090527B" w14:paraId="5B71DBD6" w14:textId="77777777">
        <w:tblPrEx>
          <w:tblCellMar>
            <w:top w:w="0" w:type="dxa"/>
            <w:bottom w:w="0" w:type="dxa"/>
          </w:tblCellMar>
        </w:tblPrEx>
        <w:tc>
          <w:tcPr>
            <w:tcW w:w="2200" w:type="dxa"/>
            <w:tcMar>
              <w:top w:w="80" w:type="dxa"/>
              <w:left w:w="110" w:type="dxa"/>
              <w:bottom w:w="80" w:type="dxa"/>
              <w:right w:w="110" w:type="dxa"/>
            </w:tcMar>
          </w:tcPr>
          <w:p w14:paraId="42B056F8" w14:textId="77777777" w:rsidR="0090527B" w:rsidRDefault="00000000">
            <w:pPr>
              <w:spacing w:line="250" w:lineRule="auto"/>
            </w:pPr>
            <w:r>
              <w:t>Gate 3 (EEG)</w:t>
            </w:r>
          </w:p>
        </w:tc>
        <w:tc>
          <w:tcPr>
            <w:tcW w:w="3500" w:type="dxa"/>
            <w:tcMar>
              <w:top w:w="80" w:type="dxa"/>
              <w:left w:w="110" w:type="dxa"/>
              <w:bottom w:w="80" w:type="dxa"/>
              <w:right w:w="110" w:type="dxa"/>
            </w:tcMar>
          </w:tcPr>
          <w:p w14:paraId="02053772" w14:textId="77777777" w:rsidR="0090527B" w:rsidRDefault="00000000">
            <w:pPr>
              <w:spacing w:line="250" w:lineRule="auto"/>
            </w:pPr>
            <w:r>
              <w:t>Median workload index over clean windows per configuration</w:t>
            </w:r>
          </w:p>
        </w:tc>
        <w:tc>
          <w:tcPr>
            <w:tcW w:w="4300" w:type="dxa"/>
            <w:tcMar>
              <w:top w:w="80" w:type="dxa"/>
              <w:left w:w="110" w:type="dxa"/>
              <w:bottom w:w="80" w:type="dxa"/>
              <w:right w:w="110" w:type="dxa"/>
            </w:tcMar>
          </w:tcPr>
          <w:p w14:paraId="1D2CD19B" w14:textId="77777777" w:rsidR="0090527B" w:rsidRDefault="00000000">
            <w:pPr>
              <w:spacing w:line="250" w:lineRule="auto"/>
            </w:pPr>
            <w:r>
              <w:t>Rank over the same 25 configurations</w:t>
            </w:r>
          </w:p>
        </w:tc>
      </w:tr>
    </w:tbl>
    <w:p w14:paraId="3A0B77E2" w14:textId="77777777" w:rsidR="0090527B" w:rsidRDefault="0090527B">
      <w:pPr>
        <w:spacing w:after="90" w:line="276" w:lineRule="auto"/>
      </w:pPr>
    </w:p>
    <w:p w14:paraId="6502FC74" w14:textId="77777777" w:rsidR="0090527B" w:rsidRDefault="00000000">
      <w:pPr>
        <w:spacing w:after="130" w:line="276" w:lineRule="auto"/>
      </w:pPr>
      <w:r>
        <w:rPr>
          <w:sz w:val="22"/>
          <w:szCs w:val="22"/>
        </w:rPr>
        <w:lastRenderedPageBreak/>
        <w:t>Because every quantity becomes an ordering over one fixed set, no calibration between scales is required. Agreement between systems is measured by Spearman rank correlation. The curriculum sampler consumes an ordering only, never absolute magnitudes, so this reduction loses nothing the experiment needs.</w:t>
      </w:r>
    </w:p>
    <w:p w14:paraId="3E9BE8CC" w14:textId="77777777" w:rsidR="0090527B" w:rsidRDefault="00000000">
      <w:pPr>
        <w:spacing w:after="130" w:line="276" w:lineRule="auto"/>
      </w:pPr>
      <w:r>
        <w:rPr>
          <w:sz w:val="22"/>
          <w:szCs w:val="22"/>
        </w:rPr>
        <w:t xml:space="preserve">This resolves what the review correctly identified as </w:t>
      </w:r>
      <w:proofErr w:type="gramStart"/>
      <w:r>
        <w:rPr>
          <w:sz w:val="22"/>
          <w:szCs w:val="22"/>
        </w:rPr>
        <w:t>an unstated</w:t>
      </w:r>
      <w:proofErr w:type="gramEnd"/>
      <w:r>
        <w:rPr>
          <w:sz w:val="22"/>
          <w:szCs w:val="22"/>
        </w:rPr>
        <w:t xml:space="preserve"> mapping. The EEG index is never converted into a </w:t>
      </w:r>
      <w:proofErr w:type="gramStart"/>
      <w:r>
        <w:rPr>
          <w:sz w:val="22"/>
          <w:szCs w:val="22"/>
        </w:rPr>
        <w:t>success-rate</w:t>
      </w:r>
      <w:proofErr w:type="gramEnd"/>
      <w:r>
        <w:rPr>
          <w:sz w:val="22"/>
          <w:szCs w:val="22"/>
        </w:rPr>
        <w:t>-equivalent or a difficulty percentage. It is used solely to sort 25 configurations, and the experiment asks whether that sort order trains a better agent than the alternative sort orders.</w:t>
      </w:r>
    </w:p>
    <w:p w14:paraId="7E3EC135" w14:textId="77777777" w:rsidR="0090527B" w:rsidRDefault="00000000">
      <w:pPr>
        <w:pStyle w:val="Heading2"/>
        <w:spacing w:before="230" w:after="100"/>
      </w:pPr>
      <w:r>
        <w:rPr>
          <w:b/>
          <w:bCs/>
          <w:color w:val="1F3864"/>
          <w:sz w:val="24"/>
          <w:szCs w:val="24"/>
        </w:rPr>
        <w:t>Gate criteria</w:t>
      </w:r>
    </w:p>
    <w:p w14:paraId="48870C0F" w14:textId="77777777" w:rsidR="0090527B" w:rsidRDefault="00000000">
      <w:pPr>
        <w:pStyle w:val="ListParagraph"/>
        <w:numPr>
          <w:ilvl w:val="0"/>
          <w:numId w:val="2"/>
        </w:numPr>
        <w:spacing w:after="80" w:line="276" w:lineRule="auto"/>
      </w:pPr>
      <w:r>
        <w:rPr>
          <w:sz w:val="22"/>
          <w:szCs w:val="22"/>
        </w:rPr>
        <w:t xml:space="preserve">Gate 1: the baseline agent learns the task, and its per-configuration success rates are ordered rather than uniform, confirming the axes </w:t>
      </w:r>
      <w:proofErr w:type="gramStart"/>
      <w:r>
        <w:rPr>
          <w:sz w:val="22"/>
          <w:szCs w:val="22"/>
        </w:rPr>
        <w:t>actually vary</w:t>
      </w:r>
      <w:proofErr w:type="gramEnd"/>
      <w:r>
        <w:rPr>
          <w:sz w:val="22"/>
          <w:szCs w:val="22"/>
        </w:rPr>
        <w:t xml:space="preserve"> </w:t>
      </w:r>
      <w:proofErr w:type="gramStart"/>
      <w:r>
        <w:rPr>
          <w:sz w:val="22"/>
          <w:szCs w:val="22"/>
        </w:rPr>
        <w:t>difficulty</w:t>
      </w:r>
      <w:proofErr w:type="gramEnd"/>
      <w:r>
        <w:rPr>
          <w:sz w:val="22"/>
          <w:szCs w:val="22"/>
        </w:rPr>
        <w:t xml:space="preserve"> for the agent.</w:t>
      </w:r>
    </w:p>
    <w:p w14:paraId="7FE67463" w14:textId="77777777" w:rsidR="0090527B" w:rsidRDefault="00000000">
      <w:pPr>
        <w:pStyle w:val="ListParagraph"/>
        <w:numPr>
          <w:ilvl w:val="0"/>
          <w:numId w:val="2"/>
        </w:numPr>
        <w:spacing w:after="80" w:line="276" w:lineRule="auto"/>
      </w:pPr>
      <w:r>
        <w:rPr>
          <w:sz w:val="22"/>
          <w:szCs w:val="22"/>
        </w:rPr>
        <w:t>Gate 2: Spearman correlation between human and agent rankings is positive and non-trivial. If it is near zero, the axes are adjusted and the gate is re-run before any EEG work proceeds.</w:t>
      </w:r>
    </w:p>
    <w:p w14:paraId="470BEB1B" w14:textId="77777777" w:rsidR="0090527B" w:rsidRDefault="00000000">
      <w:pPr>
        <w:pStyle w:val="ListParagraph"/>
        <w:numPr>
          <w:ilvl w:val="0"/>
          <w:numId w:val="2"/>
        </w:numPr>
        <w:spacing w:after="80" w:line="276" w:lineRule="auto"/>
      </w:pPr>
      <w:r>
        <w:rPr>
          <w:sz w:val="22"/>
          <w:szCs w:val="22"/>
        </w:rPr>
        <w:t xml:space="preserve">Gate 3: the EEG ranking correlates with the </w:t>
      </w:r>
      <w:proofErr w:type="spellStart"/>
      <w:r>
        <w:rPr>
          <w:sz w:val="22"/>
          <w:szCs w:val="22"/>
        </w:rPr>
        <w:t>behavioural</w:t>
      </w:r>
      <w:proofErr w:type="spellEnd"/>
      <w:r>
        <w:rPr>
          <w:sz w:val="22"/>
          <w:szCs w:val="22"/>
        </w:rPr>
        <w:t xml:space="preserve"> and subjective </w:t>
      </w:r>
      <w:proofErr w:type="gramStart"/>
      <w:r>
        <w:rPr>
          <w:sz w:val="22"/>
          <w:szCs w:val="22"/>
        </w:rPr>
        <w:t>rankings, and</w:t>
      </w:r>
      <w:proofErr w:type="gramEnd"/>
      <w:r>
        <w:rPr>
          <w:sz w:val="22"/>
          <w:szCs w:val="22"/>
        </w:rPr>
        <w:t xml:space="preserve"> does not correlate with the artifact-control contrast described in A6.2.</w:t>
      </w:r>
    </w:p>
    <w:p w14:paraId="2F474F70" w14:textId="77777777" w:rsidR="0090527B" w:rsidRDefault="00000000">
      <w:pPr>
        <w:pStyle w:val="Heading2"/>
        <w:spacing w:before="230" w:after="100"/>
      </w:pPr>
      <w:r>
        <w:rPr>
          <w:b/>
          <w:bCs/>
          <w:color w:val="1F3864"/>
          <w:sz w:val="24"/>
          <w:szCs w:val="24"/>
        </w:rPr>
        <w:t>Subjective difficulty instrument</w:t>
      </w:r>
    </w:p>
    <w:p w14:paraId="5DBF535A" w14:textId="77777777" w:rsidR="0090527B" w:rsidRDefault="00000000">
      <w:pPr>
        <w:spacing w:after="130" w:line="276" w:lineRule="auto"/>
      </w:pPr>
      <w:r>
        <w:rPr>
          <w:sz w:val="22"/>
          <w:szCs w:val="22"/>
        </w:rPr>
        <w:t>After each configuration block the participant gives a 1–9 workload rating. The nine-point scale is chosen for consistency with the STEW dataset described in A5.1, so the validation data and the secondary public dataset are expressed on the same scale.</w:t>
      </w:r>
    </w:p>
    <w:p w14:paraId="0FED9178" w14:textId="77777777" w:rsidR="0090527B" w:rsidRDefault="00000000">
      <w:pPr>
        <w:pStyle w:val="Heading2"/>
        <w:spacing w:before="230" w:after="100"/>
      </w:pPr>
      <w:r>
        <w:rPr>
          <w:b/>
          <w:bCs/>
          <w:color w:val="1F3864"/>
          <w:sz w:val="24"/>
          <w:szCs w:val="24"/>
        </w:rPr>
        <w:t>Interpreting the validation correlation</w:t>
      </w:r>
    </w:p>
    <w:p w14:paraId="27F2600B" w14:textId="77777777" w:rsidR="0090527B" w:rsidRDefault="00000000">
      <w:pPr>
        <w:spacing w:after="130" w:line="276" w:lineRule="auto"/>
      </w:pPr>
      <w:r>
        <w:rPr>
          <w:sz w:val="22"/>
          <w:szCs w:val="22"/>
        </w:rPr>
        <w:t xml:space="preserve">Gate 3 and hypothesis H2 pull in opposite directions, and the threshold must be fixed in advance to avoid reading the result twice. Gate 3 wants the EEG ranking to agree with </w:t>
      </w:r>
      <w:proofErr w:type="spellStart"/>
      <w:r>
        <w:rPr>
          <w:sz w:val="22"/>
          <w:szCs w:val="22"/>
        </w:rPr>
        <w:t>behaviour</w:t>
      </w:r>
      <w:proofErr w:type="spellEnd"/>
      <w:r>
        <w:rPr>
          <w:sz w:val="22"/>
          <w:szCs w:val="22"/>
        </w:rPr>
        <w:t xml:space="preserve">, because agreement is </w:t>
      </w:r>
      <w:proofErr w:type="gramStart"/>
      <w:r>
        <w:rPr>
          <w:sz w:val="22"/>
          <w:szCs w:val="22"/>
        </w:rPr>
        <w:t>evidence</w:t>
      </w:r>
      <w:proofErr w:type="gramEnd"/>
      <w:r>
        <w:rPr>
          <w:sz w:val="22"/>
          <w:szCs w:val="22"/>
        </w:rPr>
        <w:t xml:space="preserve"> the index measures something real. H2 requires the two to differ, because the human-</w:t>
      </w:r>
      <w:proofErr w:type="spellStart"/>
      <w:r>
        <w:rPr>
          <w:sz w:val="22"/>
          <w:szCs w:val="22"/>
        </w:rPr>
        <w:t>behavioural</w:t>
      </w:r>
      <w:proofErr w:type="spellEnd"/>
      <w:r>
        <w:rPr>
          <w:sz w:val="22"/>
          <w:szCs w:val="22"/>
        </w:rPr>
        <w:t xml:space="preserve"> ordering is itself a condition, and if the rankings are identical the EEG contributes nothing the success rate did not already supply.</w:t>
      </w:r>
    </w:p>
    <w:p w14:paraId="185B495C" w14:textId="77777777" w:rsidR="0090527B" w:rsidRDefault="00000000">
      <w:pPr>
        <w:spacing w:after="130" w:line="276" w:lineRule="auto"/>
      </w:pPr>
      <w:r>
        <w:rPr>
          <w:sz w:val="22"/>
          <w:szCs w:val="22"/>
        </w:rPr>
        <w:t xml:space="preserve">The informative outcome is therefore partial agreement: strong enough to establish validity, weak enough to carry information success rate does not. A rank correlation near unity is pre-registered as evidence of redundancy rather than </w:t>
      </w:r>
      <w:proofErr w:type="gramStart"/>
      <w:r>
        <w:rPr>
          <w:sz w:val="22"/>
          <w:szCs w:val="22"/>
        </w:rPr>
        <w:t>success, and</w:t>
      </w:r>
      <w:proofErr w:type="gramEnd"/>
      <w:r>
        <w:rPr>
          <w:sz w:val="22"/>
          <w:szCs w:val="22"/>
        </w:rPr>
        <w:t xml:space="preserve"> would be reported as such.</w:t>
      </w:r>
    </w:p>
    <w:p w14:paraId="011A0D37" w14:textId="77777777" w:rsidR="0090527B" w:rsidRDefault="00000000">
      <w:pPr>
        <w:pStyle w:val="Heading1"/>
        <w:spacing w:before="330" w:after="140"/>
      </w:pPr>
      <w:r>
        <w:rPr>
          <w:b/>
          <w:bCs/>
          <w:color w:val="1F3864"/>
          <w:sz w:val="28"/>
          <w:szCs w:val="28"/>
        </w:rPr>
        <w:t>A3. EEG Features and Their Relationship to Difficulty</w:t>
      </w:r>
    </w:p>
    <w:p w14:paraId="5F79B2B2" w14:textId="77777777" w:rsidR="0090527B" w:rsidRDefault="00000000">
      <w:pPr>
        <w:pStyle w:val="Heading2"/>
        <w:spacing w:before="230" w:after="100"/>
      </w:pPr>
      <w:r>
        <w:rPr>
          <w:b/>
          <w:bCs/>
          <w:color w:val="1F3864"/>
          <w:sz w:val="24"/>
          <w:szCs w:val="24"/>
        </w:rPr>
        <w:t>A3.1 Features extracted</w:t>
      </w:r>
    </w:p>
    <w:p w14:paraId="5AC94DF3" w14:textId="77777777" w:rsidR="0090527B" w:rsidRDefault="00000000">
      <w:pPr>
        <w:spacing w:after="130" w:line="276" w:lineRule="auto"/>
      </w:pPr>
      <w:r>
        <w:rPr>
          <w:sz w:val="22"/>
          <w:szCs w:val="22"/>
        </w:rPr>
        <w:t>Raw EEG is high-dimensional, so the pipeline reduces it to a small number of spectral quantities with documented workload sensitivity rather than learning a representation.</w:t>
      </w:r>
    </w:p>
    <w:p w14:paraId="77C04F2C" w14:textId="77777777" w:rsidR="0090527B" w:rsidRDefault="00000000">
      <w:pPr>
        <w:pStyle w:val="ListParagraph"/>
        <w:numPr>
          <w:ilvl w:val="0"/>
          <w:numId w:val="2"/>
        </w:numPr>
        <w:spacing w:after="80" w:line="276" w:lineRule="auto"/>
      </w:pPr>
      <w:r>
        <w:rPr>
          <w:sz w:val="22"/>
          <w:szCs w:val="22"/>
        </w:rPr>
        <w:t>Frontal midline theta power, 4–8 Hz, at Fz with F3 and F4 as supporting channels.</w:t>
      </w:r>
    </w:p>
    <w:p w14:paraId="27AA3A68" w14:textId="77777777" w:rsidR="0090527B" w:rsidRDefault="00000000">
      <w:pPr>
        <w:pStyle w:val="ListParagraph"/>
        <w:numPr>
          <w:ilvl w:val="0"/>
          <w:numId w:val="2"/>
        </w:numPr>
        <w:spacing w:after="80" w:line="276" w:lineRule="auto"/>
      </w:pPr>
      <w:r>
        <w:rPr>
          <w:sz w:val="22"/>
          <w:szCs w:val="22"/>
        </w:rPr>
        <w:t xml:space="preserve">Parietal alpha power, 8–13 Hz, at </w:t>
      </w:r>
      <w:proofErr w:type="spellStart"/>
      <w:r>
        <w:rPr>
          <w:sz w:val="22"/>
          <w:szCs w:val="22"/>
        </w:rPr>
        <w:t>Pz</w:t>
      </w:r>
      <w:proofErr w:type="spellEnd"/>
      <w:r>
        <w:rPr>
          <w:sz w:val="22"/>
          <w:szCs w:val="22"/>
        </w:rPr>
        <w:t xml:space="preserve"> with P3 and P4 as supporting channels.</w:t>
      </w:r>
    </w:p>
    <w:p w14:paraId="488F5F27" w14:textId="77777777" w:rsidR="0090527B" w:rsidRDefault="00000000">
      <w:pPr>
        <w:pStyle w:val="ListParagraph"/>
        <w:numPr>
          <w:ilvl w:val="0"/>
          <w:numId w:val="2"/>
        </w:numPr>
        <w:spacing w:after="80" w:line="276" w:lineRule="auto"/>
      </w:pPr>
      <w:r>
        <w:rPr>
          <w:sz w:val="22"/>
          <w:szCs w:val="22"/>
        </w:rPr>
        <w:t>Theta-to-alpha ratio, reported as a secondary index.</w:t>
      </w:r>
    </w:p>
    <w:p w14:paraId="3F423DEC" w14:textId="77777777" w:rsidR="0090527B" w:rsidRDefault="00000000">
      <w:pPr>
        <w:pStyle w:val="ListParagraph"/>
        <w:numPr>
          <w:ilvl w:val="0"/>
          <w:numId w:val="2"/>
        </w:numPr>
        <w:spacing w:after="80" w:line="276" w:lineRule="auto"/>
      </w:pPr>
      <w:r>
        <w:rPr>
          <w:sz w:val="22"/>
          <w:szCs w:val="22"/>
        </w:rPr>
        <w:t>Broadband high-frequency power above 30 Hz, used not as a workload feature but as an EMG contamination detector for window rejection.</w:t>
      </w:r>
    </w:p>
    <w:p w14:paraId="6B4E7002" w14:textId="77777777" w:rsidR="0090527B" w:rsidRDefault="00000000">
      <w:pPr>
        <w:pStyle w:val="Heading2"/>
        <w:spacing w:before="230" w:after="100"/>
      </w:pPr>
      <w:r>
        <w:rPr>
          <w:b/>
          <w:bCs/>
          <w:color w:val="1F3864"/>
          <w:sz w:val="24"/>
          <w:szCs w:val="24"/>
        </w:rPr>
        <w:t xml:space="preserve">A3.2 Why </w:t>
      </w:r>
      <w:proofErr w:type="gramStart"/>
      <w:r>
        <w:rPr>
          <w:b/>
          <w:bCs/>
          <w:color w:val="1F3864"/>
          <w:sz w:val="24"/>
          <w:szCs w:val="24"/>
        </w:rPr>
        <w:t>these</w:t>
      </w:r>
      <w:proofErr w:type="gramEnd"/>
      <w:r>
        <w:rPr>
          <w:b/>
          <w:bCs/>
          <w:color w:val="1F3864"/>
          <w:sz w:val="24"/>
          <w:szCs w:val="24"/>
        </w:rPr>
        <w:t xml:space="preserve"> indicate difficulty</w:t>
      </w:r>
    </w:p>
    <w:p w14:paraId="3B2BDE6F" w14:textId="77777777" w:rsidR="0090527B" w:rsidRDefault="00000000">
      <w:pPr>
        <w:spacing w:after="130" w:line="276" w:lineRule="auto"/>
      </w:pPr>
      <w:r>
        <w:rPr>
          <w:sz w:val="22"/>
          <w:szCs w:val="22"/>
        </w:rPr>
        <w:lastRenderedPageBreak/>
        <w:t>Frontal midline theta power increases with working-memory load and task demand, and the effect is most pronounced over frontal sites (</w:t>
      </w:r>
      <w:proofErr w:type="spellStart"/>
      <w:r>
        <w:rPr>
          <w:sz w:val="22"/>
          <w:szCs w:val="22"/>
        </w:rPr>
        <w:t>Gevins</w:t>
      </w:r>
      <w:proofErr w:type="spellEnd"/>
      <w:r>
        <w:rPr>
          <w:sz w:val="22"/>
          <w:szCs w:val="22"/>
        </w:rPr>
        <w:t xml:space="preserve"> et al., 1997; Klimesch, 1999). Parietal alpha power tends to decrease as demand rises, though this relationship is substantially less reliable than the theta effect.</w:t>
      </w:r>
    </w:p>
    <w:p w14:paraId="1D011CC5" w14:textId="77777777" w:rsidR="0090527B" w:rsidRDefault="00000000">
      <w:pPr>
        <w:spacing w:after="130" w:line="276" w:lineRule="auto"/>
      </w:pPr>
      <w:r>
        <w:rPr>
          <w:sz w:val="22"/>
          <w:szCs w:val="22"/>
        </w:rPr>
        <w:t xml:space="preserve">A meta-analysis of EEG power spectral measures of cognitive workload reports a pooled effect of g = 0.68 for theta and only g = −0.25 for </w:t>
      </w:r>
      <w:proofErr w:type="gramStart"/>
      <w:r>
        <w:rPr>
          <w:sz w:val="22"/>
          <w:szCs w:val="22"/>
        </w:rPr>
        <w:t>alpha, and</w:t>
      </w:r>
      <w:proofErr w:type="gramEnd"/>
      <w:r>
        <w:rPr>
          <w:sz w:val="22"/>
          <w:szCs w:val="22"/>
        </w:rPr>
        <w:t xml:space="preserve"> concludes that frontal theta is the best single index of cognitive workload (Chikhi et al., 2022). The index used here is weighted accordingly: theta is the primary term and alpha is secondary. Treating them as equally reliable would misrepresent the literature.</w:t>
      </w:r>
    </w:p>
    <w:p w14:paraId="4EB9803E" w14:textId="77777777" w:rsidR="0090527B" w:rsidRDefault="00000000">
      <w:pPr>
        <w:pStyle w:val="Heading2"/>
        <w:spacing w:before="230" w:after="100"/>
      </w:pPr>
      <w:r>
        <w:rPr>
          <w:b/>
          <w:bCs/>
          <w:color w:val="1F3864"/>
          <w:sz w:val="24"/>
          <w:szCs w:val="24"/>
        </w:rPr>
        <w:t>A3.3 Index definition</w:t>
      </w:r>
    </w:p>
    <w:p w14:paraId="3D7999B9" w14:textId="77777777" w:rsidR="0090527B" w:rsidRDefault="00000000">
      <w:pPr>
        <w:spacing w:after="130" w:line="276" w:lineRule="auto"/>
      </w:pPr>
      <w:r>
        <w:rPr>
          <w:sz w:val="22"/>
          <w:szCs w:val="22"/>
        </w:rPr>
        <w:t>For each analysis window, band powers are computed by Welch's method on artifact-clean data, log-transformed, and standardized against that session's own distribution. The workload index is the standardized frontal theta minus a down-</w:t>
      </w:r>
      <w:proofErr w:type="gramStart"/>
      <w:r>
        <w:rPr>
          <w:sz w:val="22"/>
          <w:szCs w:val="22"/>
        </w:rPr>
        <w:t>weighted</w:t>
      </w:r>
      <w:proofErr w:type="gramEnd"/>
      <w:r>
        <w:rPr>
          <w:sz w:val="22"/>
          <w:szCs w:val="22"/>
        </w:rPr>
        <w:t xml:space="preserve"> standardized parietal alpha term. Each configuration receives the median index value over its clean windows, and those 25 medians are ranked.</w:t>
      </w:r>
    </w:p>
    <w:p w14:paraId="7D0B27D1" w14:textId="77777777" w:rsidR="0090527B" w:rsidRDefault="00000000">
      <w:pPr>
        <w:spacing w:after="130" w:line="276" w:lineRule="auto"/>
      </w:pPr>
      <w:r>
        <w:rPr>
          <w:sz w:val="22"/>
          <w:szCs w:val="22"/>
        </w:rPr>
        <w:t>Within-session standardization is deliberate. It removes the need for cross-session or cross-subject calibration, which is the step that usually breaks in applied EEG work, and it is sufficient because the experiment only requires relative ordering within one session.</w:t>
      </w:r>
    </w:p>
    <w:p w14:paraId="3003866C" w14:textId="77777777" w:rsidR="0090527B" w:rsidRDefault="00000000">
      <w:pPr>
        <w:pStyle w:val="Heading2"/>
        <w:spacing w:before="230" w:after="100"/>
      </w:pPr>
      <w:r>
        <w:rPr>
          <w:b/>
          <w:bCs/>
          <w:color w:val="1F3864"/>
          <w:sz w:val="24"/>
          <w:szCs w:val="24"/>
        </w:rPr>
        <w:t>A3.4 Degraded mode: frontal theta only</w:t>
      </w:r>
    </w:p>
    <w:p w14:paraId="12489CB4" w14:textId="77777777" w:rsidR="0090527B" w:rsidRDefault="00000000">
      <w:pPr>
        <w:spacing w:after="130" w:line="276" w:lineRule="auto"/>
      </w:pPr>
      <w:r>
        <w:rPr>
          <w:sz w:val="22"/>
          <w:szCs w:val="22"/>
        </w:rPr>
        <w:t xml:space="preserve">The alpha term is the weaker half of the index by a wide margin (g = −0.25 against theta’s 0.68) and depends on parietal sites that sit under the heaviest hair coverage, which is the least </w:t>
      </w:r>
      <w:proofErr w:type="spellStart"/>
      <w:r>
        <w:rPr>
          <w:sz w:val="22"/>
          <w:szCs w:val="22"/>
        </w:rPr>
        <w:t>favourable</w:t>
      </w:r>
      <w:proofErr w:type="spellEnd"/>
      <w:r>
        <w:rPr>
          <w:sz w:val="22"/>
          <w:szCs w:val="22"/>
        </w:rPr>
        <w:t xml:space="preserve"> case for dry electrodes. The index is therefore specified so that dropping the alpha term leaves a valid instrument: standardized frontal theta alone.</w:t>
      </w:r>
    </w:p>
    <w:p w14:paraId="06B0531A" w14:textId="77777777" w:rsidR="0090527B" w:rsidRDefault="00000000">
      <w:pPr>
        <w:spacing w:after="130" w:line="276" w:lineRule="auto"/>
      </w:pPr>
      <w:r>
        <w:rPr>
          <w:sz w:val="22"/>
          <w:szCs w:val="22"/>
        </w:rPr>
        <w:t>This is pre-registered as a contingency rather than improvised. If the hardware validation gate in A8.3 fails to demonstrate eyes-closed alpha at parietal sites, the project proceeds on the theta-only index and records the change in the pre-registration deviations log before any experimental data is collected. The literature supports frontal theta as the single best spectral index of workload, so the degraded mode is a reduction in redundancy rather than a loss of the construct.</w:t>
      </w:r>
    </w:p>
    <w:p w14:paraId="3570B848" w14:textId="77777777" w:rsidR="0090527B" w:rsidRDefault="00000000">
      <w:pPr>
        <w:pStyle w:val="Heading1"/>
        <w:spacing w:before="330" w:after="140"/>
      </w:pPr>
      <w:r>
        <w:rPr>
          <w:b/>
          <w:bCs/>
          <w:color w:val="1F3864"/>
          <w:sz w:val="28"/>
          <w:szCs w:val="28"/>
        </w:rPr>
        <w:t>A4. How Estimates Are Produced: No Trained Model</w:t>
      </w:r>
    </w:p>
    <w:p w14:paraId="405A5F99" w14:textId="77777777" w:rsidR="0090527B" w:rsidRDefault="00000000">
      <w:pPr>
        <w:spacing w:after="130" w:line="276" w:lineRule="auto"/>
      </w:pPr>
      <w:r>
        <w:rPr>
          <w:sz w:val="22"/>
          <w:szCs w:val="22"/>
        </w:rPr>
        <w:t>The pipeline applies a fixed, literature-based formula to spectral features. No machine-learning model is trained to predict workload, and no model weights are transferred from any other dataset or task.</w:t>
      </w:r>
    </w:p>
    <w:p w14:paraId="66124852" w14:textId="77777777" w:rsidR="0090527B" w:rsidRDefault="00000000">
      <w:pPr>
        <w:pStyle w:val="Heading2"/>
        <w:spacing w:before="230" w:after="100"/>
      </w:pPr>
      <w:r>
        <w:rPr>
          <w:b/>
          <w:bCs/>
          <w:color w:val="1F3864"/>
          <w:sz w:val="24"/>
          <w:szCs w:val="24"/>
        </w:rPr>
        <w:t>A4.1 Alternatives rejected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700"/>
      </w:tblGrid>
      <w:tr w:rsidR="0090527B" w14:paraId="3B1CF68A" w14:textId="77777777">
        <w:tblPrEx>
          <w:tblCellMar>
            <w:top w:w="0" w:type="dxa"/>
            <w:bottom w:w="0" w:type="dxa"/>
          </w:tblCellMar>
        </w:tblPrEx>
        <w:trPr>
          <w:tblHeader/>
        </w:trPr>
        <w:tc>
          <w:tcPr>
            <w:tcW w:w="2900" w:type="dxa"/>
            <w:shd w:val="clear" w:color="auto" w:fill="D9E2F3"/>
            <w:tcMar>
              <w:top w:w="80" w:type="dxa"/>
              <w:left w:w="110" w:type="dxa"/>
              <w:bottom w:w="80" w:type="dxa"/>
              <w:right w:w="110" w:type="dxa"/>
            </w:tcMar>
          </w:tcPr>
          <w:p w14:paraId="666D6686" w14:textId="77777777" w:rsidR="0090527B" w:rsidRDefault="00000000">
            <w:pPr>
              <w:spacing w:line="250" w:lineRule="auto"/>
            </w:pPr>
            <w:r>
              <w:rPr>
                <w:b/>
                <w:bCs/>
              </w:rPr>
              <w:t>Option</w:t>
            </w:r>
          </w:p>
        </w:tc>
        <w:tc>
          <w:tcPr>
            <w:tcW w:w="3400" w:type="dxa"/>
            <w:shd w:val="clear" w:color="auto" w:fill="D9E2F3"/>
            <w:tcMar>
              <w:top w:w="80" w:type="dxa"/>
              <w:left w:w="110" w:type="dxa"/>
              <w:bottom w:w="80" w:type="dxa"/>
              <w:right w:w="110" w:type="dxa"/>
            </w:tcMar>
          </w:tcPr>
          <w:p w14:paraId="0E0322BC" w14:textId="77777777" w:rsidR="0090527B" w:rsidRDefault="00000000">
            <w:pPr>
              <w:spacing w:line="250" w:lineRule="auto"/>
            </w:pPr>
            <w:r>
              <w:rPr>
                <w:b/>
                <w:bCs/>
              </w:rPr>
              <w:t>Why it was rejected</w:t>
            </w:r>
          </w:p>
        </w:tc>
        <w:tc>
          <w:tcPr>
            <w:tcW w:w="3700" w:type="dxa"/>
            <w:shd w:val="clear" w:color="auto" w:fill="D9E2F3"/>
            <w:tcMar>
              <w:top w:w="80" w:type="dxa"/>
              <w:left w:w="110" w:type="dxa"/>
              <w:bottom w:w="80" w:type="dxa"/>
              <w:right w:w="110" w:type="dxa"/>
            </w:tcMar>
          </w:tcPr>
          <w:p w14:paraId="29584A09" w14:textId="77777777" w:rsidR="0090527B" w:rsidRDefault="00000000">
            <w:pPr>
              <w:spacing w:line="250" w:lineRule="auto"/>
            </w:pPr>
            <w:r>
              <w:rPr>
                <w:b/>
                <w:bCs/>
              </w:rPr>
              <w:t>Cost avoided</w:t>
            </w:r>
          </w:p>
        </w:tc>
      </w:tr>
      <w:tr w:rsidR="0090527B" w14:paraId="57B99001" w14:textId="77777777">
        <w:tblPrEx>
          <w:tblCellMar>
            <w:top w:w="0" w:type="dxa"/>
            <w:bottom w:w="0" w:type="dxa"/>
          </w:tblCellMar>
        </w:tblPrEx>
        <w:tc>
          <w:tcPr>
            <w:tcW w:w="2900" w:type="dxa"/>
            <w:tcMar>
              <w:top w:w="80" w:type="dxa"/>
              <w:left w:w="110" w:type="dxa"/>
              <w:bottom w:w="80" w:type="dxa"/>
              <w:right w:w="110" w:type="dxa"/>
            </w:tcMar>
          </w:tcPr>
          <w:p w14:paraId="612AD99B" w14:textId="77777777" w:rsidR="0090527B" w:rsidRDefault="00000000">
            <w:pPr>
              <w:spacing w:line="250" w:lineRule="auto"/>
            </w:pPr>
            <w:r>
              <w:t>Train a model on public workload data and apply it to the game</w:t>
            </w:r>
          </w:p>
        </w:tc>
        <w:tc>
          <w:tcPr>
            <w:tcW w:w="3400" w:type="dxa"/>
            <w:tcMar>
              <w:top w:w="80" w:type="dxa"/>
              <w:left w:w="110" w:type="dxa"/>
              <w:bottom w:w="80" w:type="dxa"/>
              <w:right w:w="110" w:type="dxa"/>
            </w:tcMar>
          </w:tcPr>
          <w:p w14:paraId="43EB0878" w14:textId="77777777" w:rsidR="0090527B" w:rsidRDefault="00000000">
            <w:pPr>
              <w:spacing w:line="250" w:lineRule="auto"/>
            </w:pPr>
            <w:r>
              <w:t xml:space="preserve">Requires </w:t>
            </w:r>
            <w:proofErr w:type="gramStart"/>
            <w:r>
              <w:t>assuming that</w:t>
            </w:r>
            <w:proofErr w:type="gramEnd"/>
            <w:r>
              <w:t xml:space="preserve"> a model fit to seated, low-movement laboratory tasks transfers to fast-paced combat with a different artifact profile. That assumption would become the project's main defensive burden.</w:t>
            </w:r>
          </w:p>
        </w:tc>
        <w:tc>
          <w:tcPr>
            <w:tcW w:w="3700" w:type="dxa"/>
            <w:tcMar>
              <w:top w:w="80" w:type="dxa"/>
              <w:left w:w="110" w:type="dxa"/>
              <w:bottom w:w="80" w:type="dxa"/>
              <w:right w:w="110" w:type="dxa"/>
            </w:tcMar>
          </w:tcPr>
          <w:p w14:paraId="2AB0B26C" w14:textId="77777777" w:rsidR="0090527B" w:rsidRDefault="00000000">
            <w:pPr>
              <w:spacing w:line="250" w:lineRule="auto"/>
            </w:pPr>
            <w:r>
              <w:t>Several weeks, plus an unfalsifiable confound</w:t>
            </w:r>
          </w:p>
        </w:tc>
      </w:tr>
      <w:tr w:rsidR="0090527B" w14:paraId="0BD26D86" w14:textId="77777777">
        <w:tblPrEx>
          <w:tblCellMar>
            <w:top w:w="0" w:type="dxa"/>
            <w:bottom w:w="0" w:type="dxa"/>
          </w:tblCellMar>
        </w:tblPrEx>
        <w:tc>
          <w:tcPr>
            <w:tcW w:w="2900" w:type="dxa"/>
            <w:tcMar>
              <w:top w:w="80" w:type="dxa"/>
              <w:left w:w="110" w:type="dxa"/>
              <w:bottom w:w="80" w:type="dxa"/>
              <w:right w:w="110" w:type="dxa"/>
            </w:tcMar>
          </w:tcPr>
          <w:p w14:paraId="04D66E1A" w14:textId="77777777" w:rsidR="0090527B" w:rsidRDefault="00000000">
            <w:pPr>
              <w:spacing w:line="250" w:lineRule="auto"/>
            </w:pPr>
            <w:r>
              <w:t>Train a model on my own session using configuration level as the label</w:t>
            </w:r>
          </w:p>
        </w:tc>
        <w:tc>
          <w:tcPr>
            <w:tcW w:w="3400" w:type="dxa"/>
            <w:tcMar>
              <w:top w:w="80" w:type="dxa"/>
              <w:left w:w="110" w:type="dxa"/>
              <w:bottom w:w="80" w:type="dxa"/>
              <w:right w:w="110" w:type="dxa"/>
            </w:tcMar>
          </w:tcPr>
          <w:p w14:paraId="314A98F6" w14:textId="77777777" w:rsidR="0090527B" w:rsidRDefault="00000000">
            <w:pPr>
              <w:spacing w:line="250" w:lineRule="auto"/>
            </w:pPr>
            <w:r>
              <w:t>Circular. If the labels are the difficulty levels I set, the model recovers information already known, and the EEG adds nothing.</w:t>
            </w:r>
          </w:p>
        </w:tc>
        <w:tc>
          <w:tcPr>
            <w:tcW w:w="3700" w:type="dxa"/>
            <w:tcMar>
              <w:top w:w="80" w:type="dxa"/>
              <w:left w:w="110" w:type="dxa"/>
              <w:bottom w:w="80" w:type="dxa"/>
              <w:right w:w="110" w:type="dxa"/>
            </w:tcMar>
          </w:tcPr>
          <w:p w14:paraId="15DAF414" w14:textId="77777777" w:rsidR="0090527B" w:rsidRDefault="00000000">
            <w:pPr>
              <w:spacing w:line="250" w:lineRule="auto"/>
            </w:pPr>
            <w:r>
              <w:t>Weeks, with no scientific gain</w:t>
            </w:r>
          </w:p>
        </w:tc>
      </w:tr>
      <w:tr w:rsidR="0090527B" w14:paraId="4DB351FD" w14:textId="77777777">
        <w:tblPrEx>
          <w:tblCellMar>
            <w:top w:w="0" w:type="dxa"/>
            <w:bottom w:w="0" w:type="dxa"/>
          </w:tblCellMar>
        </w:tblPrEx>
        <w:tc>
          <w:tcPr>
            <w:tcW w:w="2900" w:type="dxa"/>
            <w:tcMar>
              <w:top w:w="80" w:type="dxa"/>
              <w:left w:w="110" w:type="dxa"/>
              <w:bottom w:w="80" w:type="dxa"/>
              <w:right w:w="110" w:type="dxa"/>
            </w:tcMar>
          </w:tcPr>
          <w:p w14:paraId="22C06162" w14:textId="77777777" w:rsidR="0090527B" w:rsidRDefault="00000000">
            <w:pPr>
              <w:spacing w:line="250" w:lineRule="auto"/>
            </w:pPr>
            <w:r>
              <w:lastRenderedPageBreak/>
              <w:t>Fixed literature-based index (selected)</w:t>
            </w:r>
          </w:p>
        </w:tc>
        <w:tc>
          <w:tcPr>
            <w:tcW w:w="3400" w:type="dxa"/>
            <w:tcMar>
              <w:top w:w="80" w:type="dxa"/>
              <w:left w:w="110" w:type="dxa"/>
              <w:bottom w:w="80" w:type="dxa"/>
              <w:right w:w="110" w:type="dxa"/>
            </w:tcMar>
          </w:tcPr>
          <w:p w14:paraId="4964ACD1" w14:textId="77777777" w:rsidR="0090527B" w:rsidRDefault="00000000">
            <w:pPr>
              <w:spacing w:line="250" w:lineRule="auto"/>
            </w:pPr>
            <w:r>
              <w:t>No training, no transfer of learned parameters, and the relationships used are documented in the workload literature.</w:t>
            </w:r>
          </w:p>
        </w:tc>
        <w:tc>
          <w:tcPr>
            <w:tcW w:w="3700" w:type="dxa"/>
            <w:tcMar>
              <w:top w:w="80" w:type="dxa"/>
              <w:left w:w="110" w:type="dxa"/>
              <w:bottom w:w="80" w:type="dxa"/>
              <w:right w:w="110" w:type="dxa"/>
            </w:tcMar>
          </w:tcPr>
          <w:p w14:paraId="36469AF4" w14:textId="77777777" w:rsidR="0090527B" w:rsidRDefault="00000000">
            <w:pPr>
              <w:spacing w:line="250" w:lineRule="auto"/>
            </w:pPr>
            <w:r>
              <w:t>—</w:t>
            </w:r>
          </w:p>
        </w:tc>
      </w:tr>
    </w:tbl>
    <w:p w14:paraId="735D3E75" w14:textId="77777777" w:rsidR="0090527B" w:rsidRDefault="0090527B">
      <w:pPr>
        <w:spacing w:after="90" w:line="276" w:lineRule="auto"/>
      </w:pPr>
    </w:p>
    <w:p w14:paraId="5B320FC1" w14:textId="77777777" w:rsidR="0090527B" w:rsidRDefault="00000000">
      <w:pPr>
        <w:pStyle w:val="Heading2"/>
        <w:spacing w:before="230" w:after="100"/>
      </w:pPr>
      <w:r>
        <w:rPr>
          <w:b/>
          <w:bCs/>
          <w:color w:val="1F3864"/>
          <w:sz w:val="24"/>
          <w:szCs w:val="24"/>
        </w:rPr>
        <w:t>A4.2 Consequence for the timeline</w:t>
      </w:r>
    </w:p>
    <w:p w14:paraId="2A9345B1" w14:textId="77777777" w:rsidR="0090527B" w:rsidRDefault="00000000">
      <w:pPr>
        <w:spacing w:after="130" w:line="276" w:lineRule="auto"/>
      </w:pPr>
      <w:r>
        <w:rPr>
          <w:sz w:val="22"/>
          <w:szCs w:val="22"/>
        </w:rPr>
        <w:t>This decision is what makes week 6 feasible. The estimation step becomes computation and validation rather than model development and hyperparameter search. It also narrows the project's claim: the EEG component is a measurement instrument, not a learned model. That is a real reduction in machine-learning ambition on the neurotechnology side, and it is an intentional trade. The learning contribution of this capstone is the curriculum experiment, and the EEG must be defensible rather than elaborate for that experiment to mean anything.</w:t>
      </w:r>
    </w:p>
    <w:p w14:paraId="6EE56453" w14:textId="77777777" w:rsidR="0090527B" w:rsidRDefault="00000000">
      <w:pPr>
        <w:pStyle w:val="Heading1"/>
        <w:spacing w:before="330" w:after="140"/>
      </w:pPr>
      <w:r>
        <w:rPr>
          <w:b/>
          <w:bCs/>
          <w:color w:val="1F3864"/>
          <w:sz w:val="28"/>
          <w:szCs w:val="28"/>
        </w:rPr>
        <w:t>A5. Public Datasets and the Domain Transfer Question</w:t>
      </w:r>
    </w:p>
    <w:p w14:paraId="7146B9DD" w14:textId="77777777" w:rsidR="0090527B" w:rsidRDefault="00000000">
      <w:pPr>
        <w:pStyle w:val="Heading2"/>
        <w:spacing w:before="230" w:after="100"/>
      </w:pPr>
      <w:r>
        <w:rPr>
          <w:b/>
          <w:bCs/>
          <w:color w:val="1F3864"/>
          <w:sz w:val="24"/>
          <w:szCs w:val="24"/>
        </w:rPr>
        <w:t>A5.1 Datasets and their use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3600"/>
      </w:tblGrid>
      <w:tr w:rsidR="0090527B" w14:paraId="26982C94" w14:textId="77777777">
        <w:tblPrEx>
          <w:tblCellMar>
            <w:top w:w="0" w:type="dxa"/>
            <w:bottom w:w="0" w:type="dxa"/>
          </w:tblCellMar>
        </w:tblPrEx>
        <w:trPr>
          <w:tblHeader/>
        </w:trPr>
        <w:tc>
          <w:tcPr>
            <w:tcW w:w="2400" w:type="dxa"/>
            <w:shd w:val="clear" w:color="auto" w:fill="D9E2F3"/>
            <w:tcMar>
              <w:top w:w="80" w:type="dxa"/>
              <w:left w:w="110" w:type="dxa"/>
              <w:bottom w:w="80" w:type="dxa"/>
              <w:right w:w="110" w:type="dxa"/>
            </w:tcMar>
          </w:tcPr>
          <w:p w14:paraId="41553AE9" w14:textId="77777777" w:rsidR="0090527B" w:rsidRDefault="00000000">
            <w:pPr>
              <w:spacing w:line="250" w:lineRule="auto"/>
            </w:pPr>
            <w:r>
              <w:rPr>
                <w:b/>
                <w:bCs/>
              </w:rPr>
              <w:t>Dataset</w:t>
            </w:r>
          </w:p>
        </w:tc>
        <w:tc>
          <w:tcPr>
            <w:tcW w:w="4000" w:type="dxa"/>
            <w:shd w:val="clear" w:color="auto" w:fill="D9E2F3"/>
            <w:tcMar>
              <w:top w:w="80" w:type="dxa"/>
              <w:left w:w="110" w:type="dxa"/>
              <w:bottom w:w="80" w:type="dxa"/>
              <w:right w:w="110" w:type="dxa"/>
            </w:tcMar>
          </w:tcPr>
          <w:p w14:paraId="7DC1DE93" w14:textId="77777777" w:rsidR="0090527B" w:rsidRDefault="00000000">
            <w:pPr>
              <w:spacing w:line="250" w:lineRule="auto"/>
            </w:pPr>
            <w:r>
              <w:rPr>
                <w:b/>
                <w:bCs/>
              </w:rPr>
              <w:t>Description</w:t>
            </w:r>
          </w:p>
        </w:tc>
        <w:tc>
          <w:tcPr>
            <w:tcW w:w="3600" w:type="dxa"/>
            <w:shd w:val="clear" w:color="auto" w:fill="D9E2F3"/>
            <w:tcMar>
              <w:top w:w="80" w:type="dxa"/>
              <w:left w:w="110" w:type="dxa"/>
              <w:bottom w:w="80" w:type="dxa"/>
              <w:right w:w="110" w:type="dxa"/>
            </w:tcMar>
          </w:tcPr>
          <w:p w14:paraId="118496C1" w14:textId="77777777" w:rsidR="0090527B" w:rsidRDefault="00000000">
            <w:pPr>
              <w:spacing w:line="250" w:lineRule="auto"/>
            </w:pPr>
            <w:proofErr w:type="gramStart"/>
            <w:r>
              <w:rPr>
                <w:b/>
                <w:bCs/>
              </w:rPr>
              <w:t>Use in</w:t>
            </w:r>
            <w:proofErr w:type="gramEnd"/>
            <w:r>
              <w:rPr>
                <w:b/>
                <w:bCs/>
              </w:rPr>
              <w:t xml:space="preserve"> this project</w:t>
            </w:r>
          </w:p>
        </w:tc>
      </w:tr>
      <w:tr w:rsidR="0090527B" w14:paraId="2A7479C7" w14:textId="77777777">
        <w:tblPrEx>
          <w:tblCellMar>
            <w:top w:w="0" w:type="dxa"/>
            <w:bottom w:w="0" w:type="dxa"/>
          </w:tblCellMar>
        </w:tblPrEx>
        <w:tc>
          <w:tcPr>
            <w:tcW w:w="2400" w:type="dxa"/>
            <w:tcMar>
              <w:top w:w="80" w:type="dxa"/>
              <w:left w:w="110" w:type="dxa"/>
              <w:bottom w:w="80" w:type="dxa"/>
              <w:right w:w="110" w:type="dxa"/>
            </w:tcMar>
          </w:tcPr>
          <w:p w14:paraId="36F2E1AA" w14:textId="77777777" w:rsidR="0090527B" w:rsidRDefault="00000000">
            <w:pPr>
              <w:spacing w:line="250" w:lineRule="auto"/>
            </w:pPr>
            <w:r>
              <w:t>EEGMAT (PhysioNet)</w:t>
            </w:r>
          </w:p>
        </w:tc>
        <w:tc>
          <w:tcPr>
            <w:tcW w:w="4000" w:type="dxa"/>
            <w:tcMar>
              <w:top w:w="80" w:type="dxa"/>
              <w:left w:w="110" w:type="dxa"/>
              <w:bottom w:w="80" w:type="dxa"/>
              <w:right w:w="110" w:type="dxa"/>
            </w:tcMar>
          </w:tcPr>
          <w:p w14:paraId="1EC7FD91" w14:textId="77777777" w:rsidR="0090527B" w:rsidRDefault="00000000">
            <w:pPr>
              <w:spacing w:line="250" w:lineRule="auto"/>
            </w:pPr>
            <w:r>
              <w:t>36 subjects, 23-channel 10/20 recording, resting baseline versus mental serial subtraction, 60-second artifact-free segments. Public domain (PDDL), DOI 10.13026/C2JQ1P.</w:t>
            </w:r>
          </w:p>
        </w:tc>
        <w:tc>
          <w:tcPr>
            <w:tcW w:w="3600" w:type="dxa"/>
            <w:tcMar>
              <w:top w:w="80" w:type="dxa"/>
              <w:left w:w="110" w:type="dxa"/>
              <w:bottom w:w="80" w:type="dxa"/>
              <w:right w:w="110" w:type="dxa"/>
            </w:tcMar>
          </w:tcPr>
          <w:p w14:paraId="79577019" w14:textId="77777777" w:rsidR="0090527B" w:rsidRDefault="00000000">
            <w:pPr>
              <w:spacing w:line="250" w:lineRule="auto"/>
            </w:pPr>
            <w:r>
              <w:t>Primary. Verifies the index implementation responds in the expected direction to a known workload contrast.</w:t>
            </w:r>
          </w:p>
        </w:tc>
      </w:tr>
      <w:tr w:rsidR="0090527B" w14:paraId="2B0BA029" w14:textId="77777777">
        <w:tblPrEx>
          <w:tblCellMar>
            <w:top w:w="0" w:type="dxa"/>
            <w:bottom w:w="0" w:type="dxa"/>
          </w:tblCellMar>
        </w:tblPrEx>
        <w:tc>
          <w:tcPr>
            <w:tcW w:w="2400" w:type="dxa"/>
            <w:tcMar>
              <w:top w:w="80" w:type="dxa"/>
              <w:left w:w="110" w:type="dxa"/>
              <w:bottom w:w="80" w:type="dxa"/>
              <w:right w:w="110" w:type="dxa"/>
            </w:tcMar>
          </w:tcPr>
          <w:p w14:paraId="51708329" w14:textId="77777777" w:rsidR="0090527B" w:rsidRDefault="00000000">
            <w:pPr>
              <w:spacing w:line="250" w:lineRule="auto"/>
            </w:pPr>
            <w:r>
              <w:t xml:space="preserve">STEW (IEEE </w:t>
            </w:r>
            <w:proofErr w:type="spellStart"/>
            <w:r>
              <w:t>DataPort</w:t>
            </w:r>
            <w:proofErr w:type="spellEnd"/>
            <w:r>
              <w:t>)</w:t>
            </w:r>
          </w:p>
        </w:tc>
        <w:tc>
          <w:tcPr>
            <w:tcW w:w="4000" w:type="dxa"/>
            <w:tcMar>
              <w:top w:w="80" w:type="dxa"/>
              <w:left w:w="110" w:type="dxa"/>
              <w:bottom w:w="80" w:type="dxa"/>
              <w:right w:w="110" w:type="dxa"/>
            </w:tcMar>
          </w:tcPr>
          <w:p w14:paraId="64649AC0" w14:textId="77777777" w:rsidR="0090527B" w:rsidRDefault="00000000">
            <w:pPr>
              <w:spacing w:line="250" w:lineRule="auto"/>
            </w:pPr>
            <w:r>
              <w:t xml:space="preserve">48 subjects, </w:t>
            </w:r>
            <w:proofErr w:type="spellStart"/>
            <w:r>
              <w:t>Emotiv</w:t>
            </w:r>
            <w:proofErr w:type="spellEnd"/>
            <w:r>
              <w:t xml:space="preserve"> EPOC 14-channel at 128 Hz, SIMKAP multitasking versus rest, with 1–9 subjective workload ratings.</w:t>
            </w:r>
          </w:p>
        </w:tc>
        <w:tc>
          <w:tcPr>
            <w:tcW w:w="3600" w:type="dxa"/>
            <w:tcMar>
              <w:top w:w="80" w:type="dxa"/>
              <w:left w:w="110" w:type="dxa"/>
              <w:bottom w:w="80" w:type="dxa"/>
              <w:right w:w="110" w:type="dxa"/>
            </w:tcMar>
          </w:tcPr>
          <w:p w14:paraId="0291B64F" w14:textId="77777777" w:rsidR="0090527B" w:rsidRDefault="00000000">
            <w:pPr>
              <w:spacing w:line="250" w:lineRule="auto"/>
            </w:pPr>
            <w:r>
              <w:t xml:space="preserve">Secondary. Provides graded subjective ratings for checking that the index is monotonic rather than merely bimodal. Access via IEEE </w:t>
            </w:r>
            <w:proofErr w:type="spellStart"/>
            <w:r>
              <w:t>DataPort</w:t>
            </w:r>
            <w:proofErr w:type="spellEnd"/>
            <w:r>
              <w:t xml:space="preserve"> must be confirmed.</w:t>
            </w:r>
          </w:p>
        </w:tc>
      </w:tr>
    </w:tbl>
    <w:p w14:paraId="780C05DB" w14:textId="77777777" w:rsidR="0090527B" w:rsidRDefault="0090527B">
      <w:pPr>
        <w:spacing w:after="90" w:line="276" w:lineRule="auto"/>
      </w:pPr>
    </w:p>
    <w:p w14:paraId="0049A5E9" w14:textId="77777777" w:rsidR="0090527B" w:rsidRDefault="00000000">
      <w:pPr>
        <w:pStyle w:val="Heading2"/>
        <w:spacing w:before="230" w:after="100"/>
      </w:pPr>
      <w:r>
        <w:rPr>
          <w:b/>
          <w:bCs/>
          <w:color w:val="1F3864"/>
          <w:sz w:val="24"/>
          <w:szCs w:val="24"/>
        </w:rPr>
        <w:t>A5.2 Why domain transfer is not assumed</w:t>
      </w:r>
    </w:p>
    <w:p w14:paraId="246E9F28" w14:textId="77777777" w:rsidR="0090527B" w:rsidRDefault="00000000">
      <w:pPr>
        <w:spacing w:after="130" w:line="276" w:lineRule="auto"/>
      </w:pPr>
      <w:r>
        <w:rPr>
          <w:sz w:val="22"/>
          <w:szCs w:val="22"/>
        </w:rPr>
        <w:t>The review correctly notes that these datasets were recorded during seated cognitive tasks that differ substantially from a combat game, both in task structure and in artifact profile. The design avoids the assumption rather than defending it.</w:t>
      </w:r>
    </w:p>
    <w:p w14:paraId="42DC8E42" w14:textId="77777777" w:rsidR="0090527B" w:rsidRDefault="00000000">
      <w:pPr>
        <w:spacing w:after="130" w:line="276" w:lineRule="auto"/>
      </w:pPr>
      <w:r>
        <w:rPr>
          <w:sz w:val="22"/>
          <w:szCs w:val="22"/>
        </w:rPr>
        <w:t>Nothing learned from these datasets is applied to my recordings. No weights, no thresholds, and no subject-specific parameters cross the boundary. The datasets are used only to verify that the implementation is correct, in the sense that a known high-workload condition produces a higher index than a known baseline. That is a software correctness check, not a transfer of a model.</w:t>
      </w:r>
    </w:p>
    <w:p w14:paraId="224A6234" w14:textId="77777777" w:rsidR="0090527B" w:rsidRDefault="00000000">
      <w:pPr>
        <w:spacing w:after="130" w:line="276" w:lineRule="auto"/>
      </w:pPr>
      <w:r>
        <w:rPr>
          <w:sz w:val="22"/>
          <w:szCs w:val="22"/>
        </w:rPr>
        <w:t xml:space="preserve">The index is then computed on my own data, standardized within my own session, and validated against my own </w:t>
      </w:r>
      <w:proofErr w:type="spellStart"/>
      <w:r>
        <w:rPr>
          <w:sz w:val="22"/>
          <w:szCs w:val="22"/>
        </w:rPr>
        <w:t>behavioural</w:t>
      </w:r>
      <w:proofErr w:type="spellEnd"/>
      <w:r>
        <w:rPr>
          <w:sz w:val="22"/>
          <w:szCs w:val="22"/>
        </w:rPr>
        <w:t xml:space="preserve"> and subjective rankings. The only assumption that survives is that the direction of the theta and alpha workload relationships, which are established across many tasks and populations, also holds during gameplay for one person.</w:t>
      </w:r>
    </w:p>
    <w:p w14:paraId="1AA631C5" w14:textId="77777777" w:rsidR="0090527B" w:rsidRDefault="00000000">
      <w:pPr>
        <w:pStyle w:val="Heading2"/>
        <w:spacing w:before="230" w:after="100"/>
      </w:pPr>
      <w:r>
        <w:rPr>
          <w:b/>
          <w:bCs/>
          <w:color w:val="1F3864"/>
          <w:sz w:val="24"/>
          <w:szCs w:val="24"/>
        </w:rPr>
        <w:t>A5.3 Remaining limitation, stated plainly</w:t>
      </w:r>
    </w:p>
    <w:p w14:paraId="74D013FA" w14:textId="77777777" w:rsidR="0090527B" w:rsidRDefault="00000000">
      <w:pPr>
        <w:spacing w:after="130" w:line="276" w:lineRule="auto"/>
      </w:pPr>
      <w:r>
        <w:rPr>
          <w:sz w:val="22"/>
          <w:szCs w:val="22"/>
        </w:rPr>
        <w:lastRenderedPageBreak/>
        <w:t xml:space="preserve">That surviving assumption is not demonstrated by this project. The workload literature is built predominantly on low-movement laboratory tasks, and combat gameplay involves more motor activity, more visual change, and more arousal. Two things partially address this. The artifact-control block in A6.2 tests whether the index is tracking movement rather than demand. And Gate 3 requires the EEG ranking to agree with independently measured </w:t>
      </w:r>
      <w:proofErr w:type="spellStart"/>
      <w:r>
        <w:rPr>
          <w:sz w:val="22"/>
          <w:szCs w:val="22"/>
        </w:rPr>
        <w:t>behavioural</w:t>
      </w:r>
      <w:proofErr w:type="spellEnd"/>
      <w:r>
        <w:rPr>
          <w:sz w:val="22"/>
          <w:szCs w:val="22"/>
        </w:rPr>
        <w:t xml:space="preserve"> and subjective rankings, which would be unlikely if the index were responding only to noise. Neither is a substitute for validation in the target domain, and the final report will list this as a primary limitation.</w:t>
      </w:r>
    </w:p>
    <w:p w14:paraId="6D9B4D9C" w14:textId="77777777" w:rsidR="0090527B" w:rsidRDefault="00000000">
      <w:pPr>
        <w:pStyle w:val="Heading1"/>
        <w:spacing w:before="330" w:after="140"/>
      </w:pPr>
      <w:r>
        <w:rPr>
          <w:b/>
          <w:bCs/>
          <w:color w:val="1F3864"/>
          <w:sz w:val="28"/>
          <w:szCs w:val="28"/>
        </w:rPr>
        <w:t>A6. Preprocessing, Artifact Handling, and Controls</w:t>
      </w:r>
    </w:p>
    <w:p w14:paraId="79FD5A2C" w14:textId="77777777" w:rsidR="0090527B" w:rsidRDefault="00000000">
      <w:pPr>
        <w:pStyle w:val="Heading2"/>
        <w:spacing w:before="230" w:after="100"/>
      </w:pPr>
      <w:r>
        <w:rPr>
          <w:b/>
          <w:bCs/>
          <w:color w:val="1F3864"/>
          <w:sz w:val="24"/>
          <w:szCs w:val="24"/>
        </w:rPr>
        <w:t>A6.1 Pipeline</w:t>
      </w:r>
    </w:p>
    <w:p w14:paraId="0779379C" w14:textId="77777777" w:rsidR="0090527B" w:rsidRDefault="00000000">
      <w:pPr>
        <w:pStyle w:val="ListParagraph"/>
        <w:numPr>
          <w:ilvl w:val="0"/>
          <w:numId w:val="2"/>
        </w:numPr>
        <w:spacing w:after="80" w:line="276" w:lineRule="auto"/>
      </w:pPr>
      <w:r>
        <w:rPr>
          <w:sz w:val="22"/>
          <w:szCs w:val="22"/>
        </w:rPr>
        <w:t>Band-pass filter 1–40 Hz and notch filter at 60 Hz.</w:t>
      </w:r>
    </w:p>
    <w:p w14:paraId="50570542" w14:textId="77777777" w:rsidR="0090527B" w:rsidRDefault="00000000">
      <w:pPr>
        <w:pStyle w:val="ListParagraph"/>
        <w:numPr>
          <w:ilvl w:val="0"/>
          <w:numId w:val="2"/>
        </w:numPr>
        <w:spacing w:after="80" w:line="276" w:lineRule="auto"/>
      </w:pPr>
      <w:r>
        <w:rPr>
          <w:sz w:val="22"/>
          <w:szCs w:val="22"/>
        </w:rPr>
        <w:t>Independent Component Analysis for ocular artifact, with components identified against frontopolar channels.</w:t>
      </w:r>
    </w:p>
    <w:p w14:paraId="3571878C" w14:textId="77777777" w:rsidR="0090527B" w:rsidRDefault="00000000">
      <w:pPr>
        <w:pStyle w:val="ListParagraph"/>
        <w:numPr>
          <w:ilvl w:val="0"/>
          <w:numId w:val="2"/>
        </w:numPr>
        <w:spacing w:after="80" w:line="276" w:lineRule="auto"/>
      </w:pPr>
      <w:r>
        <w:rPr>
          <w:sz w:val="22"/>
          <w:szCs w:val="22"/>
        </w:rPr>
        <w:t xml:space="preserve">Segmentation into overlapping analysis windows </w:t>
      </w:r>
      <w:proofErr w:type="gramStart"/>
      <w:r>
        <w:rPr>
          <w:sz w:val="22"/>
          <w:szCs w:val="22"/>
        </w:rPr>
        <w:t>of</w:t>
      </w:r>
      <w:proofErr w:type="gramEnd"/>
      <w:r>
        <w:rPr>
          <w:sz w:val="22"/>
          <w:szCs w:val="22"/>
        </w:rPr>
        <w:t xml:space="preserve"> several seconds.</w:t>
      </w:r>
    </w:p>
    <w:p w14:paraId="5F69E624" w14:textId="77777777" w:rsidR="0090527B" w:rsidRDefault="00000000">
      <w:pPr>
        <w:pStyle w:val="ListParagraph"/>
        <w:numPr>
          <w:ilvl w:val="0"/>
          <w:numId w:val="2"/>
        </w:numPr>
        <w:spacing w:after="80" w:line="276" w:lineRule="auto"/>
      </w:pPr>
      <w:r>
        <w:rPr>
          <w:sz w:val="22"/>
          <w:szCs w:val="22"/>
        </w:rPr>
        <w:t>Window rejection on amplitude threshold and on high-frequency power indicating EMG contamination.</w:t>
      </w:r>
    </w:p>
    <w:p w14:paraId="7CAEDC93" w14:textId="77777777" w:rsidR="0090527B" w:rsidRDefault="00000000">
      <w:pPr>
        <w:pStyle w:val="ListParagraph"/>
        <w:numPr>
          <w:ilvl w:val="0"/>
          <w:numId w:val="2"/>
        </w:numPr>
        <w:spacing w:after="80" w:line="276" w:lineRule="auto"/>
      </w:pPr>
      <w:r>
        <w:rPr>
          <w:sz w:val="22"/>
          <w:szCs w:val="22"/>
        </w:rPr>
        <w:t>Welch spectral estimation on surviving windows, then the index of A3.3.</w:t>
      </w:r>
    </w:p>
    <w:p w14:paraId="5B50EA03" w14:textId="77777777" w:rsidR="0090527B" w:rsidRDefault="00000000">
      <w:pPr>
        <w:pStyle w:val="Heading2"/>
        <w:spacing w:before="230" w:after="100"/>
      </w:pPr>
      <w:r>
        <w:rPr>
          <w:b/>
          <w:bCs/>
          <w:color w:val="1F3864"/>
          <w:sz w:val="24"/>
          <w:szCs w:val="24"/>
        </w:rPr>
        <w:t>A6.2 Artifact-control block</w:t>
      </w:r>
    </w:p>
    <w:p w14:paraId="4A2E639C" w14:textId="77777777" w:rsidR="0090527B" w:rsidRDefault="00000000">
      <w:pPr>
        <w:spacing w:after="130" w:line="276" w:lineRule="auto"/>
      </w:pPr>
      <w:r>
        <w:rPr>
          <w:sz w:val="22"/>
          <w:szCs w:val="22"/>
        </w:rPr>
        <w:t xml:space="preserve">The dominant failure mode in applied EEG is an estimator that appears to work while </w:t>
      </w:r>
      <w:proofErr w:type="gramStart"/>
      <w:r>
        <w:rPr>
          <w:sz w:val="22"/>
          <w:szCs w:val="22"/>
        </w:rPr>
        <w:t>actually detecting</w:t>
      </w:r>
      <w:proofErr w:type="gramEnd"/>
      <w:r>
        <w:rPr>
          <w:sz w:val="22"/>
          <w:szCs w:val="22"/>
        </w:rPr>
        <w:t xml:space="preserve"> muscle or eye movement, because movement correlates with task demand for non-neural reasons. The session therefore includes a block in which movement is deliberately elicited without the </w:t>
      </w:r>
      <w:proofErr w:type="gramStart"/>
      <w:r>
        <w:rPr>
          <w:sz w:val="22"/>
          <w:szCs w:val="22"/>
        </w:rPr>
        <w:t>difficulty</w:t>
      </w:r>
      <w:proofErr w:type="gramEnd"/>
      <w:r>
        <w:rPr>
          <w:sz w:val="22"/>
          <w:szCs w:val="22"/>
        </w:rPr>
        <w:t xml:space="preserve"> manipulation. If the index responds to that block, it is measuring movement and Gate 3 fails.</w:t>
      </w:r>
    </w:p>
    <w:p w14:paraId="70B02E70" w14:textId="77777777" w:rsidR="0090527B" w:rsidRDefault="00000000">
      <w:pPr>
        <w:pStyle w:val="Heading2"/>
        <w:spacing w:before="230" w:after="100"/>
      </w:pPr>
      <w:r>
        <w:rPr>
          <w:b/>
          <w:bCs/>
          <w:color w:val="1F3864"/>
          <w:sz w:val="24"/>
          <w:szCs w:val="24"/>
        </w:rPr>
        <w:t>A6.3 Rejection rate as a confound</w:t>
      </w:r>
    </w:p>
    <w:p w14:paraId="31F26591" w14:textId="77777777" w:rsidR="0090527B" w:rsidRDefault="00000000">
      <w:pPr>
        <w:spacing w:after="130" w:line="276" w:lineRule="auto"/>
      </w:pPr>
      <w:r>
        <w:rPr>
          <w:sz w:val="22"/>
          <w:szCs w:val="22"/>
        </w:rPr>
        <w:t>If harder configurations provoke more movement, they will also lose more windows to rejection, and rejection rate could itself carry the difficulty signal without any neural contribution. Per-configuration rejection rates are therefore logged and correlated with the difficulty ranking. A strong correlation is reported as a confound rather than quietly ignored.</w:t>
      </w:r>
    </w:p>
    <w:p w14:paraId="3B2F2E4A" w14:textId="77777777" w:rsidR="0090527B" w:rsidRDefault="00000000">
      <w:pPr>
        <w:spacing w:after="130" w:line="276" w:lineRule="auto"/>
      </w:pPr>
      <w:r>
        <w:rPr>
          <w:sz w:val="22"/>
          <w:szCs w:val="22"/>
        </w:rPr>
        <w:t>Protocol design does not require suppression of involuntary movement. Requiring suppression would measure the cognitive cost of suppressing rather than the intended construct, which would be a worse confound than the artifact itself.</w:t>
      </w:r>
    </w:p>
    <w:p w14:paraId="1C0F92B8" w14:textId="77777777" w:rsidR="0090527B" w:rsidRDefault="00000000">
      <w:pPr>
        <w:pStyle w:val="Heading1"/>
        <w:spacing w:before="330" w:after="140"/>
      </w:pPr>
      <w:r>
        <w:rPr>
          <w:b/>
          <w:bCs/>
          <w:color w:val="1F3864"/>
          <w:sz w:val="28"/>
          <w:szCs w:val="28"/>
        </w:rPr>
        <w:t>A7. Single-Subject Design and Familiarity Bias</w:t>
      </w:r>
    </w:p>
    <w:p w14:paraId="1C7C5B69" w14:textId="77777777" w:rsidR="0090527B" w:rsidRDefault="00000000">
      <w:pPr>
        <w:pStyle w:val="Heading2"/>
        <w:spacing w:before="230" w:after="100"/>
      </w:pPr>
      <w:r>
        <w:rPr>
          <w:b/>
          <w:bCs/>
          <w:color w:val="1F3864"/>
          <w:sz w:val="24"/>
          <w:szCs w:val="24"/>
        </w:rPr>
        <w:t>A7.1 Subject</w:t>
      </w:r>
    </w:p>
    <w:p w14:paraId="69CB9852" w14:textId="77777777" w:rsidR="0090527B" w:rsidRDefault="00000000">
      <w:pPr>
        <w:spacing w:after="130" w:line="276" w:lineRule="auto"/>
      </w:pPr>
      <w:r>
        <w:rPr>
          <w:sz w:val="22"/>
          <w:szCs w:val="22"/>
        </w:rPr>
        <w:t xml:space="preserve">I am the only recorded subject. The consequence is that pipeline validation rests on one person's data and no cross-subject claim </w:t>
      </w:r>
      <w:proofErr w:type="gramStart"/>
      <w:r>
        <w:rPr>
          <w:sz w:val="22"/>
          <w:szCs w:val="22"/>
        </w:rPr>
        <w:t>is</w:t>
      </w:r>
      <w:proofErr w:type="gramEnd"/>
      <w:r>
        <w:rPr>
          <w:sz w:val="22"/>
          <w:szCs w:val="22"/>
        </w:rPr>
        <w:t xml:space="preserve"> available. The research question concerns whether a human-derived ordering can shape an agent's curriculum, so one subject supports the claim being made; it would not support any claim about EEG-workload relationships in general, and none is made.</w:t>
      </w:r>
    </w:p>
    <w:p w14:paraId="429F5F13" w14:textId="77777777" w:rsidR="0090527B" w:rsidRDefault="00000000">
      <w:pPr>
        <w:pStyle w:val="Heading2"/>
        <w:spacing w:before="230" w:after="100"/>
      </w:pPr>
      <w:r>
        <w:rPr>
          <w:b/>
          <w:bCs/>
          <w:color w:val="1F3864"/>
          <w:sz w:val="24"/>
          <w:szCs w:val="24"/>
        </w:rPr>
        <w:t>A7.2 Familiarity and practice effects</w:t>
      </w:r>
    </w:p>
    <w:p w14:paraId="770F3B35" w14:textId="77777777" w:rsidR="0090527B" w:rsidRDefault="00000000">
      <w:pPr>
        <w:spacing w:after="130" w:line="276" w:lineRule="auto"/>
      </w:pPr>
      <w:r>
        <w:rPr>
          <w:sz w:val="22"/>
          <w:szCs w:val="22"/>
        </w:rPr>
        <w:lastRenderedPageBreak/>
        <w:t>The review identified a genuine confound. If I play extensively before recording, the difficulty estimates track my practice curve rather than task demand, and configurations recorded later in a session will appear easier than identical configurations recorded earlier. Four mitigations apply.</w:t>
      </w:r>
    </w:p>
    <w:p w14:paraId="1E5F6242" w14:textId="77777777" w:rsidR="0090527B" w:rsidRDefault="00000000">
      <w:pPr>
        <w:pStyle w:val="ListParagraph"/>
        <w:numPr>
          <w:ilvl w:val="0"/>
          <w:numId w:val="2"/>
        </w:numPr>
        <w:spacing w:after="80" w:line="276" w:lineRule="auto"/>
      </w:pPr>
      <w:r>
        <w:rPr>
          <w:sz w:val="22"/>
          <w:szCs w:val="22"/>
        </w:rPr>
        <w:t>A familiarization protocol run before any recording, continuing until per-configuration success rates stop improving across consecutive blocks. Recording begins only after that plateau.</w:t>
      </w:r>
    </w:p>
    <w:p w14:paraId="4C493725" w14:textId="77777777" w:rsidR="0090527B" w:rsidRDefault="00000000">
      <w:pPr>
        <w:pStyle w:val="ListParagraph"/>
        <w:numPr>
          <w:ilvl w:val="0"/>
          <w:numId w:val="2"/>
        </w:numPr>
        <w:spacing w:after="80" w:line="276" w:lineRule="auto"/>
      </w:pPr>
      <w:r>
        <w:rPr>
          <w:sz w:val="22"/>
          <w:szCs w:val="22"/>
        </w:rPr>
        <w:t>Interleaved rather than blocked presentation, so no configuration is systematically recorded early or late.</w:t>
      </w:r>
    </w:p>
    <w:p w14:paraId="2FD576FC" w14:textId="77777777" w:rsidR="0090527B" w:rsidRDefault="00000000">
      <w:pPr>
        <w:pStyle w:val="ListParagraph"/>
        <w:numPr>
          <w:ilvl w:val="0"/>
          <w:numId w:val="2"/>
        </w:numPr>
        <w:spacing w:after="80" w:line="276" w:lineRule="auto"/>
      </w:pPr>
      <w:r>
        <w:rPr>
          <w:sz w:val="22"/>
          <w:szCs w:val="22"/>
        </w:rPr>
        <w:t>Randomized presentation order, with the realized order logged.</w:t>
      </w:r>
    </w:p>
    <w:p w14:paraId="2B4274A5" w14:textId="77777777" w:rsidR="0090527B" w:rsidRDefault="00000000">
      <w:pPr>
        <w:pStyle w:val="ListParagraph"/>
        <w:numPr>
          <w:ilvl w:val="0"/>
          <w:numId w:val="2"/>
        </w:numPr>
        <w:spacing w:after="80" w:line="276" w:lineRule="auto"/>
      </w:pPr>
      <w:r>
        <w:rPr>
          <w:sz w:val="22"/>
          <w:szCs w:val="22"/>
        </w:rPr>
        <w:t>Repeated probe configurations at the start, middle, and end of the session. These directly measure within-session drift; if the probes shift materially, the drift is quantified and reported, and the affected estimates are treated as unreliable.</w:t>
      </w:r>
    </w:p>
    <w:p w14:paraId="2F81A247" w14:textId="77777777" w:rsidR="0090527B" w:rsidRDefault="00000000">
      <w:pPr>
        <w:spacing w:after="130" w:line="276" w:lineRule="auto"/>
      </w:pPr>
      <w:r>
        <w:rPr>
          <w:sz w:val="22"/>
          <w:szCs w:val="22"/>
        </w:rPr>
        <w:t>This cannot be eliminated in a single-subject design, since I am both the person tuning the environment and the person playing it. It is measured, reported, and listed as a limitation.</w:t>
      </w:r>
    </w:p>
    <w:p w14:paraId="1B3B4A72" w14:textId="77777777" w:rsidR="0090527B" w:rsidRDefault="00000000">
      <w:pPr>
        <w:pStyle w:val="Heading2"/>
        <w:spacing w:before="230" w:after="100"/>
      </w:pPr>
      <w:r>
        <w:rPr>
          <w:b/>
          <w:bCs/>
          <w:color w:val="1F3864"/>
          <w:sz w:val="24"/>
          <w:szCs w:val="24"/>
        </w:rPr>
        <w:t>A7.3 Session budget</w:t>
      </w:r>
    </w:p>
    <w:p w14:paraId="4CA3CA49" w14:textId="77777777" w:rsidR="0090527B" w:rsidRDefault="00000000">
      <w:pPr>
        <w:spacing w:after="130" w:line="276" w:lineRule="auto"/>
      </w:pPr>
      <w:r>
        <w:rPr>
          <w:sz w:val="22"/>
          <w:szCs w:val="22"/>
        </w:rPr>
        <w:t>A stable per-configuration estimate requires roughly twenty clean analysis windows. At several seconds per window with rejection losses, that is approximately two to four minutes of play per configuration. Usable session length is capped near sixty to ninety minutes including setup by fatigue and electrode drift. Twenty-five configurations therefore fit within one session, which avoids introducing session identity as an additional confound.</w:t>
      </w:r>
    </w:p>
    <w:p w14:paraId="42942850" w14:textId="77777777" w:rsidR="0090527B" w:rsidRDefault="00000000">
      <w:pPr>
        <w:pStyle w:val="Heading2"/>
        <w:spacing w:before="230" w:after="100"/>
      </w:pPr>
      <w:r>
        <w:rPr>
          <w:b/>
          <w:bCs/>
          <w:color w:val="1F3864"/>
          <w:sz w:val="24"/>
          <w:szCs w:val="24"/>
        </w:rPr>
        <w:t>A7.4 Data handling</w:t>
      </w:r>
    </w:p>
    <w:p w14:paraId="48DB5E14" w14:textId="77777777" w:rsidR="0090527B" w:rsidRDefault="00000000">
      <w:pPr>
        <w:pStyle w:val="ListParagraph"/>
        <w:numPr>
          <w:ilvl w:val="0"/>
          <w:numId w:val="2"/>
        </w:numPr>
        <w:spacing w:after="80" w:line="276" w:lineRule="auto"/>
      </w:pPr>
      <w:r>
        <w:rPr>
          <w:sz w:val="22"/>
          <w:szCs w:val="22"/>
        </w:rPr>
        <w:t xml:space="preserve">Raw EEG </w:t>
      </w:r>
      <w:proofErr w:type="gramStart"/>
      <w:r>
        <w:rPr>
          <w:sz w:val="22"/>
          <w:szCs w:val="22"/>
        </w:rPr>
        <w:t>stored</w:t>
      </w:r>
      <w:proofErr w:type="gramEnd"/>
      <w:r>
        <w:rPr>
          <w:sz w:val="22"/>
          <w:szCs w:val="22"/>
        </w:rPr>
        <w:t xml:space="preserve"> locally with access control, not committed to the public repository.</w:t>
      </w:r>
    </w:p>
    <w:p w14:paraId="22B4F704" w14:textId="77777777" w:rsidR="0090527B" w:rsidRDefault="00000000">
      <w:pPr>
        <w:pStyle w:val="ListParagraph"/>
        <w:numPr>
          <w:ilvl w:val="0"/>
          <w:numId w:val="2"/>
        </w:numPr>
        <w:spacing w:after="80" w:line="276" w:lineRule="auto"/>
      </w:pPr>
      <w:r>
        <w:rPr>
          <w:sz w:val="22"/>
          <w:szCs w:val="22"/>
        </w:rPr>
        <w:t>Derived per-configuration index values, which contain no identifiable signal, may be published with the results.</w:t>
      </w:r>
    </w:p>
    <w:p w14:paraId="13750E73" w14:textId="77777777" w:rsidR="0090527B" w:rsidRDefault="00000000">
      <w:pPr>
        <w:pStyle w:val="ListParagraph"/>
        <w:numPr>
          <w:ilvl w:val="0"/>
          <w:numId w:val="2"/>
        </w:numPr>
        <w:spacing w:after="80" w:line="276" w:lineRule="auto"/>
      </w:pPr>
      <w:r>
        <w:rPr>
          <w:sz w:val="22"/>
          <w:szCs w:val="22"/>
        </w:rPr>
        <w:t>If the design were later extended to additional participants, informed consent, anonymization, and secure storage protocols would be established beforehand and reviewed with the instructor.</w:t>
      </w:r>
    </w:p>
    <w:p w14:paraId="0CB81BE3" w14:textId="77777777" w:rsidR="0090527B" w:rsidRDefault="00000000">
      <w:pPr>
        <w:pStyle w:val="Heading1"/>
        <w:spacing w:before="330" w:after="140"/>
      </w:pPr>
      <w:r>
        <w:rPr>
          <w:b/>
          <w:bCs/>
          <w:color w:val="1F3864"/>
          <w:sz w:val="28"/>
          <w:szCs w:val="28"/>
        </w:rPr>
        <w:t>A8. Hardware</w:t>
      </w:r>
    </w:p>
    <w:p w14:paraId="0E12793B" w14:textId="77777777" w:rsidR="0090527B" w:rsidRDefault="00000000">
      <w:pPr>
        <w:pStyle w:val="Heading2"/>
        <w:spacing w:before="230" w:after="100"/>
      </w:pPr>
      <w:r>
        <w:rPr>
          <w:b/>
          <w:bCs/>
          <w:color w:val="1F3864"/>
          <w:sz w:val="24"/>
          <w:szCs w:val="24"/>
        </w:rPr>
        <w:t>A8.1 What the signal requirements imply</w:t>
      </w:r>
    </w:p>
    <w:p w14:paraId="75C194E3" w14:textId="77777777" w:rsidR="0090527B" w:rsidRDefault="00000000">
      <w:pPr>
        <w:spacing w:after="130" w:line="276" w:lineRule="auto"/>
      </w:pPr>
      <w:r>
        <w:rPr>
          <w:sz w:val="22"/>
          <w:szCs w:val="22"/>
        </w:rPr>
        <w:t xml:space="preserve">The index in A3 requires frontal midline and parietal coverage plus frontopolar channels for ocular artifact identification. The minimum useful montage is Fz and </w:t>
      </w:r>
      <w:proofErr w:type="spellStart"/>
      <w:r>
        <w:rPr>
          <w:sz w:val="22"/>
          <w:szCs w:val="22"/>
        </w:rPr>
        <w:t>Pz</w:t>
      </w:r>
      <w:proofErr w:type="spellEnd"/>
      <w:r>
        <w:rPr>
          <w:sz w:val="22"/>
          <w:szCs w:val="22"/>
        </w:rPr>
        <w:t xml:space="preserve"> with an ocular reference; a practical montage with redundancy against poor contact is eight channels: Fp1, Fz, F3, F4, </w:t>
      </w:r>
      <w:proofErr w:type="spellStart"/>
      <w:r>
        <w:rPr>
          <w:sz w:val="22"/>
          <w:szCs w:val="22"/>
        </w:rPr>
        <w:t>Cz</w:t>
      </w:r>
      <w:proofErr w:type="spellEnd"/>
      <w:r>
        <w:rPr>
          <w:sz w:val="22"/>
          <w:szCs w:val="22"/>
        </w:rPr>
        <w:t xml:space="preserve">, </w:t>
      </w:r>
      <w:proofErr w:type="spellStart"/>
      <w:r>
        <w:rPr>
          <w:sz w:val="22"/>
          <w:szCs w:val="22"/>
        </w:rPr>
        <w:t>Pz</w:t>
      </w:r>
      <w:proofErr w:type="spellEnd"/>
      <w:r>
        <w:rPr>
          <w:sz w:val="22"/>
          <w:szCs w:val="22"/>
        </w:rPr>
        <w:t>, P3, P4. Eight channels is the requirement, and additional channels would add cost without adding information the index uses.</w:t>
      </w:r>
    </w:p>
    <w:p w14:paraId="1E79BB1C" w14:textId="77777777" w:rsidR="0090527B" w:rsidRDefault="00000000">
      <w:pPr>
        <w:spacing w:after="130" w:line="276" w:lineRule="auto"/>
      </w:pPr>
      <w:r>
        <w:rPr>
          <w:sz w:val="22"/>
          <w:szCs w:val="22"/>
        </w:rPr>
        <w:t>Sampling above roughly 125 Hz is sufficient, since the index uses bands below 40 Hz and high-frequency power only as a contamination flag. Raw time-series access is mandatory; a device exposing only vendor-computed metrics cannot support the pipeline in A6.</w:t>
      </w:r>
    </w:p>
    <w:p w14:paraId="3F0BD15A" w14:textId="77777777" w:rsidR="0090527B" w:rsidRDefault="00000000">
      <w:pPr>
        <w:pStyle w:val="Heading2"/>
        <w:spacing w:before="230" w:after="100"/>
      </w:pPr>
      <w:r>
        <w:rPr>
          <w:b/>
          <w:bCs/>
          <w:color w:val="1F3864"/>
          <w:sz w:val="24"/>
          <w:szCs w:val="24"/>
        </w:rPr>
        <w:t>A8.2 Selection</w:t>
      </w:r>
    </w:p>
    <w:p w14:paraId="436B3BAB" w14:textId="77777777" w:rsidR="0090527B" w:rsidRDefault="00000000">
      <w:pPr>
        <w:spacing w:after="130" w:line="276" w:lineRule="auto"/>
      </w:pPr>
      <w:r>
        <w:rPr>
          <w:sz w:val="22"/>
          <w:szCs w:val="22"/>
        </w:rPr>
        <w:t xml:space="preserve">Selected: </w:t>
      </w:r>
      <w:proofErr w:type="gramStart"/>
      <w:r>
        <w:rPr>
          <w:sz w:val="22"/>
          <w:szCs w:val="22"/>
        </w:rPr>
        <w:t>an</w:t>
      </w:r>
      <w:proofErr w:type="gramEnd"/>
      <w:r>
        <w:rPr>
          <w:sz w:val="22"/>
          <w:szCs w:val="22"/>
        </w:rPr>
        <w:t xml:space="preserve"> </w:t>
      </w:r>
      <w:proofErr w:type="spellStart"/>
      <w:r>
        <w:rPr>
          <w:sz w:val="22"/>
          <w:szCs w:val="22"/>
        </w:rPr>
        <w:t>OpenBCI</w:t>
      </w:r>
      <w:proofErr w:type="spellEnd"/>
      <w:r>
        <w:rPr>
          <w:sz w:val="22"/>
          <w:szCs w:val="22"/>
        </w:rPr>
        <w:t xml:space="preserve"> Cyton 8-channel board with an </w:t>
      </w:r>
      <w:proofErr w:type="spellStart"/>
      <w:r>
        <w:rPr>
          <w:sz w:val="22"/>
          <w:szCs w:val="22"/>
        </w:rPr>
        <w:t>Ultracortex</w:t>
      </w:r>
      <w:proofErr w:type="spellEnd"/>
      <w:r>
        <w:rPr>
          <w:sz w:val="22"/>
          <w:szCs w:val="22"/>
        </w:rPr>
        <w:t xml:space="preserve"> Mark IV headset in size Large, using the factory dry comb electrodes. Measured head circumference is 62 cm, inside the 58–65 cm </w:t>
      </w:r>
      <w:proofErr w:type="gramStart"/>
      <w:r>
        <w:rPr>
          <w:sz w:val="22"/>
          <w:szCs w:val="22"/>
        </w:rPr>
        <w:t>Large</w:t>
      </w:r>
      <w:proofErr w:type="gramEnd"/>
      <w:r>
        <w:rPr>
          <w:sz w:val="22"/>
          <w:szCs w:val="22"/>
        </w:rPr>
        <w:t xml:space="preserve"> range with margin at both ends.</w:t>
      </w:r>
    </w:p>
    <w:p w14:paraId="03DCDE06" w14:textId="77777777" w:rsidR="0090527B" w:rsidRDefault="00000000">
      <w:pPr>
        <w:spacing w:after="130" w:line="276" w:lineRule="auto"/>
      </w:pPr>
      <w:proofErr w:type="gramStart"/>
      <w:r>
        <w:rPr>
          <w:sz w:val="22"/>
          <w:szCs w:val="22"/>
        </w:rPr>
        <w:lastRenderedPageBreak/>
        <w:t>The Cyton</w:t>
      </w:r>
      <w:proofErr w:type="gramEnd"/>
      <w:r>
        <w:rPr>
          <w:sz w:val="22"/>
          <w:szCs w:val="22"/>
        </w:rPr>
        <w:t xml:space="preserve"> is </w:t>
      </w:r>
      <w:proofErr w:type="gramStart"/>
      <w:r>
        <w:rPr>
          <w:sz w:val="22"/>
          <w:szCs w:val="22"/>
        </w:rPr>
        <w:t>the</w:t>
      </w:r>
      <w:proofErr w:type="gramEnd"/>
      <w:r>
        <w:rPr>
          <w:sz w:val="22"/>
          <w:szCs w:val="22"/>
        </w:rPr>
        <w:t xml:space="preserve"> amplifier and digitizer: a 24-bit converter sampling eight channels at 250 Hz and streaming over a USB dongle. It has no fixed relationship </w:t>
      </w:r>
      <w:proofErr w:type="gramStart"/>
      <w:r>
        <w:rPr>
          <w:sz w:val="22"/>
          <w:szCs w:val="22"/>
        </w:rPr>
        <w:t>to</w:t>
      </w:r>
      <w:proofErr w:type="gramEnd"/>
      <w:r>
        <w:rPr>
          <w:sz w:val="22"/>
          <w:szCs w:val="22"/>
        </w:rPr>
        <w:t xml:space="preserve"> scalp locations. The </w:t>
      </w:r>
      <w:proofErr w:type="spellStart"/>
      <w:r>
        <w:rPr>
          <w:sz w:val="22"/>
          <w:szCs w:val="22"/>
        </w:rPr>
        <w:t>Ultracortex</w:t>
      </w:r>
      <w:proofErr w:type="spellEnd"/>
      <w:r>
        <w:rPr>
          <w:sz w:val="22"/>
          <w:szCs w:val="22"/>
        </w:rPr>
        <w:t xml:space="preserve"> is the headgear that places electrodes at selectable 10-20 positions and holds them against the scalp under spring pressure, and it is what makes the montage above achievable. Neither component is useful alone for this project.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300"/>
        <w:gridCol w:w="4600"/>
      </w:tblGrid>
      <w:tr w:rsidR="0090527B" w14:paraId="0B6EA5AA" w14:textId="77777777">
        <w:tblPrEx>
          <w:tblCellMar>
            <w:top w:w="0" w:type="dxa"/>
            <w:bottom w:w="0" w:type="dxa"/>
          </w:tblCellMar>
        </w:tblPrEx>
        <w:trPr>
          <w:tblHeader/>
        </w:trPr>
        <w:tc>
          <w:tcPr>
            <w:tcW w:w="3100" w:type="dxa"/>
            <w:shd w:val="clear" w:color="auto" w:fill="D9E2F3"/>
            <w:tcMar>
              <w:top w:w="80" w:type="dxa"/>
              <w:left w:w="110" w:type="dxa"/>
              <w:bottom w:w="80" w:type="dxa"/>
              <w:right w:w="110" w:type="dxa"/>
            </w:tcMar>
          </w:tcPr>
          <w:p w14:paraId="4B3E49EC" w14:textId="77777777" w:rsidR="0090527B" w:rsidRDefault="00000000">
            <w:pPr>
              <w:spacing w:line="250" w:lineRule="auto"/>
            </w:pPr>
            <w:r>
              <w:rPr>
                <w:b/>
                <w:bCs/>
              </w:rPr>
              <w:t>Option</w:t>
            </w:r>
          </w:p>
        </w:tc>
        <w:tc>
          <w:tcPr>
            <w:tcW w:w="2300" w:type="dxa"/>
            <w:shd w:val="clear" w:color="auto" w:fill="D9E2F3"/>
            <w:tcMar>
              <w:top w:w="80" w:type="dxa"/>
              <w:left w:w="110" w:type="dxa"/>
              <w:bottom w:w="80" w:type="dxa"/>
              <w:right w:w="110" w:type="dxa"/>
            </w:tcMar>
          </w:tcPr>
          <w:p w14:paraId="2FA6AFFD" w14:textId="77777777" w:rsidR="0090527B" w:rsidRDefault="00000000">
            <w:pPr>
              <w:spacing w:line="250" w:lineRule="auto"/>
            </w:pPr>
            <w:r>
              <w:rPr>
                <w:b/>
                <w:bCs/>
              </w:rPr>
              <w:t>Approximate cost</w:t>
            </w:r>
          </w:p>
        </w:tc>
        <w:tc>
          <w:tcPr>
            <w:tcW w:w="4600" w:type="dxa"/>
            <w:shd w:val="clear" w:color="auto" w:fill="D9E2F3"/>
            <w:tcMar>
              <w:top w:w="80" w:type="dxa"/>
              <w:left w:w="110" w:type="dxa"/>
              <w:bottom w:w="80" w:type="dxa"/>
              <w:right w:w="110" w:type="dxa"/>
            </w:tcMar>
          </w:tcPr>
          <w:p w14:paraId="28BA3ACD" w14:textId="77777777" w:rsidR="0090527B" w:rsidRDefault="00000000">
            <w:pPr>
              <w:spacing w:line="250" w:lineRule="auto"/>
            </w:pPr>
            <w:r>
              <w:rPr>
                <w:b/>
                <w:bCs/>
              </w:rPr>
              <w:t>Assessment</w:t>
            </w:r>
          </w:p>
        </w:tc>
      </w:tr>
      <w:tr w:rsidR="0090527B" w14:paraId="2313C8A8" w14:textId="77777777">
        <w:tblPrEx>
          <w:tblCellMar>
            <w:top w:w="0" w:type="dxa"/>
            <w:bottom w:w="0" w:type="dxa"/>
          </w:tblCellMar>
        </w:tblPrEx>
        <w:tc>
          <w:tcPr>
            <w:tcW w:w="3100" w:type="dxa"/>
            <w:tcMar>
              <w:top w:w="80" w:type="dxa"/>
              <w:left w:w="110" w:type="dxa"/>
              <w:bottom w:w="80" w:type="dxa"/>
              <w:right w:w="110" w:type="dxa"/>
            </w:tcMar>
          </w:tcPr>
          <w:p w14:paraId="2ED62068" w14:textId="77777777" w:rsidR="0090527B" w:rsidRDefault="00000000">
            <w:pPr>
              <w:spacing w:line="250" w:lineRule="auto"/>
            </w:pPr>
            <w:r>
              <w:t>Cyton board alone</w:t>
            </w:r>
          </w:p>
        </w:tc>
        <w:tc>
          <w:tcPr>
            <w:tcW w:w="2300" w:type="dxa"/>
            <w:tcMar>
              <w:top w:w="80" w:type="dxa"/>
              <w:left w:w="110" w:type="dxa"/>
              <w:bottom w:w="80" w:type="dxa"/>
              <w:right w:w="110" w:type="dxa"/>
            </w:tcMar>
          </w:tcPr>
          <w:p w14:paraId="67A611B7" w14:textId="77777777" w:rsidR="0090527B" w:rsidRDefault="00000000">
            <w:pPr>
              <w:spacing w:line="250" w:lineRule="auto"/>
            </w:pPr>
            <w:r>
              <w:t>$1,249</w:t>
            </w:r>
          </w:p>
        </w:tc>
        <w:tc>
          <w:tcPr>
            <w:tcW w:w="4600" w:type="dxa"/>
            <w:tcMar>
              <w:top w:w="80" w:type="dxa"/>
              <w:left w:w="110" w:type="dxa"/>
              <w:bottom w:w="80" w:type="dxa"/>
              <w:right w:w="110" w:type="dxa"/>
            </w:tcMar>
          </w:tcPr>
          <w:p w14:paraId="690294CF" w14:textId="77777777" w:rsidR="0090527B" w:rsidRDefault="00000000">
            <w:pPr>
              <w:spacing w:line="250" w:lineRule="auto"/>
            </w:pPr>
            <w:r>
              <w:t>Amplifier only. No electrodes or headgear; cannot record EEG as delivered.</w:t>
            </w:r>
          </w:p>
        </w:tc>
      </w:tr>
      <w:tr w:rsidR="0090527B" w14:paraId="7F9BC33E" w14:textId="77777777">
        <w:tblPrEx>
          <w:tblCellMar>
            <w:top w:w="0" w:type="dxa"/>
            <w:bottom w:w="0" w:type="dxa"/>
          </w:tblCellMar>
        </w:tblPrEx>
        <w:tc>
          <w:tcPr>
            <w:tcW w:w="3100" w:type="dxa"/>
            <w:tcMar>
              <w:top w:w="80" w:type="dxa"/>
              <w:left w:w="110" w:type="dxa"/>
              <w:bottom w:w="80" w:type="dxa"/>
              <w:right w:w="110" w:type="dxa"/>
            </w:tcMar>
          </w:tcPr>
          <w:p w14:paraId="49058762" w14:textId="77777777" w:rsidR="0090527B" w:rsidRDefault="00000000">
            <w:pPr>
              <w:spacing w:line="250" w:lineRule="auto"/>
            </w:pPr>
            <w:r>
              <w:t xml:space="preserve">Cyton plus </w:t>
            </w:r>
            <w:proofErr w:type="spellStart"/>
            <w:r>
              <w:t>Ultracortex</w:t>
            </w:r>
            <w:proofErr w:type="spellEnd"/>
            <w:r>
              <w:t xml:space="preserve"> Mark IV, 8 channels</w:t>
            </w:r>
          </w:p>
        </w:tc>
        <w:tc>
          <w:tcPr>
            <w:tcW w:w="2300" w:type="dxa"/>
            <w:tcMar>
              <w:top w:w="80" w:type="dxa"/>
              <w:left w:w="110" w:type="dxa"/>
              <w:bottom w:w="80" w:type="dxa"/>
              <w:right w:w="110" w:type="dxa"/>
            </w:tcMar>
          </w:tcPr>
          <w:p w14:paraId="742796D6" w14:textId="77777777" w:rsidR="0090527B" w:rsidRDefault="00000000">
            <w:pPr>
              <w:spacing w:line="250" w:lineRule="auto"/>
            </w:pPr>
            <w:r>
              <w:t>$2,100–$3,000 depending on assembly level</w:t>
            </w:r>
          </w:p>
        </w:tc>
        <w:tc>
          <w:tcPr>
            <w:tcW w:w="4600" w:type="dxa"/>
            <w:tcMar>
              <w:top w:w="80" w:type="dxa"/>
              <w:left w:w="110" w:type="dxa"/>
              <w:bottom w:w="80" w:type="dxa"/>
              <w:right w:w="110" w:type="dxa"/>
            </w:tcMar>
          </w:tcPr>
          <w:p w14:paraId="2DD28096" w14:textId="77777777" w:rsidR="0090527B" w:rsidRDefault="00000000">
            <w:pPr>
              <w:spacing w:line="250" w:lineRule="auto"/>
            </w:pPr>
            <w:r>
              <w:t xml:space="preserve">Selected. Self-applicable without assistance and repeatable positioning, which </w:t>
            </w:r>
            <w:proofErr w:type="gramStart"/>
            <w:r>
              <w:t>matter</w:t>
            </w:r>
            <w:proofErr w:type="gramEnd"/>
            <w:r>
              <w:t xml:space="preserve"> for a single operator who is also the subject.</w:t>
            </w:r>
          </w:p>
        </w:tc>
      </w:tr>
      <w:tr w:rsidR="0090527B" w14:paraId="2367DEE5" w14:textId="77777777">
        <w:tblPrEx>
          <w:tblCellMar>
            <w:top w:w="0" w:type="dxa"/>
            <w:bottom w:w="0" w:type="dxa"/>
          </w:tblCellMar>
        </w:tblPrEx>
        <w:tc>
          <w:tcPr>
            <w:tcW w:w="3100" w:type="dxa"/>
            <w:tcMar>
              <w:top w:w="80" w:type="dxa"/>
              <w:left w:w="110" w:type="dxa"/>
              <w:bottom w:w="80" w:type="dxa"/>
              <w:right w:w="110" w:type="dxa"/>
            </w:tcMar>
          </w:tcPr>
          <w:p w14:paraId="159E300A" w14:textId="77777777" w:rsidR="0090527B" w:rsidRDefault="00000000">
            <w:pPr>
              <w:spacing w:line="250" w:lineRule="auto"/>
            </w:pPr>
            <w:r>
              <w:t>Cyton plus gold cup electrodes, paste and tape</w:t>
            </w:r>
          </w:p>
        </w:tc>
        <w:tc>
          <w:tcPr>
            <w:tcW w:w="2300" w:type="dxa"/>
            <w:tcMar>
              <w:top w:w="80" w:type="dxa"/>
              <w:left w:w="110" w:type="dxa"/>
              <w:bottom w:w="80" w:type="dxa"/>
              <w:right w:w="110" w:type="dxa"/>
            </w:tcMar>
          </w:tcPr>
          <w:p w14:paraId="70A5B5B0" w14:textId="77777777" w:rsidR="0090527B" w:rsidRDefault="00000000">
            <w:pPr>
              <w:spacing w:line="250" w:lineRule="auto"/>
            </w:pPr>
            <w:r>
              <w:t>$1,300–$1,400</w:t>
            </w:r>
          </w:p>
        </w:tc>
        <w:tc>
          <w:tcPr>
            <w:tcW w:w="4600" w:type="dxa"/>
            <w:tcMar>
              <w:top w:w="80" w:type="dxa"/>
              <w:left w:w="110" w:type="dxa"/>
              <w:bottom w:w="80" w:type="dxa"/>
              <w:right w:w="110" w:type="dxa"/>
            </w:tcMar>
          </w:tcPr>
          <w:p w14:paraId="20381AC6" w14:textId="77777777" w:rsidR="0090527B" w:rsidRDefault="00000000">
            <w:pPr>
              <w:spacing w:line="250" w:lineRule="auto"/>
            </w:pPr>
            <w:r>
              <w:t>Better signal quality (wet passive electrodes outperform dry passive) and far cheaper, but self-application at parietal sites under hair is impractical without a second person. Retained as a backup for individual sites.</w:t>
            </w:r>
          </w:p>
        </w:tc>
      </w:tr>
    </w:tbl>
    <w:p w14:paraId="62DEBD2C" w14:textId="77777777" w:rsidR="0090527B" w:rsidRDefault="0090527B">
      <w:pPr>
        <w:spacing w:after="90" w:line="276" w:lineRule="auto"/>
      </w:pPr>
    </w:p>
    <w:p w14:paraId="160C33DA" w14:textId="77777777" w:rsidR="0090527B" w:rsidRDefault="00000000">
      <w:pPr>
        <w:pStyle w:val="Heading2"/>
        <w:spacing w:before="230" w:after="100"/>
      </w:pPr>
      <w:r>
        <w:rPr>
          <w:b/>
          <w:bCs/>
          <w:color w:val="1F3864"/>
          <w:sz w:val="24"/>
          <w:szCs w:val="24"/>
        </w:rPr>
        <w:t>A8.3 Validation gate</w:t>
      </w:r>
    </w:p>
    <w:p w14:paraId="6D2DF720" w14:textId="77777777" w:rsidR="0090527B" w:rsidRDefault="00000000">
      <w:pPr>
        <w:spacing w:after="130" w:line="276" w:lineRule="auto"/>
      </w:pPr>
      <w:r>
        <w:rPr>
          <w:sz w:val="22"/>
          <w:szCs w:val="22"/>
        </w:rPr>
        <w:t>Assembly and configuration are budgeted at several hours to two days, running as a parallel track from week 4. Hardware is not considered ready until it passes an explicit validation gate, which is treated as a pass/fail condition on the EEG half of the project:</w:t>
      </w:r>
    </w:p>
    <w:p w14:paraId="176E8B07" w14:textId="77777777" w:rsidR="0090527B" w:rsidRDefault="00000000">
      <w:pPr>
        <w:pStyle w:val="ListParagraph"/>
        <w:numPr>
          <w:ilvl w:val="0"/>
          <w:numId w:val="2"/>
        </w:numPr>
        <w:spacing w:after="80" w:line="276" w:lineRule="auto"/>
      </w:pPr>
      <w:r>
        <w:rPr>
          <w:sz w:val="22"/>
          <w:szCs w:val="22"/>
        </w:rPr>
        <w:t xml:space="preserve">Per-channel impedance checked through the </w:t>
      </w:r>
      <w:proofErr w:type="spellStart"/>
      <w:r>
        <w:rPr>
          <w:sz w:val="22"/>
          <w:szCs w:val="22"/>
        </w:rPr>
        <w:t>OpenBCI</w:t>
      </w:r>
      <w:proofErr w:type="spellEnd"/>
      <w:r>
        <w:rPr>
          <w:sz w:val="22"/>
          <w:szCs w:val="22"/>
        </w:rPr>
        <w:t xml:space="preserve"> GUI, with unused channels disabled.</w:t>
      </w:r>
    </w:p>
    <w:p w14:paraId="06D83D86" w14:textId="77777777" w:rsidR="0090527B" w:rsidRDefault="00000000">
      <w:pPr>
        <w:pStyle w:val="ListParagraph"/>
        <w:numPr>
          <w:ilvl w:val="0"/>
          <w:numId w:val="2"/>
        </w:numPr>
        <w:spacing w:after="80" w:line="276" w:lineRule="auto"/>
      </w:pPr>
      <w:r>
        <w:rPr>
          <w:sz w:val="22"/>
          <w:szCs w:val="22"/>
        </w:rPr>
        <w:t>Eyes-closed alpha increase demonstrated at parietal and occipital sites. This is the decisive test: if closing the eyes does not raise alpha, the index cannot work.</w:t>
      </w:r>
    </w:p>
    <w:p w14:paraId="30BCF713" w14:textId="77777777" w:rsidR="0090527B" w:rsidRDefault="00000000">
      <w:pPr>
        <w:pStyle w:val="ListParagraph"/>
        <w:numPr>
          <w:ilvl w:val="0"/>
          <w:numId w:val="2"/>
        </w:numPr>
        <w:spacing w:after="80" w:line="276" w:lineRule="auto"/>
      </w:pPr>
      <w:r>
        <w:rPr>
          <w:sz w:val="22"/>
          <w:szCs w:val="22"/>
        </w:rPr>
        <w:t>Blink and jaw-clench responses confirmed on the appropriate channels. These double as calibration for the artifact-control block in A6.2.</w:t>
      </w:r>
    </w:p>
    <w:p w14:paraId="5C5F72FC" w14:textId="77777777" w:rsidR="0090527B" w:rsidRDefault="00000000">
      <w:pPr>
        <w:pStyle w:val="ListParagraph"/>
        <w:numPr>
          <w:ilvl w:val="0"/>
          <w:numId w:val="2"/>
        </w:numPr>
        <w:spacing w:after="80" w:line="276" w:lineRule="auto"/>
      </w:pPr>
      <w:r>
        <w:rPr>
          <w:sz w:val="22"/>
          <w:szCs w:val="22"/>
        </w:rPr>
        <w:t>Mains notch filter set to 60 Hz, both ear clip electrodes (reference and bias) confirmed, and the dongle placed away from the desk surface on an extension.</w:t>
      </w:r>
    </w:p>
    <w:p w14:paraId="54CB1AA4" w14:textId="77777777" w:rsidR="0090527B" w:rsidRDefault="00000000">
      <w:pPr>
        <w:pStyle w:val="Heading2"/>
        <w:spacing w:before="230" w:after="100"/>
      </w:pPr>
      <w:r>
        <w:rPr>
          <w:b/>
          <w:bCs/>
          <w:color w:val="1F3864"/>
          <w:sz w:val="24"/>
          <w:szCs w:val="24"/>
        </w:rPr>
        <w:t>A8.4 Known risk of the dry-electrode choice</w:t>
      </w:r>
    </w:p>
    <w:p w14:paraId="0EC9F167" w14:textId="77777777" w:rsidR="0090527B" w:rsidRDefault="00000000">
      <w:pPr>
        <w:spacing w:after="130" w:line="276" w:lineRule="auto"/>
      </w:pPr>
      <w:r>
        <w:rPr>
          <w:sz w:val="22"/>
          <w:szCs w:val="22"/>
        </w:rPr>
        <w:t xml:space="preserve">Dry passive comb electrodes are the least </w:t>
      </w:r>
      <w:proofErr w:type="spellStart"/>
      <w:r>
        <w:rPr>
          <w:sz w:val="22"/>
          <w:szCs w:val="22"/>
        </w:rPr>
        <w:t>favourable</w:t>
      </w:r>
      <w:proofErr w:type="spellEnd"/>
      <w:r>
        <w:rPr>
          <w:sz w:val="22"/>
          <w:szCs w:val="22"/>
        </w:rPr>
        <w:t xml:space="preserve"> option for parietal recording under hair, and community reports document repeated difficulty obtaining eyes-closed alpha with this configuration, in some cases across multiple subjects and several days of troubleshooting. Common causes are ear clip connection faults, insufficient electrode pressure, incorrect notch filtering, mains noise, and an incorrectly sized frame.</w:t>
      </w:r>
    </w:p>
    <w:p w14:paraId="743EBE80" w14:textId="77777777" w:rsidR="0090527B" w:rsidRDefault="00000000">
      <w:pPr>
        <w:spacing w:after="130" w:line="276" w:lineRule="auto"/>
      </w:pPr>
      <w:r>
        <w:rPr>
          <w:sz w:val="22"/>
          <w:szCs w:val="22"/>
        </w:rPr>
        <w:t>This risk is accepted in exchange for setup speed and repeatable self-application, and it is mitigated three ways: the validation gate detects the failure in week 5 rather than after the recording session; the theta-only degraded mode in A3.4 keeps the project viable without the alpha term; and gold cup electrodes with conductive paste are purchased alongside the headset so individual parietal sites can be gelled without waiting for a delivery.</w:t>
      </w:r>
    </w:p>
    <w:p w14:paraId="261F3CA6" w14:textId="77777777" w:rsidR="0090527B" w:rsidRDefault="00000000">
      <w:pPr>
        <w:pStyle w:val="Heading2"/>
        <w:spacing w:before="230" w:after="100"/>
      </w:pPr>
      <w:r>
        <w:rPr>
          <w:b/>
          <w:bCs/>
          <w:color w:val="1F3864"/>
          <w:sz w:val="24"/>
          <w:szCs w:val="24"/>
        </w:rPr>
        <w:t>A8.5 Procurement and contingency</w:t>
      </w:r>
    </w:p>
    <w:p w14:paraId="1766616F" w14:textId="77777777" w:rsidR="0090527B" w:rsidRDefault="00000000">
      <w:pPr>
        <w:spacing w:after="130" w:line="276" w:lineRule="auto"/>
      </w:pPr>
      <w:r>
        <w:rPr>
          <w:sz w:val="22"/>
          <w:szCs w:val="22"/>
        </w:rPr>
        <w:t>The order is placed in week 1 against a week 6 recording, and availability has historically fluctuated. The pipeline is developed against public data so that hardware is off the critical path until validation. If hardware or validation slips past week 6, the pre-registered fallback in A9 is executed rather than improvised.</w:t>
      </w:r>
    </w:p>
    <w:p w14:paraId="4DB48A7B" w14:textId="77777777" w:rsidR="0090527B" w:rsidRDefault="00000000">
      <w:pPr>
        <w:pStyle w:val="Heading1"/>
        <w:spacing w:before="330" w:after="140"/>
      </w:pPr>
      <w:r>
        <w:rPr>
          <w:b/>
          <w:bCs/>
          <w:color w:val="1F3864"/>
          <w:sz w:val="28"/>
          <w:szCs w:val="28"/>
        </w:rPr>
        <w:lastRenderedPageBreak/>
        <w:t>A9. Contingency if the EEG Component Cannot Run</w:t>
      </w:r>
    </w:p>
    <w:p w14:paraId="22318280" w14:textId="77777777" w:rsidR="0090527B" w:rsidRDefault="00000000">
      <w:pPr>
        <w:spacing w:after="130" w:line="276" w:lineRule="auto"/>
      </w:pPr>
      <w:r>
        <w:rPr>
          <w:sz w:val="22"/>
          <w:szCs w:val="22"/>
        </w:rPr>
        <w:t xml:space="preserve">A decision point is fixed at the end of week 6. If the recording session has not happened, or if Gate 2 shows no usable correspondence between human and agent difficulty rankings, the EEG component is </w:t>
      </w:r>
      <w:proofErr w:type="gramStart"/>
      <w:r>
        <w:rPr>
          <w:sz w:val="22"/>
          <w:szCs w:val="22"/>
        </w:rPr>
        <w:t>withdrawn</w:t>
      </w:r>
      <w:proofErr w:type="gramEnd"/>
      <w:r>
        <w:rPr>
          <w:sz w:val="22"/>
          <w:szCs w:val="22"/>
        </w:rPr>
        <w:t xml:space="preserve"> and a reduced study is executed and reported.</w:t>
      </w:r>
    </w:p>
    <w:p w14:paraId="60683EF7" w14:textId="77777777" w:rsidR="0090527B" w:rsidRDefault="00000000">
      <w:pPr>
        <w:spacing w:after="130" w:line="276" w:lineRule="auto"/>
      </w:pPr>
      <w:r>
        <w:rPr>
          <w:sz w:val="22"/>
          <w:szCs w:val="22"/>
        </w:rPr>
        <w:t>The reduced study retains the environment, the RL baseline, the human and agent difficulty measurements, and the non-EEG curriculum comparisons (static, random, agent-performance-ordered, and human-</w:t>
      </w:r>
      <w:proofErr w:type="spellStart"/>
      <w:r>
        <w:rPr>
          <w:sz w:val="22"/>
          <w:szCs w:val="22"/>
        </w:rPr>
        <w:t>behavioural</w:t>
      </w:r>
      <w:proofErr w:type="spellEnd"/>
      <w:r>
        <w:rPr>
          <w:sz w:val="22"/>
          <w:szCs w:val="22"/>
        </w:rPr>
        <w:t xml:space="preserve">-ordered). That remains a controlled curriculum experiment with a defensible question: whether </w:t>
      </w:r>
      <w:proofErr w:type="gramStart"/>
      <w:r>
        <w:rPr>
          <w:sz w:val="22"/>
          <w:szCs w:val="22"/>
        </w:rPr>
        <w:t>a human</w:t>
      </w:r>
      <w:proofErr w:type="gramEnd"/>
      <w:r>
        <w:rPr>
          <w:sz w:val="22"/>
          <w:szCs w:val="22"/>
        </w:rPr>
        <w:t>-</w:t>
      </w:r>
      <w:proofErr w:type="spellStart"/>
      <w:r>
        <w:rPr>
          <w:sz w:val="22"/>
          <w:szCs w:val="22"/>
        </w:rPr>
        <w:t>behavioural</w:t>
      </w:r>
      <w:proofErr w:type="spellEnd"/>
      <w:r>
        <w:rPr>
          <w:sz w:val="22"/>
          <w:szCs w:val="22"/>
        </w:rPr>
        <w:t xml:space="preserve"> difficulty ordering improves agent generalization relative to agent-derived and uninformed orderings.</w:t>
      </w:r>
    </w:p>
    <w:p w14:paraId="1A447B19" w14:textId="77777777" w:rsidR="0090527B" w:rsidRDefault="00000000">
      <w:pPr>
        <w:spacing w:after="130" w:line="276" w:lineRule="auto"/>
      </w:pPr>
      <w:r>
        <w:rPr>
          <w:sz w:val="22"/>
          <w:szCs w:val="22"/>
        </w:rPr>
        <w:t xml:space="preserve">The reduced analysis is pre-registered now, with the same statistical treatment, so that executing it is a planned branch rather than a redesign under time pressure. Whichever branch is taken, all conditions and all seeds are reported with the pre-registered tests, including results that do not </w:t>
      </w:r>
      <w:proofErr w:type="spellStart"/>
      <w:r>
        <w:rPr>
          <w:sz w:val="22"/>
          <w:szCs w:val="22"/>
        </w:rPr>
        <w:t>favour</w:t>
      </w:r>
      <w:proofErr w:type="spellEnd"/>
      <w:r>
        <w:rPr>
          <w:sz w:val="22"/>
          <w:szCs w:val="22"/>
        </w:rPr>
        <w:t xml:space="preserve"> the hypothesis.</w:t>
      </w:r>
    </w:p>
    <w:p w14:paraId="5033411A" w14:textId="77777777" w:rsidR="0090527B" w:rsidRDefault="00000000">
      <w:pPr>
        <w:pStyle w:val="Heading1"/>
        <w:spacing w:before="330" w:after="140"/>
      </w:pPr>
      <w:r>
        <w:rPr>
          <w:b/>
          <w:bCs/>
          <w:color w:val="1F3864"/>
          <w:sz w:val="28"/>
          <w:szCs w:val="28"/>
        </w:rPr>
        <w:t>A10. Implementation Stack</w:t>
      </w:r>
    </w:p>
    <w:p w14:paraId="5955662C" w14:textId="77777777" w:rsidR="0090527B" w:rsidRDefault="00000000">
      <w:pPr>
        <w:spacing w:after="130" w:line="276" w:lineRule="auto"/>
      </w:pPr>
      <w:r>
        <w:rPr>
          <w:sz w:val="22"/>
          <w:szCs w:val="22"/>
        </w:rPr>
        <w:t>The project is implemented from first principles in Python and NumPy, with one deliberate exception. The division follows a single rule: components where a subtle bug would confound the experiment rather than merely delay it are the components worth borrowing.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00"/>
        <w:gridCol w:w="4700"/>
      </w:tblGrid>
      <w:tr w:rsidR="0090527B" w14:paraId="57B51200" w14:textId="77777777">
        <w:tblPrEx>
          <w:tblCellMar>
            <w:top w:w="0" w:type="dxa"/>
            <w:bottom w:w="0" w:type="dxa"/>
          </w:tblCellMar>
        </w:tblPrEx>
        <w:trPr>
          <w:tblHeader/>
        </w:trPr>
        <w:tc>
          <w:tcPr>
            <w:tcW w:w="2700" w:type="dxa"/>
            <w:shd w:val="clear" w:color="auto" w:fill="D9E2F3"/>
            <w:tcMar>
              <w:top w:w="80" w:type="dxa"/>
              <w:left w:w="110" w:type="dxa"/>
              <w:bottom w:w="80" w:type="dxa"/>
              <w:right w:w="110" w:type="dxa"/>
            </w:tcMar>
          </w:tcPr>
          <w:p w14:paraId="3C3D9D1F" w14:textId="77777777" w:rsidR="0090527B" w:rsidRDefault="00000000">
            <w:pPr>
              <w:spacing w:line="250" w:lineRule="auto"/>
            </w:pPr>
            <w:r>
              <w:rPr>
                <w:b/>
                <w:bCs/>
              </w:rPr>
              <w:t>Component</w:t>
            </w:r>
          </w:p>
        </w:tc>
        <w:tc>
          <w:tcPr>
            <w:tcW w:w="2600" w:type="dxa"/>
            <w:shd w:val="clear" w:color="auto" w:fill="D9E2F3"/>
            <w:tcMar>
              <w:top w:w="80" w:type="dxa"/>
              <w:left w:w="110" w:type="dxa"/>
              <w:bottom w:w="80" w:type="dxa"/>
              <w:right w:w="110" w:type="dxa"/>
            </w:tcMar>
          </w:tcPr>
          <w:p w14:paraId="22C180C3" w14:textId="77777777" w:rsidR="0090527B" w:rsidRDefault="00000000">
            <w:pPr>
              <w:spacing w:line="250" w:lineRule="auto"/>
            </w:pPr>
            <w:r>
              <w:rPr>
                <w:b/>
                <w:bCs/>
              </w:rPr>
              <w:t>Implementation</w:t>
            </w:r>
          </w:p>
        </w:tc>
        <w:tc>
          <w:tcPr>
            <w:tcW w:w="4700" w:type="dxa"/>
            <w:shd w:val="clear" w:color="auto" w:fill="D9E2F3"/>
            <w:tcMar>
              <w:top w:w="80" w:type="dxa"/>
              <w:left w:w="110" w:type="dxa"/>
              <w:bottom w:w="80" w:type="dxa"/>
              <w:right w:w="110" w:type="dxa"/>
            </w:tcMar>
          </w:tcPr>
          <w:p w14:paraId="74756BCA" w14:textId="77777777" w:rsidR="0090527B" w:rsidRDefault="00000000">
            <w:pPr>
              <w:spacing w:line="250" w:lineRule="auto"/>
            </w:pPr>
            <w:r>
              <w:rPr>
                <w:b/>
                <w:bCs/>
              </w:rPr>
              <w:t>Rationale</w:t>
            </w:r>
          </w:p>
        </w:tc>
      </w:tr>
      <w:tr w:rsidR="0090527B" w14:paraId="222B33DA" w14:textId="77777777">
        <w:tblPrEx>
          <w:tblCellMar>
            <w:top w:w="0" w:type="dxa"/>
            <w:bottom w:w="0" w:type="dxa"/>
          </w:tblCellMar>
        </w:tblPrEx>
        <w:tc>
          <w:tcPr>
            <w:tcW w:w="2700" w:type="dxa"/>
            <w:tcMar>
              <w:top w:w="80" w:type="dxa"/>
              <w:left w:w="110" w:type="dxa"/>
              <w:bottom w:w="80" w:type="dxa"/>
              <w:right w:w="110" w:type="dxa"/>
            </w:tcMar>
          </w:tcPr>
          <w:p w14:paraId="58808050" w14:textId="77777777" w:rsidR="0090527B" w:rsidRDefault="00000000">
            <w:pPr>
              <w:spacing w:line="250" w:lineRule="auto"/>
            </w:pPr>
            <w:r>
              <w:t>Combat environment</w:t>
            </w:r>
          </w:p>
        </w:tc>
        <w:tc>
          <w:tcPr>
            <w:tcW w:w="2600" w:type="dxa"/>
            <w:tcMar>
              <w:top w:w="80" w:type="dxa"/>
              <w:left w:w="110" w:type="dxa"/>
              <w:bottom w:w="80" w:type="dxa"/>
              <w:right w:w="110" w:type="dxa"/>
            </w:tcMar>
          </w:tcPr>
          <w:p w14:paraId="54C74FA2" w14:textId="77777777" w:rsidR="0090527B" w:rsidRDefault="00000000">
            <w:pPr>
              <w:spacing w:line="250" w:lineRule="auto"/>
            </w:pPr>
            <w:r>
              <w:t>From scratch, Python and NumPy only</w:t>
            </w:r>
          </w:p>
        </w:tc>
        <w:tc>
          <w:tcPr>
            <w:tcW w:w="4700" w:type="dxa"/>
            <w:tcMar>
              <w:top w:w="80" w:type="dxa"/>
              <w:left w:w="110" w:type="dxa"/>
              <w:bottom w:w="80" w:type="dxa"/>
              <w:right w:w="110" w:type="dxa"/>
            </w:tcMar>
          </w:tcPr>
          <w:p w14:paraId="7D46DA22" w14:textId="77777777" w:rsidR="0090527B" w:rsidRDefault="00000000">
            <w:pPr>
              <w:spacing w:line="250" w:lineRule="auto"/>
            </w:pPr>
            <w:r>
              <w:t>No RL library dependency. Already implemented, tested for determinism, ~270 episodes/sec headless.</w:t>
            </w:r>
          </w:p>
        </w:tc>
      </w:tr>
      <w:tr w:rsidR="0090527B" w14:paraId="01122592" w14:textId="77777777">
        <w:tblPrEx>
          <w:tblCellMar>
            <w:top w:w="0" w:type="dxa"/>
            <w:bottom w:w="0" w:type="dxa"/>
          </w:tblCellMar>
        </w:tblPrEx>
        <w:tc>
          <w:tcPr>
            <w:tcW w:w="2700" w:type="dxa"/>
            <w:tcMar>
              <w:top w:w="80" w:type="dxa"/>
              <w:left w:w="110" w:type="dxa"/>
              <w:bottom w:w="80" w:type="dxa"/>
              <w:right w:w="110" w:type="dxa"/>
            </w:tcMar>
          </w:tcPr>
          <w:p w14:paraId="6E710271" w14:textId="77777777" w:rsidR="0090527B" w:rsidRDefault="00000000">
            <w:pPr>
              <w:spacing w:line="250" w:lineRule="auto"/>
            </w:pPr>
            <w:r>
              <w:t>Curriculum sampler</w:t>
            </w:r>
          </w:p>
        </w:tc>
        <w:tc>
          <w:tcPr>
            <w:tcW w:w="2600" w:type="dxa"/>
            <w:tcMar>
              <w:top w:w="80" w:type="dxa"/>
              <w:left w:w="110" w:type="dxa"/>
              <w:bottom w:w="80" w:type="dxa"/>
              <w:right w:w="110" w:type="dxa"/>
            </w:tcMar>
          </w:tcPr>
          <w:p w14:paraId="00779780" w14:textId="77777777" w:rsidR="0090527B" w:rsidRDefault="00000000">
            <w:pPr>
              <w:spacing w:line="250" w:lineRule="auto"/>
            </w:pPr>
            <w:r>
              <w:t>From scratch, NumPy</w:t>
            </w:r>
          </w:p>
        </w:tc>
        <w:tc>
          <w:tcPr>
            <w:tcW w:w="4700" w:type="dxa"/>
            <w:tcMar>
              <w:top w:w="80" w:type="dxa"/>
              <w:left w:w="110" w:type="dxa"/>
              <w:bottom w:w="80" w:type="dxa"/>
              <w:right w:w="110" w:type="dxa"/>
            </w:tcMar>
          </w:tcPr>
          <w:p w14:paraId="06FBB317" w14:textId="77777777" w:rsidR="0090527B" w:rsidRDefault="00000000">
            <w:pPr>
              <w:spacing w:line="250" w:lineRule="auto"/>
            </w:pPr>
            <w:r>
              <w:t>The novel component. One shared implementation with the ordering source injected, so conditions differ only in ordering.</w:t>
            </w:r>
          </w:p>
        </w:tc>
      </w:tr>
      <w:tr w:rsidR="0090527B" w14:paraId="065E543A" w14:textId="77777777">
        <w:tblPrEx>
          <w:tblCellMar>
            <w:top w:w="0" w:type="dxa"/>
            <w:bottom w:w="0" w:type="dxa"/>
          </w:tblCellMar>
        </w:tblPrEx>
        <w:tc>
          <w:tcPr>
            <w:tcW w:w="2700" w:type="dxa"/>
            <w:tcMar>
              <w:top w:w="80" w:type="dxa"/>
              <w:left w:w="110" w:type="dxa"/>
              <w:bottom w:w="80" w:type="dxa"/>
              <w:right w:w="110" w:type="dxa"/>
            </w:tcMar>
          </w:tcPr>
          <w:p w14:paraId="3037F119" w14:textId="77777777" w:rsidR="0090527B" w:rsidRDefault="00000000">
            <w:pPr>
              <w:spacing w:line="250" w:lineRule="auto"/>
            </w:pPr>
            <w:r>
              <w:t>EEG preprocessing</w:t>
            </w:r>
          </w:p>
        </w:tc>
        <w:tc>
          <w:tcPr>
            <w:tcW w:w="2600" w:type="dxa"/>
            <w:tcMar>
              <w:top w:w="80" w:type="dxa"/>
              <w:left w:w="110" w:type="dxa"/>
              <w:bottom w:w="80" w:type="dxa"/>
              <w:right w:w="110" w:type="dxa"/>
            </w:tcMar>
          </w:tcPr>
          <w:p w14:paraId="6D291DDD" w14:textId="77777777" w:rsidR="0090527B" w:rsidRDefault="00000000">
            <w:pPr>
              <w:spacing w:line="250" w:lineRule="auto"/>
            </w:pPr>
            <w:r>
              <w:t>NumPy and SciPy, with MNE-Python for file loading and ICA</w:t>
            </w:r>
          </w:p>
        </w:tc>
        <w:tc>
          <w:tcPr>
            <w:tcW w:w="4700" w:type="dxa"/>
            <w:tcMar>
              <w:top w:w="80" w:type="dxa"/>
              <w:left w:w="110" w:type="dxa"/>
              <w:bottom w:w="80" w:type="dxa"/>
              <w:right w:w="110" w:type="dxa"/>
            </w:tcMar>
          </w:tcPr>
          <w:p w14:paraId="5D6BA9CF" w14:textId="77777777" w:rsidR="0090527B" w:rsidRDefault="00000000">
            <w:pPr>
              <w:spacing w:line="250" w:lineRule="auto"/>
            </w:pPr>
            <w:r>
              <w:t>Filtering and Welch spectral estimation are direct computations. MNE is used for standard-format readers and a validated ICA implementation; re-deriving those would consume a week for no research gain.</w:t>
            </w:r>
          </w:p>
        </w:tc>
      </w:tr>
      <w:tr w:rsidR="0090527B" w14:paraId="4EA27883" w14:textId="77777777">
        <w:tblPrEx>
          <w:tblCellMar>
            <w:top w:w="0" w:type="dxa"/>
            <w:bottom w:w="0" w:type="dxa"/>
          </w:tblCellMar>
        </w:tblPrEx>
        <w:tc>
          <w:tcPr>
            <w:tcW w:w="2700" w:type="dxa"/>
            <w:tcMar>
              <w:top w:w="80" w:type="dxa"/>
              <w:left w:w="110" w:type="dxa"/>
              <w:bottom w:w="80" w:type="dxa"/>
              <w:right w:w="110" w:type="dxa"/>
            </w:tcMar>
          </w:tcPr>
          <w:p w14:paraId="6BD1E95E" w14:textId="77777777" w:rsidR="0090527B" w:rsidRDefault="00000000">
            <w:pPr>
              <w:spacing w:line="250" w:lineRule="auto"/>
            </w:pPr>
            <w:r>
              <w:t>Workload index</w:t>
            </w:r>
          </w:p>
        </w:tc>
        <w:tc>
          <w:tcPr>
            <w:tcW w:w="2600" w:type="dxa"/>
            <w:tcMar>
              <w:top w:w="80" w:type="dxa"/>
              <w:left w:w="110" w:type="dxa"/>
              <w:bottom w:w="80" w:type="dxa"/>
              <w:right w:w="110" w:type="dxa"/>
            </w:tcMar>
          </w:tcPr>
          <w:p w14:paraId="6EF2B31B" w14:textId="77777777" w:rsidR="0090527B" w:rsidRDefault="00000000">
            <w:pPr>
              <w:spacing w:line="250" w:lineRule="auto"/>
            </w:pPr>
            <w:r>
              <w:t>From scratch, NumPy</w:t>
            </w:r>
          </w:p>
        </w:tc>
        <w:tc>
          <w:tcPr>
            <w:tcW w:w="4700" w:type="dxa"/>
            <w:tcMar>
              <w:top w:w="80" w:type="dxa"/>
              <w:left w:w="110" w:type="dxa"/>
              <w:bottom w:w="80" w:type="dxa"/>
              <w:right w:w="110" w:type="dxa"/>
            </w:tcMar>
          </w:tcPr>
          <w:p w14:paraId="6FCE0BAA" w14:textId="77777777" w:rsidR="0090527B" w:rsidRDefault="00000000">
            <w:pPr>
              <w:spacing w:line="250" w:lineRule="auto"/>
            </w:pPr>
            <w:r>
              <w:t>A fixed literature-based formula, not a trained model. See A4.</w:t>
            </w:r>
          </w:p>
        </w:tc>
      </w:tr>
      <w:tr w:rsidR="0090527B" w14:paraId="36EB4D99" w14:textId="77777777">
        <w:tblPrEx>
          <w:tblCellMar>
            <w:top w:w="0" w:type="dxa"/>
            <w:bottom w:w="0" w:type="dxa"/>
          </w:tblCellMar>
        </w:tblPrEx>
        <w:tc>
          <w:tcPr>
            <w:tcW w:w="2700" w:type="dxa"/>
            <w:tcMar>
              <w:top w:w="80" w:type="dxa"/>
              <w:left w:w="110" w:type="dxa"/>
              <w:bottom w:w="80" w:type="dxa"/>
              <w:right w:w="110" w:type="dxa"/>
            </w:tcMar>
          </w:tcPr>
          <w:p w14:paraId="49F607E4" w14:textId="77777777" w:rsidR="0090527B" w:rsidRDefault="00000000">
            <w:pPr>
              <w:spacing w:line="250" w:lineRule="auto"/>
            </w:pPr>
            <w:r>
              <w:t>RL algorithm</w:t>
            </w:r>
          </w:p>
        </w:tc>
        <w:tc>
          <w:tcPr>
            <w:tcW w:w="2600" w:type="dxa"/>
            <w:tcMar>
              <w:top w:w="80" w:type="dxa"/>
              <w:left w:w="110" w:type="dxa"/>
              <w:bottom w:w="80" w:type="dxa"/>
              <w:right w:w="110" w:type="dxa"/>
            </w:tcMar>
          </w:tcPr>
          <w:p w14:paraId="7E99888C" w14:textId="77777777" w:rsidR="0090527B" w:rsidRDefault="00000000">
            <w:pPr>
              <w:spacing w:line="250" w:lineRule="auto"/>
            </w:pPr>
            <w:r>
              <w:t>From scratch, NumPy</w:t>
            </w:r>
          </w:p>
        </w:tc>
        <w:tc>
          <w:tcPr>
            <w:tcW w:w="4700" w:type="dxa"/>
            <w:tcMar>
              <w:top w:w="80" w:type="dxa"/>
              <w:left w:w="110" w:type="dxa"/>
              <w:bottom w:w="80" w:type="dxa"/>
              <w:right w:w="110" w:type="dxa"/>
            </w:tcMar>
          </w:tcPr>
          <w:p w14:paraId="63185114" w14:textId="77777777" w:rsidR="0090527B" w:rsidRDefault="00000000">
            <w:pPr>
              <w:spacing w:line="250" w:lineRule="auto"/>
            </w:pPr>
            <w:r>
              <w:t>Implemented directly rather than imported, consistent with the rest of the project. Because an implementation flaw would degrade all seven conditions equally and inflate seed variance rather than fail visibly, correctness validation (A10.2) is a prerequisite for Gate 1.</w:t>
            </w:r>
          </w:p>
        </w:tc>
      </w:tr>
      <w:tr w:rsidR="0090527B" w14:paraId="0F546884" w14:textId="77777777">
        <w:tblPrEx>
          <w:tblCellMar>
            <w:top w:w="0" w:type="dxa"/>
            <w:bottom w:w="0" w:type="dxa"/>
          </w:tblCellMar>
        </w:tblPrEx>
        <w:tc>
          <w:tcPr>
            <w:tcW w:w="2700" w:type="dxa"/>
            <w:tcMar>
              <w:top w:w="80" w:type="dxa"/>
              <w:left w:w="110" w:type="dxa"/>
              <w:bottom w:w="80" w:type="dxa"/>
              <w:right w:w="110" w:type="dxa"/>
            </w:tcMar>
          </w:tcPr>
          <w:p w14:paraId="7C0CBE8B" w14:textId="77777777" w:rsidR="0090527B" w:rsidRDefault="00000000">
            <w:pPr>
              <w:spacing w:line="250" w:lineRule="auto"/>
            </w:pPr>
            <w:r>
              <w:t>Statistical analysis</w:t>
            </w:r>
          </w:p>
        </w:tc>
        <w:tc>
          <w:tcPr>
            <w:tcW w:w="2600" w:type="dxa"/>
            <w:tcMar>
              <w:top w:w="80" w:type="dxa"/>
              <w:left w:w="110" w:type="dxa"/>
              <w:bottom w:w="80" w:type="dxa"/>
              <w:right w:w="110" w:type="dxa"/>
            </w:tcMar>
          </w:tcPr>
          <w:p w14:paraId="0FF6E425" w14:textId="77777777" w:rsidR="0090527B" w:rsidRDefault="00000000">
            <w:pPr>
              <w:spacing w:line="250" w:lineRule="auto"/>
            </w:pPr>
            <w:r>
              <w:t>From scratch, NumPy</w:t>
            </w:r>
          </w:p>
        </w:tc>
        <w:tc>
          <w:tcPr>
            <w:tcW w:w="4700" w:type="dxa"/>
            <w:tcMar>
              <w:top w:w="80" w:type="dxa"/>
              <w:left w:w="110" w:type="dxa"/>
              <w:bottom w:w="80" w:type="dxa"/>
              <w:right w:w="110" w:type="dxa"/>
            </w:tcMar>
          </w:tcPr>
          <w:p w14:paraId="0D9B067C" w14:textId="77777777" w:rsidR="0090527B" w:rsidRDefault="00000000">
            <w:pPr>
              <w:spacing w:line="250" w:lineRule="auto"/>
            </w:pPr>
            <w:r>
              <w:t>Permutation tests and stratified bootstrap confidence intervals are short, inspectable computations.</w:t>
            </w:r>
          </w:p>
        </w:tc>
      </w:tr>
    </w:tbl>
    <w:p w14:paraId="343A3C89" w14:textId="77777777" w:rsidR="0090527B" w:rsidRDefault="0090527B">
      <w:pPr>
        <w:spacing w:after="90" w:line="276" w:lineRule="auto"/>
      </w:pPr>
    </w:p>
    <w:p w14:paraId="39313088" w14:textId="77777777" w:rsidR="0090527B" w:rsidRDefault="00000000">
      <w:pPr>
        <w:spacing w:after="130" w:line="276" w:lineRule="auto"/>
      </w:pPr>
      <w:r>
        <w:rPr>
          <w:sz w:val="22"/>
          <w:szCs w:val="22"/>
        </w:rPr>
        <w:t>The environment exposes a 12-action discrete space, which admits PPO, DQN, and actor-critic variants. DQN is the current preference: the action space is its native case, it has fewer interacting implementation details than PPO, and prior implementation experience reduces the risk of learning the algorithm and debugging the code at the same time. Its weaker sample efficiency is a measured quantity at Gate 1, not an assumption, because it multiplies across roughly seventy runs. The decision is recorded before the pre-registration is locked.</w:t>
      </w:r>
    </w:p>
    <w:p w14:paraId="2F1FA64D" w14:textId="77777777" w:rsidR="0090527B" w:rsidRDefault="00000000">
      <w:pPr>
        <w:pStyle w:val="Heading2"/>
        <w:spacing w:before="230" w:after="100"/>
      </w:pPr>
      <w:r>
        <w:rPr>
          <w:b/>
          <w:bCs/>
          <w:color w:val="1F3864"/>
          <w:sz w:val="24"/>
          <w:szCs w:val="24"/>
        </w:rPr>
        <w:lastRenderedPageBreak/>
        <w:t>A10.1 Backend selection, measured</w:t>
      </w:r>
    </w:p>
    <w:p w14:paraId="6C3BAA17" w14:textId="77777777" w:rsidR="0090527B" w:rsidRDefault="00000000">
      <w:pPr>
        <w:spacing w:after="130" w:line="276" w:lineRule="auto"/>
      </w:pPr>
      <w:r>
        <w:rPr>
          <w:sz w:val="22"/>
          <w:szCs w:val="22"/>
        </w:rPr>
        <w:t xml:space="preserve">NumPy on CPU was selected over a GPU implementation </w:t>
      </w:r>
      <w:proofErr w:type="gramStart"/>
      <w:r>
        <w:rPr>
          <w:sz w:val="22"/>
          <w:szCs w:val="22"/>
        </w:rPr>
        <w:t>on the basis of</w:t>
      </w:r>
      <w:proofErr w:type="gramEnd"/>
      <w:r>
        <w:rPr>
          <w:sz w:val="22"/>
          <w:szCs w:val="22"/>
        </w:rPr>
        <w:t xml:space="preserve"> measurement rather than preference. The DQN update (an 18-128-128-12 network, roughly 20,000 weights) was benchmarked across three backends and four minibatch sizes on the target machine, an Intel Core Ultra 7 165H with an RTX 4060 laptop GPU, with BLAS restricted to one thread per process.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600"/>
        <w:gridCol w:w="2600"/>
      </w:tblGrid>
      <w:tr w:rsidR="0090527B" w14:paraId="74BBB767" w14:textId="77777777">
        <w:tblPrEx>
          <w:tblCellMar>
            <w:top w:w="0" w:type="dxa"/>
            <w:bottom w:w="0" w:type="dxa"/>
          </w:tblCellMar>
        </w:tblPrEx>
        <w:trPr>
          <w:tblHeader/>
        </w:trPr>
        <w:tc>
          <w:tcPr>
            <w:tcW w:w="1800" w:type="dxa"/>
            <w:shd w:val="clear" w:color="auto" w:fill="D9E2F3"/>
            <w:tcMar>
              <w:top w:w="80" w:type="dxa"/>
              <w:left w:w="110" w:type="dxa"/>
              <w:bottom w:w="80" w:type="dxa"/>
              <w:right w:w="110" w:type="dxa"/>
            </w:tcMar>
          </w:tcPr>
          <w:p w14:paraId="47F9378E" w14:textId="77777777" w:rsidR="0090527B" w:rsidRDefault="00000000">
            <w:pPr>
              <w:spacing w:line="250" w:lineRule="auto"/>
            </w:pPr>
            <w:r>
              <w:rPr>
                <w:b/>
                <w:bCs/>
              </w:rPr>
              <w:t>Minibatch</w:t>
            </w:r>
          </w:p>
        </w:tc>
        <w:tc>
          <w:tcPr>
            <w:tcW w:w="2600" w:type="dxa"/>
            <w:shd w:val="clear" w:color="auto" w:fill="D9E2F3"/>
            <w:tcMar>
              <w:top w:w="80" w:type="dxa"/>
              <w:left w:w="110" w:type="dxa"/>
              <w:bottom w:w="80" w:type="dxa"/>
              <w:right w:w="110" w:type="dxa"/>
            </w:tcMar>
          </w:tcPr>
          <w:p w14:paraId="3ED51E86" w14:textId="77777777" w:rsidR="0090527B" w:rsidRDefault="00000000">
            <w:pPr>
              <w:spacing w:line="250" w:lineRule="auto"/>
            </w:pPr>
            <w:r>
              <w:rPr>
                <w:b/>
                <w:bCs/>
              </w:rPr>
              <w:t>NumPy (CPU)</w:t>
            </w:r>
          </w:p>
        </w:tc>
        <w:tc>
          <w:tcPr>
            <w:tcW w:w="2600" w:type="dxa"/>
            <w:shd w:val="clear" w:color="auto" w:fill="D9E2F3"/>
            <w:tcMar>
              <w:top w:w="80" w:type="dxa"/>
              <w:left w:w="110" w:type="dxa"/>
              <w:bottom w:w="80" w:type="dxa"/>
              <w:right w:w="110" w:type="dxa"/>
            </w:tcMar>
          </w:tcPr>
          <w:p w14:paraId="1100CFA7" w14:textId="77777777" w:rsidR="0090527B" w:rsidRDefault="00000000">
            <w:pPr>
              <w:spacing w:line="250" w:lineRule="auto"/>
            </w:pPr>
            <w:proofErr w:type="spellStart"/>
            <w:r>
              <w:rPr>
                <w:b/>
                <w:bCs/>
              </w:rPr>
              <w:t>PyTorch</w:t>
            </w:r>
            <w:proofErr w:type="spellEnd"/>
            <w:r>
              <w:rPr>
                <w:b/>
                <w:bCs/>
              </w:rPr>
              <w:t xml:space="preserve"> (CPU)</w:t>
            </w:r>
          </w:p>
        </w:tc>
        <w:tc>
          <w:tcPr>
            <w:tcW w:w="2600" w:type="dxa"/>
            <w:shd w:val="clear" w:color="auto" w:fill="D9E2F3"/>
            <w:tcMar>
              <w:top w:w="80" w:type="dxa"/>
              <w:left w:w="110" w:type="dxa"/>
              <w:bottom w:w="80" w:type="dxa"/>
              <w:right w:w="110" w:type="dxa"/>
            </w:tcMar>
          </w:tcPr>
          <w:p w14:paraId="672AEC64" w14:textId="77777777" w:rsidR="0090527B" w:rsidRDefault="00000000">
            <w:pPr>
              <w:spacing w:line="250" w:lineRule="auto"/>
            </w:pPr>
            <w:proofErr w:type="spellStart"/>
            <w:r>
              <w:rPr>
                <w:b/>
                <w:bCs/>
              </w:rPr>
              <w:t>PyTorch</w:t>
            </w:r>
            <w:proofErr w:type="spellEnd"/>
            <w:r>
              <w:rPr>
                <w:b/>
                <w:bCs/>
              </w:rPr>
              <w:t xml:space="preserve"> (CUDA)</w:t>
            </w:r>
          </w:p>
        </w:tc>
      </w:tr>
      <w:tr w:rsidR="0090527B" w14:paraId="046DCF43" w14:textId="77777777">
        <w:tblPrEx>
          <w:tblCellMar>
            <w:top w:w="0" w:type="dxa"/>
            <w:bottom w:w="0" w:type="dxa"/>
          </w:tblCellMar>
        </w:tblPrEx>
        <w:tc>
          <w:tcPr>
            <w:tcW w:w="1800" w:type="dxa"/>
            <w:tcMar>
              <w:top w:w="80" w:type="dxa"/>
              <w:left w:w="110" w:type="dxa"/>
              <w:bottom w:w="80" w:type="dxa"/>
              <w:right w:w="110" w:type="dxa"/>
            </w:tcMar>
          </w:tcPr>
          <w:p w14:paraId="6077ED04" w14:textId="77777777" w:rsidR="0090527B" w:rsidRDefault="00000000">
            <w:pPr>
              <w:spacing w:line="250" w:lineRule="auto"/>
            </w:pPr>
            <w:r>
              <w:t>64</w:t>
            </w:r>
          </w:p>
        </w:tc>
        <w:tc>
          <w:tcPr>
            <w:tcW w:w="2600" w:type="dxa"/>
            <w:tcMar>
              <w:top w:w="80" w:type="dxa"/>
              <w:left w:w="110" w:type="dxa"/>
              <w:bottom w:w="80" w:type="dxa"/>
              <w:right w:w="110" w:type="dxa"/>
            </w:tcMar>
          </w:tcPr>
          <w:p w14:paraId="73CCA35E" w14:textId="77777777" w:rsidR="0090527B" w:rsidRDefault="00000000">
            <w:pPr>
              <w:spacing w:line="250" w:lineRule="auto"/>
            </w:pPr>
            <w:r>
              <w:t>2,118</w:t>
            </w:r>
          </w:p>
        </w:tc>
        <w:tc>
          <w:tcPr>
            <w:tcW w:w="2600" w:type="dxa"/>
            <w:tcMar>
              <w:top w:w="80" w:type="dxa"/>
              <w:left w:w="110" w:type="dxa"/>
              <w:bottom w:w="80" w:type="dxa"/>
              <w:right w:w="110" w:type="dxa"/>
            </w:tcMar>
          </w:tcPr>
          <w:p w14:paraId="0CA44317" w14:textId="77777777" w:rsidR="0090527B" w:rsidRDefault="00000000">
            <w:pPr>
              <w:spacing w:line="250" w:lineRule="auto"/>
            </w:pPr>
            <w:r>
              <w:t>645</w:t>
            </w:r>
          </w:p>
        </w:tc>
        <w:tc>
          <w:tcPr>
            <w:tcW w:w="2600" w:type="dxa"/>
            <w:tcMar>
              <w:top w:w="80" w:type="dxa"/>
              <w:left w:w="110" w:type="dxa"/>
              <w:bottom w:w="80" w:type="dxa"/>
              <w:right w:w="110" w:type="dxa"/>
            </w:tcMar>
          </w:tcPr>
          <w:p w14:paraId="14AE793D" w14:textId="77777777" w:rsidR="0090527B" w:rsidRDefault="00000000">
            <w:pPr>
              <w:spacing w:line="250" w:lineRule="auto"/>
            </w:pPr>
            <w:r>
              <w:t>292</w:t>
            </w:r>
          </w:p>
        </w:tc>
      </w:tr>
      <w:tr w:rsidR="0090527B" w14:paraId="790F41C7" w14:textId="77777777">
        <w:tblPrEx>
          <w:tblCellMar>
            <w:top w:w="0" w:type="dxa"/>
            <w:bottom w:w="0" w:type="dxa"/>
          </w:tblCellMar>
        </w:tblPrEx>
        <w:tc>
          <w:tcPr>
            <w:tcW w:w="1800" w:type="dxa"/>
            <w:tcMar>
              <w:top w:w="80" w:type="dxa"/>
              <w:left w:w="110" w:type="dxa"/>
              <w:bottom w:w="80" w:type="dxa"/>
              <w:right w:w="110" w:type="dxa"/>
            </w:tcMar>
          </w:tcPr>
          <w:p w14:paraId="03B4F65D" w14:textId="77777777" w:rsidR="0090527B" w:rsidRDefault="00000000">
            <w:pPr>
              <w:spacing w:line="250" w:lineRule="auto"/>
            </w:pPr>
            <w:r>
              <w:t>256</w:t>
            </w:r>
          </w:p>
        </w:tc>
        <w:tc>
          <w:tcPr>
            <w:tcW w:w="2600" w:type="dxa"/>
            <w:tcMar>
              <w:top w:w="80" w:type="dxa"/>
              <w:left w:w="110" w:type="dxa"/>
              <w:bottom w:w="80" w:type="dxa"/>
              <w:right w:w="110" w:type="dxa"/>
            </w:tcMar>
          </w:tcPr>
          <w:p w14:paraId="505C0A07" w14:textId="77777777" w:rsidR="0090527B" w:rsidRDefault="00000000">
            <w:pPr>
              <w:spacing w:line="250" w:lineRule="auto"/>
            </w:pPr>
            <w:r>
              <w:t>627</w:t>
            </w:r>
          </w:p>
        </w:tc>
        <w:tc>
          <w:tcPr>
            <w:tcW w:w="2600" w:type="dxa"/>
            <w:tcMar>
              <w:top w:w="80" w:type="dxa"/>
              <w:left w:w="110" w:type="dxa"/>
              <w:bottom w:w="80" w:type="dxa"/>
              <w:right w:w="110" w:type="dxa"/>
            </w:tcMar>
          </w:tcPr>
          <w:p w14:paraId="75F989E1" w14:textId="77777777" w:rsidR="0090527B" w:rsidRDefault="00000000">
            <w:pPr>
              <w:spacing w:line="250" w:lineRule="auto"/>
            </w:pPr>
            <w:r>
              <w:t>498</w:t>
            </w:r>
          </w:p>
        </w:tc>
        <w:tc>
          <w:tcPr>
            <w:tcW w:w="2600" w:type="dxa"/>
            <w:tcMar>
              <w:top w:w="80" w:type="dxa"/>
              <w:left w:w="110" w:type="dxa"/>
              <w:bottom w:w="80" w:type="dxa"/>
              <w:right w:w="110" w:type="dxa"/>
            </w:tcMar>
          </w:tcPr>
          <w:p w14:paraId="012B66B1" w14:textId="77777777" w:rsidR="0090527B" w:rsidRDefault="00000000">
            <w:pPr>
              <w:spacing w:line="250" w:lineRule="auto"/>
            </w:pPr>
            <w:r>
              <w:t>269</w:t>
            </w:r>
          </w:p>
        </w:tc>
      </w:tr>
      <w:tr w:rsidR="0090527B" w14:paraId="556CE2F2" w14:textId="77777777">
        <w:tblPrEx>
          <w:tblCellMar>
            <w:top w:w="0" w:type="dxa"/>
            <w:bottom w:w="0" w:type="dxa"/>
          </w:tblCellMar>
        </w:tblPrEx>
        <w:tc>
          <w:tcPr>
            <w:tcW w:w="1800" w:type="dxa"/>
            <w:tcMar>
              <w:top w:w="80" w:type="dxa"/>
              <w:left w:w="110" w:type="dxa"/>
              <w:bottom w:w="80" w:type="dxa"/>
              <w:right w:w="110" w:type="dxa"/>
            </w:tcMar>
          </w:tcPr>
          <w:p w14:paraId="595B7950" w14:textId="77777777" w:rsidR="0090527B" w:rsidRDefault="00000000">
            <w:pPr>
              <w:spacing w:line="250" w:lineRule="auto"/>
            </w:pPr>
            <w:r>
              <w:t>1,024</w:t>
            </w:r>
          </w:p>
        </w:tc>
        <w:tc>
          <w:tcPr>
            <w:tcW w:w="2600" w:type="dxa"/>
            <w:tcMar>
              <w:top w:w="80" w:type="dxa"/>
              <w:left w:w="110" w:type="dxa"/>
              <w:bottom w:w="80" w:type="dxa"/>
              <w:right w:w="110" w:type="dxa"/>
            </w:tcMar>
          </w:tcPr>
          <w:p w14:paraId="2549C768" w14:textId="77777777" w:rsidR="0090527B" w:rsidRDefault="00000000">
            <w:pPr>
              <w:spacing w:line="250" w:lineRule="auto"/>
            </w:pPr>
            <w:r>
              <w:t>64</w:t>
            </w:r>
          </w:p>
        </w:tc>
        <w:tc>
          <w:tcPr>
            <w:tcW w:w="2600" w:type="dxa"/>
            <w:tcMar>
              <w:top w:w="80" w:type="dxa"/>
              <w:left w:w="110" w:type="dxa"/>
              <w:bottom w:w="80" w:type="dxa"/>
              <w:right w:w="110" w:type="dxa"/>
            </w:tcMar>
          </w:tcPr>
          <w:p w14:paraId="1A73B65A" w14:textId="77777777" w:rsidR="0090527B" w:rsidRDefault="00000000">
            <w:pPr>
              <w:spacing w:line="250" w:lineRule="auto"/>
            </w:pPr>
            <w:r>
              <w:t>209</w:t>
            </w:r>
          </w:p>
        </w:tc>
        <w:tc>
          <w:tcPr>
            <w:tcW w:w="2600" w:type="dxa"/>
            <w:tcMar>
              <w:top w:w="80" w:type="dxa"/>
              <w:left w:w="110" w:type="dxa"/>
              <w:bottom w:w="80" w:type="dxa"/>
              <w:right w:w="110" w:type="dxa"/>
            </w:tcMar>
          </w:tcPr>
          <w:p w14:paraId="64275ECE" w14:textId="77777777" w:rsidR="0090527B" w:rsidRDefault="00000000">
            <w:pPr>
              <w:spacing w:line="250" w:lineRule="auto"/>
            </w:pPr>
            <w:r>
              <w:t>264</w:t>
            </w:r>
          </w:p>
        </w:tc>
      </w:tr>
      <w:tr w:rsidR="0090527B" w14:paraId="4C080CD5" w14:textId="77777777">
        <w:tblPrEx>
          <w:tblCellMar>
            <w:top w:w="0" w:type="dxa"/>
            <w:bottom w:w="0" w:type="dxa"/>
          </w:tblCellMar>
        </w:tblPrEx>
        <w:tc>
          <w:tcPr>
            <w:tcW w:w="1800" w:type="dxa"/>
            <w:tcMar>
              <w:top w:w="80" w:type="dxa"/>
              <w:left w:w="110" w:type="dxa"/>
              <w:bottom w:w="80" w:type="dxa"/>
              <w:right w:w="110" w:type="dxa"/>
            </w:tcMar>
          </w:tcPr>
          <w:p w14:paraId="4D4B3D26" w14:textId="77777777" w:rsidR="0090527B" w:rsidRDefault="00000000">
            <w:pPr>
              <w:spacing w:line="250" w:lineRule="auto"/>
            </w:pPr>
            <w:r>
              <w:t>4,096</w:t>
            </w:r>
          </w:p>
        </w:tc>
        <w:tc>
          <w:tcPr>
            <w:tcW w:w="2600" w:type="dxa"/>
            <w:tcMar>
              <w:top w:w="80" w:type="dxa"/>
              <w:left w:w="110" w:type="dxa"/>
              <w:bottom w:w="80" w:type="dxa"/>
              <w:right w:w="110" w:type="dxa"/>
            </w:tcMar>
          </w:tcPr>
          <w:p w14:paraId="5A75AF79" w14:textId="77777777" w:rsidR="0090527B" w:rsidRDefault="00000000">
            <w:pPr>
              <w:spacing w:line="250" w:lineRule="auto"/>
            </w:pPr>
            <w:r>
              <w:t>20</w:t>
            </w:r>
          </w:p>
        </w:tc>
        <w:tc>
          <w:tcPr>
            <w:tcW w:w="2600" w:type="dxa"/>
            <w:tcMar>
              <w:top w:w="80" w:type="dxa"/>
              <w:left w:w="110" w:type="dxa"/>
              <w:bottom w:w="80" w:type="dxa"/>
              <w:right w:w="110" w:type="dxa"/>
            </w:tcMar>
          </w:tcPr>
          <w:p w14:paraId="6FD99889" w14:textId="77777777" w:rsidR="0090527B" w:rsidRDefault="00000000">
            <w:pPr>
              <w:spacing w:line="250" w:lineRule="auto"/>
            </w:pPr>
            <w:r>
              <w:t>70</w:t>
            </w:r>
          </w:p>
        </w:tc>
        <w:tc>
          <w:tcPr>
            <w:tcW w:w="2600" w:type="dxa"/>
            <w:tcMar>
              <w:top w:w="80" w:type="dxa"/>
              <w:left w:w="110" w:type="dxa"/>
              <w:bottom w:w="80" w:type="dxa"/>
              <w:right w:w="110" w:type="dxa"/>
            </w:tcMar>
          </w:tcPr>
          <w:p w14:paraId="09BDA8F9" w14:textId="77777777" w:rsidR="0090527B" w:rsidRDefault="00000000">
            <w:pPr>
              <w:spacing w:line="250" w:lineRule="auto"/>
            </w:pPr>
            <w:r>
              <w:t>188</w:t>
            </w:r>
          </w:p>
        </w:tc>
      </w:tr>
    </w:tbl>
    <w:p w14:paraId="6BE11FF1" w14:textId="77777777" w:rsidR="0090527B" w:rsidRDefault="00000000">
      <w:pPr>
        <w:spacing w:after="130" w:line="276" w:lineRule="auto"/>
      </w:pPr>
      <w:r>
        <w:rPr>
          <w:i/>
          <w:iCs/>
          <w:sz w:val="22"/>
          <w:szCs w:val="22"/>
        </w:rPr>
        <w:t>Updates per second; higher is better. Batch 64 is the size DQN training uses.</w:t>
      </w:r>
    </w:p>
    <w:p w14:paraId="36935537" w14:textId="77777777" w:rsidR="0090527B" w:rsidRDefault="0090527B">
      <w:pPr>
        <w:spacing w:after="90" w:line="276" w:lineRule="auto"/>
      </w:pPr>
    </w:p>
    <w:p w14:paraId="4D38F1C7" w14:textId="77777777" w:rsidR="0090527B" w:rsidRDefault="00000000">
      <w:pPr>
        <w:spacing w:after="130" w:line="276" w:lineRule="auto"/>
      </w:pPr>
      <w:r>
        <w:rPr>
          <w:sz w:val="22"/>
          <w:szCs w:val="22"/>
        </w:rPr>
        <w:t xml:space="preserve">At batch 64 the GPU is 7.3 times slower than NumPy. CUDA throughput is also nearly flat across the range, falling only from 292 to 188 while the work grows </w:t>
      </w:r>
      <w:proofErr w:type="gramStart"/>
      <w:r>
        <w:rPr>
          <w:sz w:val="22"/>
          <w:szCs w:val="22"/>
        </w:rPr>
        <w:t>sixty-four fold</w:t>
      </w:r>
      <w:proofErr w:type="gramEnd"/>
      <w:r>
        <w:rPr>
          <w:sz w:val="22"/>
          <w:szCs w:val="22"/>
        </w:rPr>
        <w:t xml:space="preserve">, which is the signature of a launch-bound rather than compute-bound workload: the per-step cost is dominated by kernel launch overhead and the host-device </w:t>
      </w:r>
      <w:proofErr w:type="spellStart"/>
      <w:r>
        <w:rPr>
          <w:sz w:val="22"/>
          <w:szCs w:val="22"/>
        </w:rPr>
        <w:t>synchronisation</w:t>
      </w:r>
      <w:proofErr w:type="spellEnd"/>
      <w:r>
        <w:rPr>
          <w:sz w:val="22"/>
          <w:szCs w:val="22"/>
        </w:rPr>
        <w:t xml:space="preserve"> that action selection forces, and the arithmetic itself is negligible at this network size. CUDA does not overtake </w:t>
      </w:r>
      <w:proofErr w:type="spellStart"/>
      <w:r>
        <w:rPr>
          <w:sz w:val="22"/>
          <w:szCs w:val="22"/>
        </w:rPr>
        <w:t>PyTorch</w:t>
      </w:r>
      <w:proofErr w:type="spellEnd"/>
      <w:r>
        <w:rPr>
          <w:sz w:val="22"/>
          <w:szCs w:val="22"/>
        </w:rPr>
        <w:t xml:space="preserve"> on CPU until roughly batch 1,024, sixteen times larger than DQN uses.</w:t>
      </w:r>
    </w:p>
    <w:p w14:paraId="1CA02E1F" w14:textId="77777777" w:rsidR="0090527B" w:rsidRDefault="00000000">
      <w:pPr>
        <w:spacing w:after="130" w:line="276" w:lineRule="auto"/>
      </w:pPr>
      <w:r>
        <w:rPr>
          <w:sz w:val="22"/>
          <w:szCs w:val="22"/>
        </w:rPr>
        <w:t xml:space="preserve">A caveat on the CPU comparison: the NumPy implementation uses plain gradient descent while the </w:t>
      </w:r>
      <w:proofErr w:type="spellStart"/>
      <w:r>
        <w:rPr>
          <w:sz w:val="22"/>
          <w:szCs w:val="22"/>
        </w:rPr>
        <w:t>PyTorch</w:t>
      </w:r>
      <w:proofErr w:type="spellEnd"/>
      <w:r>
        <w:rPr>
          <w:sz w:val="22"/>
          <w:szCs w:val="22"/>
        </w:rPr>
        <w:t xml:space="preserve"> implementation uses Adam, so part of the gap between them reflects </w:t>
      </w:r>
      <w:proofErr w:type="spellStart"/>
      <w:r>
        <w:rPr>
          <w:sz w:val="22"/>
          <w:szCs w:val="22"/>
        </w:rPr>
        <w:t>optimiser</w:t>
      </w:r>
      <w:proofErr w:type="spellEnd"/>
      <w:r>
        <w:rPr>
          <w:sz w:val="22"/>
          <w:szCs w:val="22"/>
        </w:rPr>
        <w:t xml:space="preserve"> cost rather than framework overhead. The direction is unaffected; the magnitude is overstated.</w:t>
      </w:r>
    </w:p>
    <w:p w14:paraId="48161209" w14:textId="77777777" w:rsidR="0090527B" w:rsidRDefault="00000000">
      <w:pPr>
        <w:spacing w:after="130" w:line="276" w:lineRule="auto"/>
      </w:pPr>
      <w:r>
        <w:rPr>
          <w:sz w:val="22"/>
          <w:szCs w:val="22"/>
        </w:rPr>
        <w:t>Combined with environment throughput, this gives approximately 1,980 agent-steps per second, or about eight minutes per million-step run. Seventy runs complete in roughly ten hours single-</w:t>
      </w:r>
      <w:proofErr w:type="gramStart"/>
      <w:r>
        <w:rPr>
          <w:sz w:val="22"/>
          <w:szCs w:val="22"/>
        </w:rPr>
        <w:t>threaded</w:t>
      </w:r>
      <w:proofErr w:type="gramEnd"/>
      <w:r>
        <w:rPr>
          <w:sz w:val="22"/>
          <w:szCs w:val="22"/>
        </w:rPr>
        <w:t xml:space="preserve"> and under two hours across eight worker processes, each pinned to one BLAS thread to avoid oversubscribing the sixteen physical cores. </w:t>
      </w:r>
      <w:proofErr w:type="gramStart"/>
      <w:r>
        <w:rPr>
          <w:sz w:val="22"/>
          <w:szCs w:val="22"/>
        </w:rPr>
        <w:t>Compute is</w:t>
      </w:r>
      <w:proofErr w:type="gramEnd"/>
      <w:r>
        <w:rPr>
          <w:sz w:val="22"/>
          <w:szCs w:val="22"/>
        </w:rPr>
        <w:t xml:space="preserve"> therefore not a binding constraint on the experimental design, and seed count does not need to be reduced to fit a budget.</w:t>
      </w:r>
    </w:p>
    <w:p w14:paraId="11BEB4A5" w14:textId="77777777" w:rsidR="0090527B" w:rsidRDefault="00000000">
      <w:pPr>
        <w:pStyle w:val="Heading2"/>
        <w:spacing w:before="230" w:after="100"/>
      </w:pPr>
      <w:r>
        <w:rPr>
          <w:b/>
          <w:bCs/>
          <w:color w:val="1F3864"/>
          <w:sz w:val="24"/>
          <w:szCs w:val="24"/>
        </w:rPr>
        <w:t>A10.2 Correctness validation</w:t>
      </w:r>
    </w:p>
    <w:p w14:paraId="5C24DB75" w14:textId="77777777" w:rsidR="0090527B" w:rsidRDefault="00000000">
      <w:pPr>
        <w:spacing w:after="130" w:line="276" w:lineRule="auto"/>
      </w:pPr>
      <w:r>
        <w:rPr>
          <w:sz w:val="22"/>
          <w:szCs w:val="22"/>
        </w:rPr>
        <w:t>A from-scratch implementation is only defensible if its correctness is demonstrated rather than assumed, and the demonstration must happen before it touches the experiment. Four steps, all completed before Gate 1:</w:t>
      </w:r>
    </w:p>
    <w:p w14:paraId="0D03F637" w14:textId="77777777" w:rsidR="0090527B" w:rsidRDefault="00000000">
      <w:pPr>
        <w:pStyle w:val="ListParagraph"/>
        <w:numPr>
          <w:ilvl w:val="0"/>
          <w:numId w:val="2"/>
        </w:numPr>
        <w:spacing w:after="80" w:line="276" w:lineRule="auto"/>
      </w:pPr>
      <w:r>
        <w:rPr>
          <w:sz w:val="22"/>
          <w:szCs w:val="22"/>
        </w:rPr>
        <w:t>Unit tests on components: Bellman target computation against hand-worked examples, replay buffer sampling, target network synchronization, and the exploration schedule.</w:t>
      </w:r>
    </w:p>
    <w:p w14:paraId="6C09663B" w14:textId="77777777" w:rsidR="0090527B" w:rsidRDefault="00000000">
      <w:pPr>
        <w:pStyle w:val="ListParagraph"/>
        <w:numPr>
          <w:ilvl w:val="0"/>
          <w:numId w:val="2"/>
        </w:numPr>
        <w:spacing w:after="80" w:line="276" w:lineRule="auto"/>
      </w:pPr>
      <w:r>
        <w:rPr>
          <w:sz w:val="22"/>
          <w:szCs w:val="22"/>
        </w:rPr>
        <w:t>Benchmark task first. The algorithm is validated on a standard control task with known solved thresholds before it is applied to the combat environment.</w:t>
      </w:r>
    </w:p>
    <w:p w14:paraId="3FA3E5DC" w14:textId="77777777" w:rsidR="0090527B" w:rsidRDefault="00000000">
      <w:pPr>
        <w:pStyle w:val="ListParagraph"/>
        <w:numPr>
          <w:ilvl w:val="0"/>
          <w:numId w:val="2"/>
        </w:numPr>
        <w:spacing w:after="80" w:line="276" w:lineRule="auto"/>
      </w:pPr>
      <w:r>
        <w:rPr>
          <w:sz w:val="22"/>
          <w:szCs w:val="22"/>
        </w:rPr>
        <w:t xml:space="preserve">Reference comparison. A published reference implementation is run on the same benchmark with matched hyperparameters and budget, and the learning curves are compared. The reference is used as a measuring instrument and is </w:t>
      </w:r>
      <w:proofErr w:type="gramStart"/>
      <w:r>
        <w:rPr>
          <w:sz w:val="22"/>
          <w:szCs w:val="22"/>
        </w:rPr>
        <w:t>not a dependency</w:t>
      </w:r>
      <w:proofErr w:type="gramEnd"/>
      <w:r>
        <w:rPr>
          <w:sz w:val="22"/>
          <w:szCs w:val="22"/>
        </w:rPr>
        <w:t xml:space="preserve"> </w:t>
      </w:r>
      <w:proofErr w:type="gramStart"/>
      <w:r>
        <w:rPr>
          <w:sz w:val="22"/>
          <w:szCs w:val="22"/>
        </w:rPr>
        <w:t>of</w:t>
      </w:r>
      <w:proofErr w:type="gramEnd"/>
      <w:r>
        <w:rPr>
          <w:sz w:val="22"/>
          <w:szCs w:val="22"/>
        </w:rPr>
        <w:t xml:space="preserve"> the experiment.</w:t>
      </w:r>
    </w:p>
    <w:p w14:paraId="0DB60FA7" w14:textId="77777777" w:rsidR="0090527B" w:rsidRDefault="00000000">
      <w:pPr>
        <w:pStyle w:val="ListParagraph"/>
        <w:numPr>
          <w:ilvl w:val="0"/>
          <w:numId w:val="2"/>
        </w:numPr>
        <w:spacing w:after="80" w:line="276" w:lineRule="auto"/>
      </w:pPr>
      <w:r>
        <w:rPr>
          <w:sz w:val="22"/>
          <w:szCs w:val="22"/>
        </w:rPr>
        <w:t>Only then is the agent applied to the combat environment.</w:t>
      </w:r>
    </w:p>
    <w:p w14:paraId="1C832E45" w14:textId="77777777" w:rsidR="0090527B" w:rsidRDefault="00000000">
      <w:pPr>
        <w:spacing w:after="130" w:line="276" w:lineRule="auto"/>
      </w:pPr>
      <w:r>
        <w:rPr>
          <w:sz w:val="22"/>
          <w:szCs w:val="22"/>
        </w:rPr>
        <w:t>This sequencing matters for diagnosis as much as for correctness. If the agent fails to learn at Gate 1 and the algorithm has already been validated elsewhere, the fault is isolated to the environment, the observation space, or the reward function, and week 5 has no capacity for that ambiguity.</w:t>
      </w:r>
    </w:p>
    <w:p w14:paraId="6F92D42C" w14:textId="77777777" w:rsidR="0090527B" w:rsidRDefault="00000000">
      <w:pPr>
        <w:spacing w:after="130" w:line="276" w:lineRule="auto"/>
      </w:pPr>
      <w:r>
        <w:rPr>
          <w:sz w:val="22"/>
          <w:szCs w:val="22"/>
        </w:rPr>
        <w:lastRenderedPageBreak/>
        <w:t xml:space="preserve">The algorithm is developed and validated in parallel with the environment </w:t>
      </w:r>
      <w:proofErr w:type="gramStart"/>
      <w:r>
        <w:rPr>
          <w:sz w:val="22"/>
          <w:szCs w:val="22"/>
        </w:rPr>
        <w:t>build</w:t>
      </w:r>
      <w:proofErr w:type="gramEnd"/>
      <w:r>
        <w:rPr>
          <w:sz w:val="22"/>
          <w:szCs w:val="22"/>
        </w:rPr>
        <w:t xml:space="preserve"> in weeks 2 and 3, since it has no dependency on the combat environment. This keeps it off the critical path and preserves the week 4 buffer.</w:t>
      </w:r>
    </w:p>
    <w:p w14:paraId="6EE28448" w14:textId="77777777" w:rsidR="0090527B" w:rsidRDefault="00000000">
      <w:pPr>
        <w:pStyle w:val="Heading1"/>
        <w:spacing w:before="330" w:after="140"/>
      </w:pPr>
      <w:r>
        <w:rPr>
          <w:b/>
          <w:bCs/>
          <w:color w:val="1F3864"/>
          <w:sz w:val="28"/>
          <w:szCs w:val="28"/>
        </w:rPr>
        <w:t>A11. Consolidated Limitations</w:t>
      </w:r>
    </w:p>
    <w:p w14:paraId="02F9B85E" w14:textId="77777777" w:rsidR="0090527B" w:rsidRDefault="00000000">
      <w:pPr>
        <w:pStyle w:val="ListParagraph"/>
        <w:numPr>
          <w:ilvl w:val="0"/>
          <w:numId w:val="2"/>
        </w:numPr>
        <w:spacing w:after="80" w:line="276" w:lineRule="auto"/>
      </w:pPr>
      <w:r>
        <w:rPr>
          <w:sz w:val="22"/>
          <w:szCs w:val="22"/>
        </w:rPr>
        <w:t>Single subject. No cross-subject or population claim is supported.</w:t>
      </w:r>
    </w:p>
    <w:p w14:paraId="4122AB84" w14:textId="77777777" w:rsidR="0090527B" w:rsidRDefault="00000000">
      <w:pPr>
        <w:pStyle w:val="ListParagraph"/>
        <w:numPr>
          <w:ilvl w:val="0"/>
          <w:numId w:val="2"/>
        </w:numPr>
        <w:spacing w:after="80" w:line="276" w:lineRule="auto"/>
      </w:pPr>
      <w:r>
        <w:rPr>
          <w:sz w:val="22"/>
          <w:szCs w:val="22"/>
        </w:rPr>
        <w:t>The workload literature underlying the index was established on low-movement laboratory tasks; validity during gameplay is assumed rather than demonstrated.</w:t>
      </w:r>
    </w:p>
    <w:p w14:paraId="6A1AB7BA" w14:textId="77777777" w:rsidR="0090527B" w:rsidRDefault="00000000">
      <w:pPr>
        <w:pStyle w:val="ListParagraph"/>
        <w:numPr>
          <w:ilvl w:val="0"/>
          <w:numId w:val="2"/>
        </w:numPr>
        <w:spacing w:after="80" w:line="276" w:lineRule="auto"/>
      </w:pPr>
      <w:r>
        <w:rPr>
          <w:sz w:val="22"/>
          <w:szCs w:val="22"/>
        </w:rPr>
        <w:t>Alpha's workload relationship is weak and inconsistent in the literature; the index depends primarily on theta.</w:t>
      </w:r>
    </w:p>
    <w:p w14:paraId="1E074412" w14:textId="77777777" w:rsidR="0090527B" w:rsidRDefault="00000000">
      <w:pPr>
        <w:pStyle w:val="ListParagraph"/>
        <w:numPr>
          <w:ilvl w:val="0"/>
          <w:numId w:val="2"/>
        </w:numPr>
        <w:spacing w:after="80" w:line="276" w:lineRule="auto"/>
      </w:pPr>
      <w:r>
        <w:rPr>
          <w:sz w:val="22"/>
          <w:szCs w:val="22"/>
        </w:rPr>
        <w:t>Familiarity effects cannot be fully removed in a single-subject design, only measured.</w:t>
      </w:r>
    </w:p>
    <w:p w14:paraId="17CB36CA" w14:textId="77777777" w:rsidR="0090527B" w:rsidRDefault="00000000">
      <w:pPr>
        <w:pStyle w:val="ListParagraph"/>
        <w:numPr>
          <w:ilvl w:val="0"/>
          <w:numId w:val="2"/>
        </w:numPr>
        <w:spacing w:after="80" w:line="276" w:lineRule="auto"/>
      </w:pPr>
      <w:r>
        <w:rPr>
          <w:sz w:val="22"/>
          <w:szCs w:val="22"/>
        </w:rPr>
        <w:t xml:space="preserve">Artifact rejection rate </w:t>
      </w:r>
      <w:proofErr w:type="gramStart"/>
      <w:r>
        <w:rPr>
          <w:sz w:val="22"/>
          <w:szCs w:val="22"/>
        </w:rPr>
        <w:t>may itself</w:t>
      </w:r>
      <w:proofErr w:type="gramEnd"/>
      <w:r>
        <w:rPr>
          <w:sz w:val="22"/>
          <w:szCs w:val="22"/>
        </w:rPr>
        <w:t xml:space="preserve"> correlate with difficulty and is reported as a possible confound.</w:t>
      </w:r>
    </w:p>
    <w:p w14:paraId="6A01AB76" w14:textId="77777777" w:rsidR="0090527B" w:rsidRDefault="00000000">
      <w:pPr>
        <w:pStyle w:val="ListParagraph"/>
        <w:numPr>
          <w:ilvl w:val="0"/>
          <w:numId w:val="2"/>
        </w:numPr>
        <w:spacing w:after="80" w:line="276" w:lineRule="auto"/>
      </w:pPr>
      <w:r>
        <w:rPr>
          <w:sz w:val="22"/>
          <w:szCs w:val="22"/>
        </w:rPr>
        <w:t>The mapping from difficulty ranking to sampling distribution is a design choice; a null result shows that this mapping failed, not that the approach is impossible.</w:t>
      </w:r>
    </w:p>
    <w:p w14:paraId="5D1BC407" w14:textId="77777777" w:rsidR="0090527B" w:rsidRDefault="00000000">
      <w:pPr>
        <w:pStyle w:val="ListParagraph"/>
        <w:numPr>
          <w:ilvl w:val="0"/>
          <w:numId w:val="2"/>
        </w:numPr>
        <w:spacing w:after="80" w:line="276" w:lineRule="auto"/>
      </w:pPr>
      <w:r>
        <w:rPr>
          <w:sz w:val="22"/>
          <w:szCs w:val="22"/>
        </w:rPr>
        <w:t xml:space="preserve">Dry comb electrodes are the least </w:t>
      </w:r>
      <w:proofErr w:type="spellStart"/>
      <w:r>
        <w:rPr>
          <w:sz w:val="22"/>
          <w:szCs w:val="22"/>
        </w:rPr>
        <w:t>favourable</w:t>
      </w:r>
      <w:proofErr w:type="spellEnd"/>
      <w:r>
        <w:rPr>
          <w:sz w:val="22"/>
          <w:szCs w:val="22"/>
        </w:rPr>
        <w:t xml:space="preserve"> option for parietal recording; the alpha term may prove </w:t>
      </w:r>
      <w:proofErr w:type="gramStart"/>
      <w:r>
        <w:rPr>
          <w:sz w:val="22"/>
          <w:szCs w:val="22"/>
        </w:rPr>
        <w:t>unusable</w:t>
      </w:r>
      <w:proofErr w:type="gramEnd"/>
      <w:r>
        <w:rPr>
          <w:sz w:val="22"/>
          <w:szCs w:val="22"/>
        </w:rPr>
        <w:t xml:space="preserve"> and the index may run in frontal-theta-only mode.</w:t>
      </w:r>
    </w:p>
    <w:p w14:paraId="0D3C2B8B" w14:textId="77777777" w:rsidR="0090527B" w:rsidRDefault="00000000">
      <w:pPr>
        <w:pStyle w:val="ListParagraph"/>
        <w:numPr>
          <w:ilvl w:val="0"/>
          <w:numId w:val="2"/>
        </w:numPr>
        <w:spacing w:after="80" w:line="276" w:lineRule="auto"/>
      </w:pPr>
      <w:r>
        <w:rPr>
          <w:sz w:val="22"/>
          <w:szCs w:val="22"/>
        </w:rPr>
        <w:t>The difficulty axes are unequally potent for the agent, and the telegraph axis may contribute little to agent-side difficulty variation even after rebalancing.</w:t>
      </w:r>
    </w:p>
    <w:p w14:paraId="585F35A8" w14:textId="77777777" w:rsidR="0090527B" w:rsidRDefault="00000000">
      <w:pPr>
        <w:pStyle w:val="ListParagraph"/>
        <w:numPr>
          <w:ilvl w:val="0"/>
          <w:numId w:val="2"/>
        </w:numPr>
        <w:spacing w:after="80" w:line="276" w:lineRule="auto"/>
      </w:pPr>
      <w:r>
        <w:rPr>
          <w:sz w:val="22"/>
          <w:szCs w:val="22"/>
        </w:rPr>
        <w:t>Testing both forward and reverse orderings widens the comparison family; the correction is applied but the design is less powerful than a single-direction test would have been.</w:t>
      </w:r>
    </w:p>
    <w:p w14:paraId="579A56C8" w14:textId="77777777" w:rsidR="0090527B" w:rsidRDefault="00000000">
      <w:pPr>
        <w:pStyle w:val="Heading1"/>
        <w:spacing w:before="330" w:after="140"/>
      </w:pPr>
      <w:r>
        <w:rPr>
          <w:b/>
          <w:bCs/>
          <w:color w:val="1F3864"/>
          <w:sz w:val="28"/>
          <w:szCs w:val="28"/>
        </w:rPr>
        <w:t>A12. References</w:t>
      </w:r>
    </w:p>
    <w:p w14:paraId="57000DF2" w14:textId="77777777" w:rsidR="0090527B" w:rsidRDefault="00000000">
      <w:pPr>
        <w:spacing w:after="130" w:line="276" w:lineRule="auto"/>
      </w:pPr>
      <w:r>
        <w:rPr>
          <w:sz w:val="22"/>
          <w:szCs w:val="22"/>
        </w:rPr>
        <w:t>Agarwal, R., Schwarzer, M., Castro, P. S., Courville, A., &amp; Bellemare, M. G. (2021). Deep reinforcement learning at the edge of the statistical precipice. Advances in Neural Information Processing Systems, 34, 29304–29320.</w:t>
      </w:r>
    </w:p>
    <w:p w14:paraId="3823EE35" w14:textId="77777777" w:rsidR="0090527B" w:rsidRDefault="00000000">
      <w:pPr>
        <w:spacing w:after="130" w:line="276" w:lineRule="auto"/>
      </w:pPr>
      <w:r>
        <w:rPr>
          <w:sz w:val="22"/>
          <w:szCs w:val="22"/>
        </w:rPr>
        <w:t xml:space="preserve">Bengio, Y., </w:t>
      </w:r>
      <w:proofErr w:type="spellStart"/>
      <w:r>
        <w:rPr>
          <w:sz w:val="22"/>
          <w:szCs w:val="22"/>
        </w:rPr>
        <w:t>Louradour</w:t>
      </w:r>
      <w:proofErr w:type="spellEnd"/>
      <w:r>
        <w:rPr>
          <w:sz w:val="22"/>
          <w:szCs w:val="22"/>
        </w:rPr>
        <w:t xml:space="preserve">, J., </w:t>
      </w:r>
      <w:proofErr w:type="spellStart"/>
      <w:r>
        <w:rPr>
          <w:sz w:val="22"/>
          <w:szCs w:val="22"/>
        </w:rPr>
        <w:t>Collobert</w:t>
      </w:r>
      <w:proofErr w:type="spellEnd"/>
      <w:r>
        <w:rPr>
          <w:sz w:val="22"/>
          <w:szCs w:val="22"/>
        </w:rPr>
        <w:t>, R., &amp; Weston, J. (2009). Curriculum learning. Proceedings of the 26th International Conference on Machine Learning, 41–48.</w:t>
      </w:r>
    </w:p>
    <w:p w14:paraId="5576334E" w14:textId="77777777" w:rsidR="0090527B" w:rsidRDefault="00000000">
      <w:pPr>
        <w:spacing w:after="130" w:line="276" w:lineRule="auto"/>
      </w:pPr>
      <w:r>
        <w:rPr>
          <w:sz w:val="22"/>
          <w:szCs w:val="22"/>
        </w:rPr>
        <w:t>Chikhi, S., Matton, N., &amp; Blanchet, S. (2022). EEG power spectral measures of cognitive workload: A meta-analysis. Psychophysiology, 59(6), e14009.</w:t>
      </w:r>
    </w:p>
    <w:p w14:paraId="329B1F30" w14:textId="77777777" w:rsidR="0090527B" w:rsidRDefault="00000000">
      <w:pPr>
        <w:spacing w:after="130" w:line="276" w:lineRule="auto"/>
      </w:pPr>
      <w:proofErr w:type="spellStart"/>
      <w:r>
        <w:rPr>
          <w:sz w:val="22"/>
          <w:szCs w:val="22"/>
        </w:rPr>
        <w:t>Gevins</w:t>
      </w:r>
      <w:proofErr w:type="spellEnd"/>
      <w:r>
        <w:rPr>
          <w:sz w:val="22"/>
          <w:szCs w:val="22"/>
        </w:rPr>
        <w:t>, A., Smith, M. E., McEvoy, L., &amp; Yu, D. (1997). High-resolution EEG mapping of cortical activation related to working memory. Cerebral Cortex, 7(4), 374–385.</w:t>
      </w:r>
    </w:p>
    <w:p w14:paraId="040844D7" w14:textId="77777777" w:rsidR="0090527B" w:rsidRDefault="00000000">
      <w:pPr>
        <w:spacing w:after="130" w:line="276" w:lineRule="auto"/>
      </w:pPr>
      <w:r>
        <w:rPr>
          <w:sz w:val="22"/>
          <w:szCs w:val="22"/>
        </w:rPr>
        <w:t xml:space="preserve">Jiang, M., </w:t>
      </w:r>
      <w:proofErr w:type="spellStart"/>
      <w:r>
        <w:rPr>
          <w:sz w:val="22"/>
          <w:szCs w:val="22"/>
        </w:rPr>
        <w:t>Grefenstette</w:t>
      </w:r>
      <w:proofErr w:type="spellEnd"/>
      <w:r>
        <w:rPr>
          <w:sz w:val="22"/>
          <w:szCs w:val="22"/>
        </w:rPr>
        <w:t xml:space="preserve">, E., &amp; </w:t>
      </w:r>
      <w:proofErr w:type="spellStart"/>
      <w:r>
        <w:rPr>
          <w:sz w:val="22"/>
          <w:szCs w:val="22"/>
        </w:rPr>
        <w:t>Rocktäschel</w:t>
      </w:r>
      <w:proofErr w:type="spellEnd"/>
      <w:r>
        <w:rPr>
          <w:sz w:val="22"/>
          <w:szCs w:val="22"/>
        </w:rPr>
        <w:t>, T. (2021). Prioritized level replay. Proceedings of the 38th International Conference on Machine Learning, PMLR 139, 4940–4950.</w:t>
      </w:r>
    </w:p>
    <w:p w14:paraId="4C459BC2" w14:textId="77777777" w:rsidR="0090527B" w:rsidRDefault="00000000">
      <w:pPr>
        <w:spacing w:after="130" w:line="276" w:lineRule="auto"/>
      </w:pPr>
      <w:r>
        <w:rPr>
          <w:sz w:val="22"/>
          <w:szCs w:val="22"/>
        </w:rPr>
        <w:t>Moravec, H. (1988). Mind Children: The Future of Robot and Human Intelligence. Harvard University Press.</w:t>
      </w:r>
    </w:p>
    <w:p w14:paraId="25754F66" w14:textId="77777777" w:rsidR="0090527B" w:rsidRDefault="00000000">
      <w:pPr>
        <w:spacing w:after="130" w:line="276" w:lineRule="auto"/>
      </w:pPr>
      <w:r>
        <w:rPr>
          <w:sz w:val="22"/>
          <w:szCs w:val="22"/>
        </w:rPr>
        <w:t xml:space="preserve">Klimesch, W. (1999). EEG alpha and theta oscillations reflect cognitive and memory performance: </w:t>
      </w:r>
      <w:proofErr w:type="gramStart"/>
      <w:r>
        <w:rPr>
          <w:sz w:val="22"/>
          <w:szCs w:val="22"/>
        </w:rPr>
        <w:t>a review</w:t>
      </w:r>
      <w:proofErr w:type="gramEnd"/>
      <w:r>
        <w:rPr>
          <w:sz w:val="22"/>
          <w:szCs w:val="22"/>
        </w:rPr>
        <w:t xml:space="preserve"> and analysis. Brain Research Reviews, 29(2–3), 169–195.</w:t>
      </w:r>
    </w:p>
    <w:p w14:paraId="2073C171" w14:textId="77777777" w:rsidR="0090527B" w:rsidRDefault="00000000">
      <w:pPr>
        <w:spacing w:after="130" w:line="276" w:lineRule="auto"/>
      </w:pPr>
      <w:r>
        <w:rPr>
          <w:sz w:val="22"/>
          <w:szCs w:val="22"/>
        </w:rPr>
        <w:t xml:space="preserve">Lim, W. L., </w:t>
      </w:r>
      <w:proofErr w:type="spellStart"/>
      <w:r>
        <w:rPr>
          <w:sz w:val="22"/>
          <w:szCs w:val="22"/>
        </w:rPr>
        <w:t>Sourina</w:t>
      </w:r>
      <w:proofErr w:type="spellEnd"/>
      <w:r>
        <w:rPr>
          <w:sz w:val="22"/>
          <w:szCs w:val="22"/>
        </w:rPr>
        <w:t>, O., &amp; Wang, L. P. (2018). STEW: Simultaneous task EEG workload data set. IEEE Transactions on Neural Systems and Rehabilitation Engineering, 26(11), 2106–2114.</w:t>
      </w:r>
    </w:p>
    <w:p w14:paraId="13D0C72C" w14:textId="77777777" w:rsidR="0090527B" w:rsidRDefault="00000000">
      <w:pPr>
        <w:spacing w:after="130" w:line="276" w:lineRule="auto"/>
      </w:pPr>
      <w:r>
        <w:rPr>
          <w:sz w:val="22"/>
          <w:szCs w:val="22"/>
        </w:rPr>
        <w:t xml:space="preserve">Zyma, I., </w:t>
      </w:r>
      <w:proofErr w:type="spellStart"/>
      <w:r>
        <w:rPr>
          <w:sz w:val="22"/>
          <w:szCs w:val="22"/>
        </w:rPr>
        <w:t>Tukaev</w:t>
      </w:r>
      <w:proofErr w:type="spellEnd"/>
      <w:r>
        <w:rPr>
          <w:sz w:val="22"/>
          <w:szCs w:val="22"/>
        </w:rPr>
        <w:t>, S., Seleznov, I., et al. (2019). Electroencephalograms during mental arithmetic task performance. Data, 4(1), 14. Dataset: PhysioNet EEGMAT v1.0.0.</w:t>
      </w:r>
    </w:p>
    <w:sectPr w:rsidR="0090527B">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B1039"/>
    <w:multiLevelType w:val="hybridMultilevel"/>
    <w:tmpl w:val="5FB88BA4"/>
    <w:lvl w:ilvl="0" w:tplc="78EA048C">
      <w:start w:val="1"/>
      <w:numFmt w:val="bullet"/>
      <w:lvlText w:val="●"/>
      <w:lvlJc w:val="left"/>
      <w:pPr>
        <w:ind w:left="720" w:hanging="360"/>
      </w:pPr>
    </w:lvl>
    <w:lvl w:ilvl="1" w:tplc="ACACD628">
      <w:start w:val="1"/>
      <w:numFmt w:val="bullet"/>
      <w:lvlText w:val="○"/>
      <w:lvlJc w:val="left"/>
      <w:pPr>
        <w:ind w:left="1440" w:hanging="360"/>
      </w:pPr>
    </w:lvl>
    <w:lvl w:ilvl="2" w:tplc="5852AB3A">
      <w:start w:val="1"/>
      <w:numFmt w:val="bullet"/>
      <w:lvlText w:val="■"/>
      <w:lvlJc w:val="left"/>
      <w:pPr>
        <w:ind w:left="2160" w:hanging="360"/>
      </w:pPr>
    </w:lvl>
    <w:lvl w:ilvl="3" w:tplc="84FEAD0A">
      <w:start w:val="1"/>
      <w:numFmt w:val="bullet"/>
      <w:lvlText w:val="●"/>
      <w:lvlJc w:val="left"/>
      <w:pPr>
        <w:ind w:left="2880" w:hanging="360"/>
      </w:pPr>
    </w:lvl>
    <w:lvl w:ilvl="4" w:tplc="CE205E40">
      <w:start w:val="1"/>
      <w:numFmt w:val="bullet"/>
      <w:lvlText w:val="○"/>
      <w:lvlJc w:val="left"/>
      <w:pPr>
        <w:ind w:left="3600" w:hanging="360"/>
      </w:pPr>
    </w:lvl>
    <w:lvl w:ilvl="5" w:tplc="189C7DAC">
      <w:start w:val="1"/>
      <w:numFmt w:val="bullet"/>
      <w:lvlText w:val="■"/>
      <w:lvlJc w:val="left"/>
      <w:pPr>
        <w:ind w:left="4320" w:hanging="360"/>
      </w:pPr>
    </w:lvl>
    <w:lvl w:ilvl="6" w:tplc="984E5D7E">
      <w:start w:val="1"/>
      <w:numFmt w:val="bullet"/>
      <w:lvlText w:val="●"/>
      <w:lvlJc w:val="left"/>
      <w:pPr>
        <w:ind w:left="5040" w:hanging="360"/>
      </w:pPr>
    </w:lvl>
    <w:lvl w:ilvl="7" w:tplc="39B2B31E">
      <w:start w:val="1"/>
      <w:numFmt w:val="bullet"/>
      <w:lvlText w:val="●"/>
      <w:lvlJc w:val="left"/>
      <w:pPr>
        <w:ind w:left="5760" w:hanging="360"/>
      </w:pPr>
    </w:lvl>
    <w:lvl w:ilvl="8" w:tplc="0B283D0A">
      <w:start w:val="1"/>
      <w:numFmt w:val="bullet"/>
      <w:lvlText w:val="●"/>
      <w:lvlJc w:val="left"/>
      <w:pPr>
        <w:ind w:left="6480" w:hanging="360"/>
      </w:pPr>
    </w:lvl>
  </w:abstractNum>
  <w:abstractNum w:abstractNumId="1" w15:restartNumberingAfterBreak="0">
    <w:nsid w:val="7CF10ADD"/>
    <w:multiLevelType w:val="hybridMultilevel"/>
    <w:tmpl w:val="CA96774A"/>
    <w:lvl w:ilvl="0" w:tplc="EA9AA578">
      <w:start w:val="1"/>
      <w:numFmt w:val="bullet"/>
      <w:lvlText w:val="•"/>
      <w:lvlJc w:val="left"/>
      <w:pPr>
        <w:ind w:left="504" w:hanging="288"/>
      </w:pPr>
    </w:lvl>
    <w:lvl w:ilvl="1" w:tplc="9E629594">
      <w:numFmt w:val="decimal"/>
      <w:lvlText w:val=""/>
      <w:lvlJc w:val="left"/>
    </w:lvl>
    <w:lvl w:ilvl="2" w:tplc="D10C637C">
      <w:numFmt w:val="decimal"/>
      <w:lvlText w:val=""/>
      <w:lvlJc w:val="left"/>
    </w:lvl>
    <w:lvl w:ilvl="3" w:tplc="EE10714E">
      <w:numFmt w:val="decimal"/>
      <w:lvlText w:val=""/>
      <w:lvlJc w:val="left"/>
    </w:lvl>
    <w:lvl w:ilvl="4" w:tplc="4B74F284">
      <w:numFmt w:val="decimal"/>
      <w:lvlText w:val=""/>
      <w:lvlJc w:val="left"/>
    </w:lvl>
    <w:lvl w:ilvl="5" w:tplc="7C92922A">
      <w:numFmt w:val="decimal"/>
      <w:lvlText w:val=""/>
      <w:lvlJc w:val="left"/>
    </w:lvl>
    <w:lvl w:ilvl="6" w:tplc="C0A40030">
      <w:numFmt w:val="decimal"/>
      <w:lvlText w:val=""/>
      <w:lvlJc w:val="left"/>
    </w:lvl>
    <w:lvl w:ilvl="7" w:tplc="907EB9DA">
      <w:numFmt w:val="decimal"/>
      <w:lvlText w:val=""/>
      <w:lvlJc w:val="left"/>
    </w:lvl>
    <w:lvl w:ilvl="8" w:tplc="4E023C18">
      <w:numFmt w:val="decimal"/>
      <w:lvlText w:val=""/>
      <w:lvlJc w:val="left"/>
    </w:lvl>
  </w:abstractNum>
  <w:num w:numId="1" w16cid:durableId="289867648">
    <w:abstractNumId w:val="0"/>
    <w:lvlOverride w:ilvl="0">
      <w:startOverride w:val="1"/>
    </w:lvlOverride>
  </w:num>
  <w:num w:numId="2" w16cid:durableId="9970282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27B"/>
    <w:rsid w:val="000663E2"/>
    <w:rsid w:val="006368CF"/>
    <w:rsid w:val="00905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7CFF7"/>
  <w15:docId w15:val="{B76449E6-2A60-4D55-994C-FC43B4AE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66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iddik1E90FF/Capsto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4752</Words>
  <Characters>27088</Characters>
  <Application>Microsoft Office Word</Application>
  <DocSecurity>0</DocSecurity>
  <Lines>225</Lines>
  <Paragraphs>63</Paragraphs>
  <ScaleCrop>false</ScaleCrop>
  <Company/>
  <LinksUpToDate>false</LinksUpToDate>
  <CharactersWithSpaces>31777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Johnson</cp:lastModifiedBy>
  <cp:revision>2</cp:revision>
  <dcterms:created xsi:type="dcterms:W3CDTF">2026-09-16T17:23:00Z</dcterms:created>
  <dcterms:modified xsi:type="dcterms:W3CDTF">2026-10-05T23:09:00Z</dcterms:modified>
</cp:coreProperties>
</file>