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3c4043"/>
          <w:sz w:val="27"/>
          <w:szCs w:val="2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7"/>
          <w:szCs w:val="27"/>
          <w:highlight w:val="white"/>
          <w:u w:val="single"/>
          <w:rtl w:val="0"/>
        </w:rPr>
        <w:t xml:space="preserve">graphe heatmap de corrélation</w:t>
      </w:r>
      <w:r w:rsidDel="00000000" w:rsidR="00000000" w:rsidRPr="00000000">
        <w:rPr>
          <w:rFonts w:ascii="Roboto" w:cs="Roboto" w:eastAsia="Roboto" w:hAnsi="Roboto"/>
          <w:color w:val="3c4043"/>
          <w:sz w:val="27"/>
          <w:szCs w:val="27"/>
          <w:highlight w:val="white"/>
          <w:rtl w:val="0"/>
        </w:rPr>
        <w:t xml:space="preserve"> est une matrice de visualisation 2D permettant d'afficher la force et le sens des relations (corrélations) entre plusieurs variables numériques.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3c4043"/>
          <w:sz w:val="27"/>
          <w:szCs w:val="2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7"/>
          <w:szCs w:val="27"/>
          <w:highlight w:val="white"/>
          <w:rtl w:val="0"/>
        </w:rPr>
        <w:t xml:space="preserve">Chaque cellule colorée indique le coefficient de corrélation, avec des nuances de rouge pour les corrélations positives fortes et de bleu/vert pour les négatives fortes, facilitant l'identification rapide des tendances et des modèles complexes dans les données. 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3c404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3c4043"/>
          <w:sz w:val="27"/>
          <w:szCs w:val="2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7"/>
          <w:szCs w:val="27"/>
          <w:highlight w:val="white"/>
        </w:rPr>
        <w:drawing>
          <wp:inline distB="114300" distT="114300" distL="114300" distR="114300">
            <wp:extent cx="5376863" cy="397459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1603"/>
                    <a:stretch>
                      <a:fillRect/>
                    </a:stretch>
                  </pic:blipFill>
                  <pic:spPr>
                    <a:xfrm>
                      <a:off x="0" y="0"/>
                      <a:ext cx="5376863" cy="39745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