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jc w:val="center"/>
        <w:outlineLvl w:val="4"/>
        <w:divId w:val="806748950"/>
        <w:rPr>
          <w:rFonts w:ascii="Times New Roman" w:eastAsia="Times New Roman" w:hAnsi="Times New Roman"/>
          <w:cap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caps/>
          <w:color w:val="000000" w:themeColor="text1"/>
          <w:sz w:val="32"/>
          <w:szCs w:val="32"/>
        </w:rPr>
        <w:t xml:space="preserve">ДОГОВОР ОБЯЗАТЕЛЬНОГО ЛИЧНОГО СТРАХОВАНИЯ ПАССАЖИРОВ № </w:t>
      </w:r>
      <w:r w:rsidR="00363A42" w:rsidRPr="00363A42">
        <w:rPr>
          <w:rFonts w:ascii="Times New Roman" w:eastAsia="Times New Roman" w:hAnsi="Times New Roman"/>
          <w:caps/>
          <w:color w:val="000000" w:themeColor="text1"/>
          <w:sz w:val="32"/>
          <w:szCs w:val="32"/>
        </w:rPr>
        <w:t>{</w:t>
      </w:r>
      <w:r w:rsidR="00363A42">
        <w:rPr>
          <w:rFonts w:ascii="Times New Roman" w:eastAsia="Times New Roman" w:hAnsi="Times New Roman"/>
          <w:caps/>
          <w:color w:val="000000" w:themeColor="text1"/>
          <w:sz w:val="32"/>
          <w:szCs w:val="32"/>
        </w:rPr>
        <w:t>номер</w:t>
      </w:r>
      <w:r w:rsidR="00363A42" w:rsidRPr="00363A42">
        <w:rPr>
          <w:rFonts w:ascii="Times New Roman" w:eastAsia="Times New Roman" w:hAnsi="Times New Roman"/>
          <w:caps/>
          <w:color w:val="000000" w:themeColor="text1"/>
          <w:sz w:val="32"/>
          <w:szCs w:val="32"/>
        </w:rPr>
        <w:t>}</w:t>
      </w:r>
    </w:p>
    <w:p w:rsidR="00000000" w:rsidRDefault="00000000">
      <w:pPr>
        <w:jc w:val="center"/>
        <w:outlineLvl w:val="4"/>
        <w:divId w:val="806748950"/>
        <w:rPr>
          <w:rFonts w:ascii="Times New Roman" w:eastAsia="Times New Roman" w:hAnsi="Times New Roman"/>
          <w:caps/>
          <w:color w:val="000000" w:themeColor="text1"/>
          <w:sz w:val="32"/>
          <w:szCs w:val="32"/>
        </w:rPr>
      </w:pPr>
    </w:p>
    <w:p w:rsidR="00000000" w:rsidRDefault="00000000">
      <w:pPr>
        <w:jc w:val="both"/>
        <w:divId w:val="80674895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г. </w:t>
      </w:r>
      <w:r w:rsidR="00363A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Гомель                                                                                                                </w:t>
      </w:r>
      <w:r w:rsidR="00363A42" w:rsidRPr="00363A42">
        <w:rPr>
          <w:rFonts w:ascii="Times New Roman" w:eastAsia="Times New Roman" w:hAnsi="Times New Roman"/>
          <w:color w:val="000000" w:themeColor="text1"/>
          <w:sz w:val="24"/>
          <w:szCs w:val="24"/>
        </w:rPr>
        <w:t>{</w:t>
      </w:r>
      <w:r w:rsidR="00363A42">
        <w:rPr>
          <w:rFonts w:ascii="Times New Roman" w:eastAsia="Times New Roman" w:hAnsi="Times New Roman"/>
          <w:color w:val="000000" w:themeColor="text1"/>
          <w:sz w:val="24"/>
          <w:szCs w:val="24"/>
        </w:rPr>
        <w:t>дата</w:t>
      </w:r>
      <w:r w:rsidR="00363A42" w:rsidRPr="00363A42">
        <w:rPr>
          <w:rFonts w:ascii="Times New Roman" w:eastAsia="Times New Roman" w:hAnsi="Times New Roman"/>
          <w:color w:val="000000" w:themeColor="text1"/>
          <w:sz w:val="24"/>
          <w:szCs w:val="24"/>
        </w:rPr>
        <w:t>}</w:t>
      </w:r>
      <w:r w:rsidR="00363A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г. </w:t>
      </w:r>
    </w:p>
    <w:p w:rsidR="00000000" w:rsidRDefault="00363A42">
      <w:pPr>
        <w:jc w:val="both"/>
        <w:divId w:val="158159575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363A4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Белорусское республиканское унитарное страховое предприятие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«</w:t>
      </w:r>
      <w:r w:rsidRPr="00363A42">
        <w:rPr>
          <w:rFonts w:ascii="Times New Roman" w:eastAsia="Times New Roman" w:hAnsi="Times New Roman"/>
          <w:color w:val="000000" w:themeColor="text1"/>
          <w:sz w:val="24"/>
          <w:szCs w:val="24"/>
        </w:rPr>
        <w:t>Insurance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»</w:t>
      </w:r>
      <w:r w:rsidR="0000000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(наименование страховой организации) </w:t>
      </w:r>
      <w:r w:rsidR="00853486" w:rsidRPr="00853486">
        <w:rPr>
          <w:rFonts w:ascii="Times New Roman" w:eastAsia="Times New Roman" w:hAnsi="Times New Roman"/>
          <w:color w:val="000000" w:themeColor="text1"/>
          <w:sz w:val="24"/>
          <w:szCs w:val="24"/>
        </w:rPr>
        <w:t>действующего</w:t>
      </w:r>
      <w:r w:rsidR="0085348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на основании </w:t>
      </w:r>
      <w:r w:rsidR="0000000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лицензия </w:t>
      </w:r>
      <w:r w:rsidRPr="00363A42">
        <w:rPr>
          <w:rFonts w:ascii="Times New Roman" w:eastAsia="Times New Roman" w:hAnsi="Times New Roman"/>
          <w:color w:val="000000" w:themeColor="text1"/>
          <w:sz w:val="24"/>
          <w:szCs w:val="24"/>
        </w:rPr>
        <w:t>№02200/13-00009 на право осуществления страховой деятельности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r w:rsidR="0000000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выданная 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М</w:t>
      </w:r>
      <w:r w:rsidRPr="00363A42">
        <w:rPr>
          <w:rFonts w:ascii="Times New Roman" w:eastAsia="Times New Roman" w:hAnsi="Times New Roman"/>
          <w:color w:val="000000" w:themeColor="text1"/>
          <w:sz w:val="24"/>
          <w:szCs w:val="24"/>
        </w:rPr>
        <w:t>инистерством финансов Республики Беларусь 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(наименование органа), в лице </w:t>
      </w:r>
      <w:r w:rsidRPr="00363A42">
        <w:rPr>
          <w:rFonts w:ascii="Times New Roman" w:eastAsia="Times New Roman" w:hAnsi="Times New Roman"/>
          <w:color w:val="000000" w:themeColor="text1"/>
          <w:sz w:val="24"/>
          <w:szCs w:val="24"/>
        </w:rPr>
        <w:t>{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страховщик</w:t>
      </w:r>
      <w:r w:rsidRPr="00363A42">
        <w:rPr>
          <w:rFonts w:ascii="Times New Roman" w:eastAsia="Times New Roman" w:hAnsi="Times New Roman"/>
          <w:color w:val="000000" w:themeColor="text1"/>
          <w:sz w:val="24"/>
          <w:szCs w:val="24"/>
        </w:rPr>
        <w:t>}</w:t>
      </w:r>
      <w:r w:rsidR="0000000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действующего на основании </w:t>
      </w:r>
      <w:r w:rsidRPr="00363A42">
        <w:rPr>
          <w:rFonts w:ascii="Times New Roman" w:eastAsia="Times New Roman" w:hAnsi="Times New Roman"/>
          <w:color w:val="000000" w:themeColor="text1"/>
          <w:sz w:val="24"/>
          <w:szCs w:val="24"/>
        </w:rPr>
        <w:t>на основании доверенности №454</w:t>
      </w:r>
      <w:r w:rsidR="00000000">
        <w:rPr>
          <w:rFonts w:ascii="Times New Roman" w:eastAsia="Times New Roman" w:hAnsi="Times New Roman"/>
          <w:color w:val="000000" w:themeColor="text1"/>
          <w:sz w:val="24"/>
          <w:szCs w:val="24"/>
        </w:rPr>
        <w:t>, именуемый в дальнейшем «</w:t>
      </w:r>
      <w:r w:rsidR="0000000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Страховщик</w:t>
      </w:r>
      <w:r w:rsidR="0000000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», с одной стороны, и </w:t>
      </w:r>
      <w:r w:rsidR="003919F0" w:rsidRPr="003919F0">
        <w:rPr>
          <w:rFonts w:ascii="Times New Roman" w:eastAsia="Times New Roman" w:hAnsi="Times New Roman"/>
          <w:color w:val="000000" w:themeColor="text1"/>
          <w:sz w:val="24"/>
          <w:szCs w:val="24"/>
        </w:rPr>
        <w:t>РУП «Гомельское отделение Белорусской железной дороги»</w:t>
      </w:r>
      <w:r w:rsidR="0000000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в лице </w:t>
      </w:r>
      <w:r w:rsidR="003919F0" w:rsidRPr="00363A42">
        <w:rPr>
          <w:rFonts w:ascii="Times New Roman" w:eastAsia="Times New Roman" w:hAnsi="Times New Roman"/>
          <w:color w:val="000000" w:themeColor="text1"/>
          <w:sz w:val="24"/>
          <w:szCs w:val="24"/>
        </w:rPr>
        <w:t>{</w:t>
      </w:r>
      <w:r w:rsidR="003919F0">
        <w:rPr>
          <w:rFonts w:ascii="Times New Roman" w:eastAsia="Times New Roman" w:hAnsi="Times New Roman"/>
          <w:color w:val="000000" w:themeColor="text1"/>
          <w:sz w:val="24"/>
          <w:szCs w:val="24"/>
        </w:rPr>
        <w:t>страхователь</w:t>
      </w:r>
      <w:r w:rsidR="003919F0" w:rsidRPr="003919F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} </w:t>
      </w:r>
      <w:r w:rsidR="0000000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действующего на основании 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на основании </w:t>
      </w:r>
      <w:r w:rsidRPr="00363A42">
        <w:rPr>
          <w:rFonts w:ascii="Times New Roman" w:eastAsia="Times New Roman" w:hAnsi="Times New Roman"/>
          <w:color w:val="000000" w:themeColor="text1"/>
          <w:sz w:val="24"/>
          <w:szCs w:val="24"/>
        </w:rPr>
        <w:t>на основании доверенности №45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145</w:t>
      </w:r>
      <w:r w:rsidRPr="00363A42">
        <w:rPr>
          <w:rFonts w:ascii="Times New Roman" w:eastAsia="Times New Roman" w:hAnsi="Times New Roman"/>
          <w:color w:val="000000" w:themeColor="text1"/>
          <w:sz w:val="24"/>
          <w:szCs w:val="24"/>
        </w:rPr>
        <w:t>4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</w:t>
      </w:r>
      <w:r w:rsidR="00000000">
        <w:rPr>
          <w:rFonts w:ascii="Times New Roman" w:eastAsia="Times New Roman" w:hAnsi="Times New Roman"/>
          <w:color w:val="000000" w:themeColor="text1"/>
          <w:sz w:val="24"/>
          <w:szCs w:val="24"/>
        </w:rPr>
        <w:t>именуемый в дальнейшем «</w:t>
      </w:r>
      <w:r w:rsidR="0000000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Страхователь</w:t>
      </w:r>
      <w:r w:rsidR="00000000">
        <w:rPr>
          <w:rFonts w:ascii="Times New Roman" w:eastAsia="Times New Roman" w:hAnsi="Times New Roman"/>
          <w:color w:val="000000" w:themeColor="text1"/>
          <w:sz w:val="24"/>
          <w:szCs w:val="24"/>
        </w:rPr>
        <w:t>», с другой стороны, именуемые в дальнейшем «</w:t>
      </w:r>
      <w:r w:rsidR="0000000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Стороны</w:t>
      </w:r>
      <w:r w:rsidR="0000000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», заключили настоящий договор, в дальнейшем «Договор», о нижеследующем: </w:t>
      </w:r>
    </w:p>
    <w:p w:rsidR="00000000" w:rsidRDefault="00000000">
      <w:pPr>
        <w:jc w:val="both"/>
        <w:divId w:val="158159575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1. Предмет договора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Страховщик обязуется при страховом случае произвести страховую выплату застрахованному (его наследникам), а Страхователь обязуется уплачивать страховые взносы в установленные договором сроки.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2. Объект страхования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2.1. Объектом страхования являются имущественные интересы пассажиров (туристов, экскурсантов) (*), перевозимых Страхователем, связанные с их жизнью и здоровьем (далее по тексту - застрахованные).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Страхованию подлежат пассажиры воздушного, железнодорожного, морского, внутреннего водного и автомобильного транспорта, а также туристы и экскурсанты, совершающие международные экскурсии по линии туристическо-экскурсионных организаций, на время поездки (полета).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Права застрахованных на обеспечение страховой защитой реализуются через Страхователя в порядке и на условиях, установленных действующим законодательством.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(*) Далее по тексту - пассажиров.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2.2. Страхованию не подлежат пассажиры всех видов транспорта международных сообщений, железнодорожного, морского, внутреннего водного и автомобильного транспорта пригородного сообщения, морского и внутреннего водного транспорта внутригородского сообщения и переправ, автомобильного транспорта на городских маршрутах.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3. Страховая сумма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Страховой суммой является денежная сумма, в пределах которой Страховщик несет ответственность по договору.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Страховая сумма на одного застрахованного установлена в размере </w:t>
      </w:r>
      <w:r w:rsidR="003919F0" w:rsidRP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1000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установленных законом на дату приобретения проездного документа минимальных размеров оплаты труда.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4. Страховые случаи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lastRenderedPageBreak/>
        <w:t>Страховыми случаями признаются травмы и смерть застрахованного в результате несчастного случая на транспорте.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5. Размер страхового взноса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Размер страхового взноса установлен в сумме </w:t>
      </w:r>
      <w:r w:rsidR="003919F0" w:rsidRP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{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взнос</w:t>
      </w:r>
      <w:r w:rsidR="003919F0" w:rsidRP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}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рублей (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10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% стоимости билета) на одного застрахованного, при этом: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доля расходов на ведение дела составляет 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5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%;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доля отчислений в резерв предупредительных мероприятий составляет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15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%;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нетто-ставка составляет 1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2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%.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6. Сроки и порядок внесения страхового взноса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6.1. Сумма страхового взноса (п. 5) включается в стоимость проездного документа (путевки) и взимается с пассажира при продаже проездного документа (путевки).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Пассажиры, пользующиеся правом бесплатного проезда, подлежат страхованию без уплаты ими страхового взноса.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6.2. Страхователь </w:t>
      </w:r>
      <w:r w:rsidR="003919F0" w:rsidRP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{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оплата</w:t>
      </w:r>
      <w:r w:rsidR="003919F0" w:rsidRP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}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(периодичность перечисления (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единовременно, в два срока, ежеквартально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) не позже </w:t>
      </w:r>
      <w:r w:rsidR="003919F0" w:rsidRP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{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число</w:t>
      </w:r>
      <w:r w:rsidR="003919F0" w:rsidRP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}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числа месяца перечисляет страховые взносы на расчетный счет Страховщика №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464261869468585 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(банковские реквизиты Страховщика).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7. Права и обязанности сторон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7.1. Страхователь имеет право предоставить Страховщику перечень мероприятий по предупреждению несчастных случаев на транспорте, финансируемых за счет резерва предупредительных мероприятий, создаваемых страховщиком по обязательному личному страхованию пассажиров, с целью обеспечения безопасности перевозок.</w:t>
      </w:r>
    </w:p>
    <w:p w:rsidR="00000000" w:rsidRPr="003919F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Перечень предупредительных мероприятий устанавливается Министерства транспорта и коммуникаций </w:t>
      </w:r>
      <w:r w:rsidRP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Республики Беларусь.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Страхователь имеет право проверять выполнение Страховщиком требований и условий договора.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7.2. В период действия договора Страховщик имеет право проверять сообщенную Страхователем информацию, а также выполнение Страхователем требований и условий страхования и настоящего договора и направлять запросы в компетентные органы.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7.3. В период действия договора Страхователь обязан: перечислять страховые взносы в сроки, установленные договором; составить акт о каждом несчастном случае, происшедшем на транспорте с застрахованным, в порядке, установленном действующим законодательством, первый экземпляр которого вручить застрахованному (его представителю или наследникам), а также по письменному запросу Страховщика направить ему копию указанного акта в течение 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10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дней с момента получения запроса.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7.4. В период действия договора Страховщик обязан: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при наступлении страхового случая произвести выплату страхового обеспечения не позднее 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15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дней после получения всех необходимых документов, подтверждающих факт страхового случая;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формировать резерв для финансирования мероприятий по предупреждению несчастных случаев на транспорте за счет части страховых взносов по обязательному личному страхованию пассажиров в размере 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1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% от суммы поступивших страховых взносов;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финансировать в соответствии с утвержденным Положением за счет созданного резерва указанные предупредительные мероприятия по перечню мероприятий, представленному Страхователем;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довести до сведения каждого застрахованного условия данного договора в части порядка и условий осуществления страховых выплат, а также сведения о Страховщике (с указанием 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lastRenderedPageBreak/>
        <w:t>адреса, телефона, режима работы, реквизитов лицензии, подтверждающей право Страховщика на проведение обязательного личного страхования пассажиров, иных условий договора и действующего законодательства в области данного вида страхования в части, устанавливающей права застрахованного).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8. Порядок взаиморасчетов Страхователя и Страховщика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Порядок взаиморасчетов устанавливается по соглашению сторон совместно в соответствии с п. 7 Указа Президента Республики Беларусь "Об обязательном личном страховании пассажиров".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9. Порядок и условия осуществления страховой выплаты (выплаты страхового обеспечения)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9.1. При наступлении страхового случая Страховщик производит выплату страхового обеспечения застрахованному (его представителю, наследникам) в следующих размерах: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- в случае травмы застрахованного в результате несчастного случая на транспорте ему (или его представителю по поручению застрахованного) выплачивается часть страховой суммы, соответствующая степени тяжести травмы, размер которой определяется по "Таблице размеров страховых сумм, подлежащих выплате в связи со страховыми событиями";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- в случае смерти застрахованного выплата полной страховой суммы производится его наследникам.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9.2. Выплата части страховой суммы в случае травмы застрахованного производится на основании акта о несчастном случае на транспорте, документа, выданного компетентной организацией, подтверждающего тяжесть травмы.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9.3. Выплата полной страховой суммы в случае смерти застрахованного производится на основании акта о несчастном случае, копии свидетельства о смерти застрахованного, документа, удостоверяющего вступление в права наследования.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9.4. Выплаты страхового обеспечения производятся Страховщиком путем перечисления их во вклад на имя получателя в банке, выдачи чека на банк, почтовым переводом за счет получателя или наличными деньгами из кассы Страховщика.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10. Случаи возможного отказа в страховой выплате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Случаи возможного отказа в страховой выплате установлены в соответствии со ст. 21 п.п. "а", "б" Закона Республики Беларусь "О страховании".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11. Ответственность сторон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11.1. При задержке внесения в полном размере страховых взносов свыше 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30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дней Страхователь уплачивает за несвоевременное перечисление страховых взносов пени в размере 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50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% от суммы подлежащих уплате страховых взносов за каждый день просрочки.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11.2. При задержке внесения в полном размере страховых взносов свыше 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60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дней сумма задолженности Страхователя, включая пени (п. 11.1), подлежит списанию в бесспорном порядке с расчетного счета Страхователя.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11.3. В случае необоснованной задержки выплаты суммы страхового обеспечения Страховщик обязан выплатить застрахованному (его наследникам) штраф в размере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200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% от суммы страховой выплаты за каждый день просрочки.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12. Порядок и условия прекращения договора страхования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lastRenderedPageBreak/>
        <w:t>Порядок и условия прекращения договора установлены ст. 23 Закона Республики Беларусь "О страховании".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13. Порядок разрешения споров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13.1. Все неурегулированные между сторонами споры по настоящему договору рассматриваются в порядке, установленном законодательством Республики Беларусь.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13.2. При реализации данного договора стороны руководствуются Законом Республики Беларусь "О страховании", Указом Президента Республики Беларусь "Об обязательном страховании пассажиров" и иными нормативными актами, регулирующими отношения в области обязательного страхования пассажиров.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  <w:t>14. Срок действия договора</w:t>
      </w:r>
    </w:p>
    <w:p w:rsidR="00000000" w:rsidRDefault="00000000">
      <w:pPr>
        <w:jc w:val="center"/>
        <w:outlineLvl w:val="5"/>
        <w:divId w:val="158159575"/>
        <w:rPr>
          <w:rFonts w:ascii="Times New Roman" w:eastAsia="Times New Roman" w:hAnsi="Times New Roman"/>
          <w:caps/>
          <w:color w:val="000000" w:themeColor="text1"/>
          <w:sz w:val="24"/>
          <w:szCs w:val="24"/>
        </w:rPr>
      </w:pP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14.1. Срок действия договора установлен с </w:t>
      </w:r>
      <w:r w:rsidR="003919F0" w:rsidRP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{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датан</w:t>
      </w:r>
      <w:r w:rsidR="003919F0" w:rsidRP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}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 xml:space="preserve"> года по </w:t>
      </w:r>
      <w:r w:rsidR="003919F0" w:rsidRP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{</w:t>
      </w:r>
      <w:r w:rsid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датак</w:t>
      </w:r>
      <w:r w:rsidR="003919F0" w:rsidRPr="003919F0">
        <w:rPr>
          <w:rFonts w:ascii="Times New Roman" w:eastAsiaTheme="minorEastAsia" w:hAnsi="Times New Roman"/>
          <w:color w:val="000000" w:themeColor="text1"/>
          <w:sz w:val="24"/>
          <w:szCs w:val="24"/>
        </w:rPr>
        <w:t>}</w:t>
      </w: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. (*).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14.2. Договор вступает в силу с момента подписания.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14.3. В случае, если стороны не приняли решения о прекращении договора страхования в срок не менее, чем за 60 дней до окончания срока действия договора, договор считается продленным на следующий срок.</w:t>
      </w:r>
    </w:p>
    <w:p w:rsidR="00000000" w:rsidRDefault="0000000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(*) Договор страхования заключается на календарный год.</w:t>
      </w:r>
    </w:p>
    <w:p w:rsidR="00E03AC7" w:rsidRPr="003919F0" w:rsidRDefault="00000000" w:rsidP="003919F0">
      <w:pPr>
        <w:jc w:val="both"/>
        <w:divId w:val="158159575"/>
        <w:rPr>
          <w:rFonts w:ascii="Times New Roman" w:eastAsiaTheme="minorEastAsia" w:hAnsi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/>
          <w:color w:val="000000" w:themeColor="text1"/>
          <w:sz w:val="24"/>
          <w:szCs w:val="24"/>
        </w:rPr>
        <w:t>15. Настоящий договор составлен в двух экземплярах, имеющих одинаковую силу: один экземпляр находится у Страхователя, другой - у Страховщика.</w:t>
      </w:r>
    </w:p>
    <w:sectPr w:rsidR="00E03AC7" w:rsidRPr="00391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C77"/>
    <w:multiLevelType w:val="multilevel"/>
    <w:tmpl w:val="80B6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4E0D50"/>
    <w:multiLevelType w:val="multilevel"/>
    <w:tmpl w:val="AEE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273DA"/>
    <w:multiLevelType w:val="multilevel"/>
    <w:tmpl w:val="78B0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635E09"/>
    <w:multiLevelType w:val="multilevel"/>
    <w:tmpl w:val="A2C6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2253773">
    <w:abstractNumId w:val="0"/>
  </w:num>
  <w:num w:numId="2" w16cid:durableId="292440568">
    <w:abstractNumId w:val="1"/>
  </w:num>
  <w:num w:numId="3" w16cid:durableId="671941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86193989">
    <w:abstractNumId w:val="3"/>
  </w:num>
  <w:num w:numId="5" w16cid:durableId="113330067">
    <w:abstractNumId w:val="2"/>
  </w:num>
  <w:num w:numId="6" w16cid:durableId="52621584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34"/>
    <w:rsid w:val="00363A42"/>
    <w:rsid w:val="003919F0"/>
    <w:rsid w:val="00853486"/>
    <w:rsid w:val="00D66734"/>
    <w:rsid w:val="00E0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56A59A"/>
  <w15:chartTrackingRefBased/>
  <w15:docId w15:val="{79323A5A-4C97-4AAE-8D12-8CAB856C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Theme="minorEastAsia" w:hAnsi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15"/>
      <w:szCs w:val="1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a6">
    <w:name w:val="List Paragraph"/>
    <w:basedOn w:val="a"/>
    <w:uiPriority w:val="34"/>
    <w:semiHidden/>
    <w:qFormat/>
    <w:pPr>
      <w:ind w:left="720"/>
      <w:contextualSpacing/>
    </w:p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paragraph" w:customStyle="1" w:styleId="dogovoritem">
    <w:name w:val="dogovor_item"/>
    <w:basedOn w:val="a"/>
    <w:uiPriority w:val="99"/>
    <w:semiHidden/>
    <w:pPr>
      <w:spacing w:before="600" w:line="336" w:lineRule="auto"/>
    </w:pPr>
    <w:rPr>
      <w:rFonts w:ascii="Times New Roman" w:eastAsiaTheme="minorEastAsia" w:hAnsi="Times New Roman"/>
      <w:color w:val="333333"/>
      <w:sz w:val="21"/>
      <w:szCs w:val="21"/>
    </w:rPr>
  </w:style>
  <w:style w:type="paragraph" w:customStyle="1" w:styleId="sfoot">
    <w:name w:val="sfoot"/>
    <w:basedOn w:val="a"/>
    <w:uiPriority w:val="99"/>
    <w:semiHidden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gorod">
    <w:name w:val="gorod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">
    <w:name w:val="dat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ata2">
    <w:name w:val="dat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0">
    <w:name w:val="w3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200">
    <w:name w:val="w2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50">
    <w:name w:val="w1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100">
    <w:name w:val="w10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50">
    <w:name w:val="w5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30">
    <w:name w:val="w3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w0">
    <w:name w:val="w0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nowrap">
    <w:name w:val="nowrap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etails">
    <w:name w:val="details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">
    <w:name w:val="di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1">
    <w:name w:val="storona1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torona2">
    <w:name w:val="storona2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signatura">
    <w:name w:val="signatura"/>
    <w:basedOn w:val="a"/>
    <w:uiPriority w:val="99"/>
    <w:semiHidden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gorod1">
    <w:name w:val="gorod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1">
    <w:name w:val="data1"/>
    <w:basedOn w:val="a"/>
    <w:uiPriority w:val="99"/>
    <w:semiHidden/>
    <w:pPr>
      <w:spacing w:before="210" w:after="600"/>
    </w:pPr>
    <w:rPr>
      <w:rFonts w:ascii="Times New Roman" w:eastAsiaTheme="minorEastAsia" w:hAnsi="Times New Roman"/>
      <w:sz w:val="24"/>
      <w:szCs w:val="24"/>
    </w:rPr>
  </w:style>
  <w:style w:type="paragraph" w:customStyle="1" w:styleId="data21">
    <w:name w:val="data21"/>
    <w:basedOn w:val="a"/>
    <w:uiPriority w:val="99"/>
    <w:semiHidden/>
    <w:pPr>
      <w:spacing w:before="210" w:after="600"/>
      <w:jc w:val="right"/>
    </w:pPr>
    <w:rPr>
      <w:rFonts w:ascii="Times New Roman" w:eastAsiaTheme="minorEastAsia" w:hAnsi="Times New Roman"/>
      <w:sz w:val="24"/>
      <w:szCs w:val="24"/>
    </w:rPr>
  </w:style>
  <w:style w:type="paragraph" w:customStyle="1" w:styleId="w3001">
    <w:name w:val="w3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2001">
    <w:name w:val="w2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501">
    <w:name w:val="w1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1001">
    <w:name w:val="w10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501">
    <w:name w:val="w5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301">
    <w:name w:val="w3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w01">
    <w:name w:val="w01"/>
    <w:basedOn w:val="a"/>
    <w:uiPriority w:val="99"/>
    <w:semiHidden/>
    <w:pPr>
      <w:pBdr>
        <w:bottom w:val="dotted" w:sz="6" w:space="0" w:color="999999"/>
      </w:pBdr>
      <w:spacing w:before="210" w:after="210"/>
      <w:jc w:val="center"/>
    </w:pPr>
    <w:rPr>
      <w:rFonts w:ascii="Times New Roman" w:eastAsiaTheme="minorEastAsia" w:hAnsi="Times New Roman"/>
      <w:i/>
      <w:iCs/>
      <w:sz w:val="24"/>
      <w:szCs w:val="24"/>
    </w:rPr>
  </w:style>
  <w:style w:type="paragraph" w:customStyle="1" w:styleId="nowrap1">
    <w:name w:val="nowrap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details1">
    <w:name w:val="details1"/>
    <w:basedOn w:val="a"/>
    <w:uiPriority w:val="99"/>
    <w:semiHidden/>
    <w:pPr>
      <w:spacing w:before="30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11">
    <w:name w:val="storona1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torona21">
    <w:name w:val="storona2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24"/>
      <w:szCs w:val="24"/>
    </w:rPr>
  </w:style>
  <w:style w:type="paragraph" w:customStyle="1" w:styleId="signatura1">
    <w:name w:val="signatura1"/>
    <w:basedOn w:val="a"/>
    <w:uiPriority w:val="99"/>
    <w:semiHidden/>
    <w:pPr>
      <w:spacing w:before="300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di1">
    <w:name w:val="di1"/>
    <w:basedOn w:val="a"/>
    <w:uiPriority w:val="99"/>
    <w:semiHidden/>
    <w:pPr>
      <w:spacing w:before="210" w:after="210"/>
    </w:pPr>
    <w:rPr>
      <w:rFonts w:ascii="Times New Roman" w:eastAsiaTheme="minorEastAsia" w:hAnsi="Times New Roman"/>
      <w:sz w:val="17"/>
      <w:szCs w:val="17"/>
    </w:rPr>
  </w:style>
  <w:style w:type="character" w:customStyle="1" w:styleId="pole">
    <w:name w:val="pole"/>
    <w:basedOn w:val="a0"/>
  </w:style>
  <w:style w:type="character" w:customStyle="1" w:styleId="dannye">
    <w:name w:val="dannye"/>
    <w:basedOn w:val="a0"/>
  </w:style>
  <w:style w:type="character" w:customStyle="1" w:styleId="pole1">
    <w:name w:val="pole1"/>
    <w:basedOn w:val="a0"/>
    <w:rPr>
      <w:shd w:val="clear" w:color="auto" w:fill="FFFFFF"/>
    </w:rPr>
  </w:style>
  <w:style w:type="character" w:customStyle="1" w:styleId="dannye1">
    <w:name w:val="dannye1"/>
    <w:basedOn w:val="a0"/>
    <w:rPr>
      <w:i/>
      <w:iCs/>
      <w:vanish w:val="0"/>
      <w:webHidden w:val="0"/>
      <w:specVanish w:val="0"/>
    </w:rPr>
  </w:style>
  <w:style w:type="character" w:customStyle="1" w:styleId="nowrap2">
    <w:name w:val="nowrap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48950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68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1402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Договор обязательного личного страхования пассажиров</dc:title>
  <dc:subject/>
  <dc:creator>Пользователь</dc:creator>
  <cp:keywords/>
  <dc:description/>
  <cp:lastModifiedBy>Анна Ридецкая</cp:lastModifiedBy>
  <cp:revision>4</cp:revision>
  <dcterms:created xsi:type="dcterms:W3CDTF">2023-05-12T18:57:00Z</dcterms:created>
  <dcterms:modified xsi:type="dcterms:W3CDTF">2023-05-12T19:40:00Z</dcterms:modified>
</cp:coreProperties>
</file>