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The God of Sticks and Stones</w:t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Scripture, Creation, and the Quiet Language of God</w:t>
      </w:r>
    </w:p>
    <w:p>
      <w:pPr>
        <w:spacing w:before="0" w:after="360" w:lineRule="exact" w:line="360"/>
      </w:pPr>
    </w:p>
    <w:p>
      <w:pPr>
        <w:spacing w:before="0" w:after="480"/>
        <w:jc w:val="center"/>
      </w:pPr>
      <w:r>
        <w:rPr>
          <w:rFonts w:ascii="Times New Roman" w:hAnsi="Times New Roman"/>
          <w:b/>
          <w:i w:val="0"/>
          <w:sz w:val="28"/>
        </w:rPr>
        <w:t>Closing Reflection C — The God Who Is Near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You will set this book down, and the room will still be the room.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The same light. The same sounds from outside. The same ordinary weight of whatever the day holds next.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And God will be there.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Not waiting for a more spiritual version of you to arrive. Not requiring that you have understood everything. Simply present — the way he has always been present — within the ordinary hours, patient with the pace of ordinary lives.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He met people at wells when they were just trying to get water. He sat at tables with people who were surprised to be invited. He walked beside two people on a road and let them talk for hours before they recognized him.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He has always been patient with that kind of pace.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The room you return to is not a lesser place than the one this book has inhabited. The ordinary moment — the kitchen, the drive, the quiet morning before anyone else is awake — is not a distance from what this book has been pointing toward.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It is exactly where the pointing has been aimed.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You do not need to go looking for him.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He is already present — within whatever ordinary thing you carry into the next hour, and the one after that.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The invitation has not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