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ascii="Arial" w:hAnsi="Arial"/>
        </w:rPr>
        <w:t xml:space="preserve">Landova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Proforma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Engine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v2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—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Build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Guide</w:t>
      </w:r>
    </w:p>
    <w:p>
      <w:pPr>
        <w:pStyle w:val="Subtitle"/>
      </w:pPr>
      <w:r>
        <w:rPr>
          <w:rFonts w:ascii="Arial" w:hAnsi="Arial"/>
        </w:rPr>
        <w:t xml:space="preserve">From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Trent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Reynolds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Ryan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Schubert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·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October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29,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2026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·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Companion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Landova_Proforma_v2.xlsx</w:t>
      </w:r>
    </w:p>
    <w:bookmarkStart w:id="20" w:name="what-this-is"/>
    <w:p>
      <w:pPr>
        <w:pStyle w:val="Heading2"/>
      </w:pPr>
      <w:r>
        <w:rPr>
          <w:rFonts w:ascii="Arial" w:hAnsi="Arial"/>
        </w:rPr>
        <w:t xml:space="preserve">What this is</w:t>
      </w:r>
    </w:p>
    <w:p>
      <w:pPr>
        <w:pStyle w:val="FirstParagraph"/>
      </w:pPr>
      <w:r>
        <w:rPr>
          <w:rFonts w:ascii="Arial" w:hAnsi="Arial"/>
        </w:rPr>
        <w:t xml:space="preserve">The engine takes any parcel, runs every use Landova scores against it, and returns the</w:t>
      </w:r>
      <w:r>
        <w:rPr>
          <w:rFonts w:ascii="Arial" w:hAnsi="Arial"/>
        </w:rPr>
        <w:t xml:space="preserve"> </w:t>
      </w:r>
      <w:r>
        <w:rPr>
          <w:bCs/>
          <w:rFonts w:ascii="Arial" w:hAnsi="Arial"/>
          <w:b/>
        </w:rPr>
        <w:t xml:space="preserve">most we can pay for the land, the opening offer, and the best exit for each use</w:t>
      </w:r>
      <w:r>
        <w:rPr>
          <w:rFonts w:ascii="Arial" w:hAnsi="Arial"/>
        </w:rPr>
        <w:t xml:space="preserve">, ranked. That ranking is the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“</w:t>
      </w:r>
      <w:r>
        <w:rPr>
          <w:rFonts w:ascii="Arial" w:hAnsi="Arial"/>
        </w:rPr>
        <w:t xml:space="preserve">land value today to its best use</w:t>
      </w:r>
      <w:r>
        <w:rPr>
          <w:rFonts w:ascii="Arial" w:hAnsi="Arial"/>
        </w:rPr>
        <w:t xml:space="preserve">”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screen, with real numbers behind it.</w:t>
      </w:r>
    </w:p>
    <w:p>
      <w:pPr>
        <w:pStyle w:val="BodyText"/>
      </w:pPr>
      <w:r>
        <w:rPr>
          <w:rFonts w:ascii="Arial" w:hAnsi="Arial"/>
        </w:rPr>
        <w:t xml:space="preserve">The workbook</w:t>
      </w:r>
      <w:r>
        <w:rPr>
          <w:rFonts w:ascii="Arial" w:hAnsi="Arial"/>
        </w:rPr>
        <w:t xml:space="preserve"> </w:t>
      </w:r>
      <w:r>
        <w:rPr>
          <w:iCs/>
          <w:rFonts w:ascii="Arial" w:hAnsi="Arial"/>
          <w:i/>
        </w:rPr>
        <w:t xml:space="preserve">Landova_Proforma_v2.xlsx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is the reference implementation. Its</w:t>
      </w:r>
      <w:r>
        <w:rPr>
          <w:rFonts w:ascii="Arial" w:hAnsi="Arial"/>
        </w:rPr>
        <w:t xml:space="preserve"> </w:t>
      </w:r>
      <w:r>
        <w:rPr>
          <w:bCs/>
          <w:rFonts w:ascii="Arial" w:hAnsi="Arial"/>
          <w:b/>
        </w:rPr>
        <w:t xml:space="preserve">Engine tab is the spec</w:t>
      </w:r>
      <w:r>
        <w:rPr>
          <w:rFonts w:ascii="Arial" w:hAnsi="Arial"/>
        </w:rPr>
        <w:t xml:space="preserve">: one row per use and one column per calculation step, left to right. Every column header is a step to code, and every formula shows exactly how. When the code is done, it should match the workbook to the dollar for the same inputs.</w:t>
      </w:r>
    </w:p>
    <w:p>
      <w:pPr>
        <w:pStyle w:val="BodyText"/>
      </w:pPr>
      <w:r>
        <w:rPr>
          <w:rFonts w:ascii="Arial" w:hAnsi="Arial"/>
        </w:rPr>
        <w:t xml:space="preserve">Three rules for the build:</w:t>
      </w:r>
    </w:p>
    <w:p>
      <w:pPr>
        <w:numPr>
          <w:ilvl w:val="0"/>
          <w:numId w:val="1001"/>
        </w:numPr>
        <w:pStyle w:val="Compact"/>
      </w:pPr>
      <w:r>
        <w:rPr>
          <w:bCs/>
          <w:rFonts w:ascii="Arial" w:hAnsi="Arial"/>
          <w:b/>
        </w:rPr>
        <w:t xml:space="preserve">AI maps, extracts and suggests; the math is deterministic.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Every number must trace back to an input, a library cost or a formula. Lenders and buyers won’t accept a black box.</w:t>
      </w:r>
    </w:p>
    <w:p>
      <w:pPr>
        <w:numPr>
          <w:ilvl w:val="0"/>
          <w:numId w:val="1001"/>
        </w:numPr>
        <w:pStyle w:val="Compact"/>
      </w:pPr>
      <w:r>
        <w:rPr>
          <w:bCs/>
          <w:rFonts w:ascii="Arial" w:hAnsi="Arial"/>
          <w:b/>
        </w:rPr>
        <w:t xml:space="preserve">Uses are data, not code.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All 53 uses share one engine. Adding a use means adding a row to the use library, not writing a new model.</w:t>
      </w:r>
    </w:p>
    <w:p>
      <w:pPr>
        <w:numPr>
          <w:ilvl w:val="0"/>
          <w:numId w:val="1001"/>
        </w:numPr>
        <w:pStyle w:val="Compact"/>
      </w:pPr>
      <w:r>
        <w:rPr>
          <w:bCs/>
          <w:rFonts w:ascii="Arial" w:hAnsi="Arial"/>
          <w:b/>
        </w:rPr>
        <w:t xml:space="preserve">Every number shows its source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(user, Landova default or pooled benchmark) so users know what to trust.</w:t>
      </w:r>
    </w:p>
    <w:bookmarkEnd w:id="20"/>
    <w:bookmarkStart w:id="21" w:name="how-to-work-with-the-workbook"/>
    <w:p>
      <w:pPr>
        <w:pStyle w:val="Heading2"/>
      </w:pPr>
      <w:r>
        <w:rPr>
          <w:rFonts w:ascii="Arial" w:hAnsi="Arial"/>
        </w:rPr>
        <w:t xml:space="preserve">How to work with the workbook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Tab</w:t>
            </w:r>
          </w:p>
        </w:tc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What it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Parcel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Parcel facts. In the app these come from Landova’s site analysis, plus five location inputs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Best_Use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All 53 uses ranked by max offer, with the reason each one passes or fails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Deal_View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One use read top to bottom (yield → budget → income → exits → max offer) for auditing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Use_Library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One row per use: sizing, costs, revenue, exits, location tests. 46 columns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Engine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The calculation: 53 rows × 107 steps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Assumptions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Org-level settings: loan terms, tax rate, contingencies, offer discount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Cost_Library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Horizontal unit costs by cost code, Low/Base/High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Deal_History, Import_Mapping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The upload schema for learning (see Learning)</w:t>
            </w:r>
          </w:p>
        </w:tc>
      </w:tr>
    </w:tbl>
    <w:p>
      <w:pPr>
        <w:pStyle w:val="BodyText"/>
      </w:pPr>
      <w:r>
        <w:rPr>
          <w:rFonts w:ascii="Arial" w:hAnsi="Arial"/>
        </w:rPr>
        <w:t xml:space="preserve">The workbook was built from two Python files:</w:t>
      </w:r>
      <w:r>
        <w:rPr>
          <w:rFonts w:ascii="Arial" w:hAnsi="Arial"/>
        </w:rPr>
        <w:t xml:space="preserve"> </w:t>
      </w:r>
      <w:r>
        <w:rPr>
          <w:iCs/>
          <w:rFonts w:ascii="Arial" w:hAnsi="Arial"/>
          <w:i/>
        </w:rPr>
        <w:t xml:space="preserve">uses.py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holds the use library and</w:t>
      </w:r>
      <w:r>
        <w:rPr>
          <w:rFonts w:ascii="Arial" w:hAnsi="Arial"/>
        </w:rPr>
        <w:t xml:space="preserve"> </w:t>
      </w:r>
      <w:r>
        <w:rPr>
          <w:iCs/>
          <w:rFonts w:ascii="Arial" w:hAnsi="Arial"/>
          <w:i/>
        </w:rPr>
        <w:t xml:space="preserve">build_v2.py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holds the engine. Both can go in the repo. The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ENG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list in build_v2.py is the engine as ordered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(key, header, formula)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tuples, which is the cleanest thing to port from.</w:t>
      </w:r>
    </w:p>
    <w:bookmarkEnd w:id="21"/>
    <w:bookmarkStart w:id="22" w:name="architecture"/>
    <w:p>
      <w:pPr>
        <w:pStyle w:val="Heading2"/>
      </w:pPr>
      <w:r>
        <w:rPr>
          <w:rFonts w:ascii="Arial" w:hAnsi="Arial"/>
        </w:rPr>
        <w:t xml:space="preserve">Architecture</w:t>
      </w:r>
    </w:p>
    <w:p>
      <w:pPr>
        <w:pStyle w:val="FirstParagraph"/>
      </w:pPr>
      <w:r>
        <w:rPr>
          <w:rFonts w:ascii="Arial" w:hAnsi="Arial"/>
        </w:rPr>
        <w:t xml:space="preserve">The pipeline runs once per parcel × use:</w:t>
      </w:r>
    </w:p>
    <w:p>
      <w:pPr>
        <w:numPr>
          <w:ilvl w:val="0"/>
          <w:numId w:val="1002"/>
        </w:numPr>
        <w:pStyle w:val="Compact"/>
      </w:pPr>
      <w:r>
        <w:rPr>
          <w:bCs/>
          <w:rFonts w:ascii="Arial" w:hAnsi="Arial"/>
          <w:b/>
        </w:rPr>
        <w:t xml:space="preserve">Location tests.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Traffic count, households within 3 mi, miles to a highway interchange, corner, miles to a substation. A use that fails gets zero capacity and shows the reason.</w:t>
      </w:r>
    </w:p>
    <w:p>
      <w:pPr>
        <w:numPr>
          <w:ilvl w:val="0"/>
          <w:numId w:val="1002"/>
        </w:numPr>
        <w:pStyle w:val="Compact"/>
      </w:pPr>
      <w:r>
        <w:rPr>
          <w:bCs/>
          <w:rFonts w:ascii="Arial" w:hAnsi="Arial"/>
          <w:b/>
        </w:rPr>
        <w:t xml:space="preserve">Yield.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Usable acres, the market cap on acres, then capacity = the binding constraint among density, site area/parking and septic lot size.</w:t>
      </w:r>
    </w:p>
    <w:p>
      <w:pPr>
        <w:numPr>
          <w:ilvl w:val="0"/>
          <w:numId w:val="1002"/>
        </w:numPr>
        <w:pStyle w:val="Compact"/>
      </w:pPr>
      <w:r>
        <w:rPr>
          <w:bCs/>
          <w:rFonts w:ascii="Arial" w:hAnsi="Arial"/>
          <w:b/>
        </w:rPr>
        <w:t xml:space="preserve">Quantities.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Road LF, paving SF, water/sewer LF, taps, septic systems, wells, clearing and grading acres, lots to plat.</w:t>
      </w:r>
    </w:p>
    <w:p>
      <w:pPr>
        <w:numPr>
          <w:ilvl w:val="0"/>
          <w:numId w:val="1002"/>
        </w:numPr>
        <w:pStyle w:val="Compact"/>
      </w:pPr>
      <w:r>
        <w:rPr>
          <w:bCs/>
          <w:rFonts w:ascii="Arial" w:hAnsi="Arial"/>
          <w:b/>
        </w:rPr>
        <w:t xml:space="preserve">Horizontal budget.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Quantity × cost-library unit cost × adjustments (county, slope, soil), plus contingency.</w:t>
      </w:r>
    </w:p>
    <w:p>
      <w:pPr>
        <w:numPr>
          <w:ilvl w:val="0"/>
          <w:numId w:val="1002"/>
        </w:numPr>
        <w:pStyle w:val="Compact"/>
      </w:pPr>
      <w:r>
        <w:rPr>
          <w:bCs/>
          <w:rFonts w:ascii="Arial" w:hAnsi="Arial"/>
          <w:b/>
        </w:rPr>
        <w:t xml:space="preserve">Vertical.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Capacity × vertical cost, plus soft costs, contingency, and TI/leasing commissions.</w:t>
      </w:r>
    </w:p>
    <w:p>
      <w:pPr>
        <w:numPr>
          <w:ilvl w:val="0"/>
          <w:numId w:val="1002"/>
        </w:numPr>
        <w:pStyle w:val="Compact"/>
      </w:pPr>
      <w:r>
        <w:rPr>
          <w:bCs/>
          <w:rFonts w:ascii="Arial" w:hAnsi="Arial"/>
          <w:b/>
        </w:rPr>
        <w:t xml:space="preserve">Three exits.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Revenue logic depends on the use’s engine (below).</w:t>
      </w:r>
    </w:p>
    <w:p>
      <w:pPr>
        <w:numPr>
          <w:ilvl w:val="0"/>
          <w:numId w:val="1002"/>
        </w:numPr>
        <w:pStyle w:val="Compact"/>
      </w:pPr>
      <w:r>
        <w:rPr>
          <w:bCs/>
          <w:rFonts w:ascii="Arial" w:hAnsi="Arial"/>
          <w:b/>
        </w:rPr>
        <w:t xml:space="preserve">Max offer.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Solve for the land price that leaves exactly the required margin, for each allowed exit.</w:t>
      </w:r>
    </w:p>
    <w:p>
      <w:pPr>
        <w:numPr>
          <w:ilvl w:val="0"/>
          <w:numId w:val="1002"/>
        </w:numPr>
        <w:pStyle w:val="Compact"/>
      </w:pPr>
      <w:r>
        <w:rPr>
          <w:bCs/>
          <w:rFonts w:ascii="Arial" w:hAnsi="Arial"/>
          <w:b/>
        </w:rPr>
        <w:t xml:space="preserve">Answer.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Best max offer, best exit, opening offer, spread to asking, $/acre, $/unit, flags. Rank all uses.</w:t>
      </w:r>
    </w:p>
    <w:p>
      <w:pPr>
        <w:pStyle w:val="FirstParagraph"/>
      </w:pPr>
      <w:r>
        <w:rPr>
          <w:bCs/>
          <w:rFonts w:ascii="Arial" w:hAnsi="Arial"/>
          <w:b/>
        </w:rPr>
        <w:t xml:space="preserve">Four engines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decide how a use makes money: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Engine</w:t>
            </w:r>
          </w:p>
        </w:tc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Uses (examples)</w:t>
            </w:r>
          </w:p>
        </w:tc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Capacity unit</w:t>
            </w:r>
          </w:p>
        </w:tc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How value is created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For-Sale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Homesites, MH subdivisions, lots, townhomes, 55+, condos (shop, office, garage)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Lots/homes/condos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Lot sale price or finished sale price, less selling costs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Income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MHC, RV parks, multifamily, BTR, flex, industrial, IOS, storage, net-lease pads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Units, pads, stalls, building SF, acres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NOI ÷ cap rate. Anything 5+ units or commercial is valued this 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Operator Pad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Senior housing, hotel, childcare, schools, event venues, laundromat, pet care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Acres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Sell a pad-ready site to the operator, or ground-lease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Land Play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Solar/battery leases, powered land for data centers, package-plant sites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Acres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Land lease value (rent ÷ cap), or entitle and sell</w:t>
            </w:r>
          </w:p>
        </w:tc>
      </w:tr>
    </w:tbl>
    <w:p>
      <w:pPr>
        <w:pStyle w:val="BodyText"/>
      </w:pPr>
      <w:r>
        <w:rPr>
          <w:bCs/>
          <w:rFonts w:ascii="Arial" w:hAnsi="Arial"/>
          <w:b/>
        </w:rPr>
        <w:t xml:space="preserve">Three exits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exist for every use, and the use library turns each on or off: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Exit</w:t>
            </w:r>
          </w:p>
        </w:tc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For-Sale</w:t>
            </w:r>
          </w:p>
        </w:tc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Income</w:t>
            </w:r>
          </w:p>
        </w:tc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Operator Pad / Land Play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1. Land / pad sale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Sell finished lots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Sell the entitled, improved pad ($/acre)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Sell the pad / entitled land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2. Build &amp; sell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Build and sell homes/condos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Build, lease up, sell at stabilization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3. Build &amp; hold / lease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Build, lease up, hold and refinance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Ground lease / land lease</w:t>
            </w:r>
          </w:p>
        </w:tc>
      </w:tr>
    </w:tbl>
    <w:bookmarkEnd w:id="22"/>
    <w:bookmarkStart w:id="23" w:name="data-model"/>
    <w:p>
      <w:pPr>
        <w:pStyle w:val="Heading2"/>
      </w:pPr>
      <w:r>
        <w:rPr>
          <w:rFonts w:ascii="Arial" w:hAnsi="Arial"/>
        </w:rPr>
        <w:t xml:space="preserve">Data model</w:t>
      </w:r>
    </w:p>
    <w:p>
      <w:pPr>
        <w:pStyle w:val="FirstParagraph"/>
      </w:pPr>
      <w:r>
        <w:rPr>
          <w:bCs/>
          <w:rFonts w:ascii="Arial" w:hAnsi="Arial"/>
          <w:b/>
        </w:rPr>
        <w:t xml:space="preserve">Parcel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(one per parcel, mostly from existing Landova layers): gross acres, buildable %, average slope, tree cover, road frontage, water/sewer at site and distance to mains, septic soil rating, county, asking price, traffic count on the frontage road, households within 3 mi, miles to highway interchange, corner Y/N, miles to substation with capacity.</w:t>
      </w:r>
    </w:p>
    <w:p>
      <w:pPr>
        <w:pStyle w:val="BodyText"/>
      </w:pPr>
      <w:r>
        <w:rPr>
          <w:bCs/>
          <w:rFonts w:ascii="Arial" w:hAnsi="Arial"/>
          <w:b/>
        </w:rPr>
        <w:t xml:space="preserve">Use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(one row per use; the Use_Library tab is the seed data):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Group</w:t>
            </w:r>
          </w:p>
        </w:tc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Identity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use, category, engine, capacity unit, discrete units Y/N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Sizing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max density (units/net ac), site SF per unit, septic lot-size rule, min usable acres, max usable acres the market supports, open space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Utilities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requires public sewer, requires public water, taps per unit, septic systems per unit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Site 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horizontal work by us Y/N, road LF per unit, paving SF per unit, entitlement $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Build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vertical cost per unit, TI + leasing commissions per unit, development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For-sale revenue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lot sale price per unit, finished sale price per unit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Income revenue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rent per unit per year, other income %, vacancy, opex per unit, management %, expense recovery %, lease-up months, cap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Land revenue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land/pad sale $ per usable acre, ground/land lease $ per acre per 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Exits &amp; hurdle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exits allowed (1/0 × 3), required margin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Location tests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min frontage, min traffic (VPD), min households in 3 mi, max miles to highway, corner required, max miles to substation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location requirements (not yet machine-tested), notes</w:t>
            </w:r>
          </w:p>
        </w:tc>
      </w:tr>
    </w:tbl>
    <w:p>
      <w:pPr>
        <w:pStyle w:val="BodyText"/>
      </w:pPr>
      <w:r>
        <w:rPr>
          <w:rFonts w:ascii="Arial" w:hAnsi="Arial"/>
        </w:rPr>
        <w:t xml:space="preserve">Each user and org gets a</w:t>
      </w:r>
      <w:r>
        <w:rPr>
          <w:rFonts w:ascii="Arial" w:hAnsi="Arial"/>
        </w:rPr>
        <w:t xml:space="preserve"> </w:t>
      </w:r>
      <w:r>
        <w:rPr>
          <w:bCs/>
          <w:rFonts w:ascii="Arial" w:hAnsi="Arial"/>
          <w:b/>
        </w:rPr>
        <w:t xml:space="preserve">fork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of the Landova default library. Their edits override defaults for their own runs only.</w:t>
      </w:r>
    </w:p>
    <w:p>
      <w:pPr>
        <w:pStyle w:val="BodyText"/>
      </w:pPr>
      <w:r>
        <w:rPr>
          <w:bCs/>
          <w:rFonts w:ascii="Arial" w:hAnsi="Arial"/>
          <w:b/>
        </w:rPr>
        <w:t xml:space="preserve">Cost record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(one row per observed unit cost, never a lump sum): org, cost code, unit cost and unit, quantity basis, as-of date, county, product/use, project scale, source quality (actual &gt; bid &gt; estimate &gt; projection), source file and deal, pooled opt-in flag. The Cost_Library tab’s Low/Base/High columns stand in for the range computed from these records.</w:t>
      </w:r>
    </w:p>
    <w:p>
      <w:pPr>
        <w:pStyle w:val="BodyText"/>
      </w:pPr>
      <w:r>
        <w:rPr>
          <w:bCs/>
          <w:rFonts w:ascii="Arial" w:hAnsi="Arial"/>
          <w:b/>
        </w:rPr>
        <w:t xml:space="preserve">Assumptions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(org-level): utility extension limits, detention %, septic minimum lots, contingencies, closing and carry, selling costs, tax rate and assessment ratio, development loan (LTC, rate, points, average draw, share of lease-up interest), permanent loan (LTV, DSCR, debt yield, rate, amortization), value of excess land, opening-offer discount.</w:t>
      </w:r>
    </w:p>
    <w:bookmarkEnd w:id="23"/>
    <w:bookmarkStart w:id="24" w:name="calculation-spec"/>
    <w:p>
      <w:pPr>
        <w:pStyle w:val="Heading2"/>
      </w:pPr>
      <w:r>
        <w:rPr>
          <w:rFonts w:ascii="Arial" w:hAnsi="Arial"/>
        </w:rPr>
        <w:t xml:space="preserve">Calculation spec</w:t>
      </w:r>
    </w:p>
    <w:p>
      <w:pPr>
        <w:pStyle w:val="FirstParagraph"/>
      </w:pPr>
      <w:r>
        <w:rPr>
          <w:rFonts w:ascii="Arial" w:hAnsi="Arial"/>
        </w:rPr>
        <w:t xml:space="preserve">Column keys below match the Engine tab and the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ENG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list in build_v2.py.</w:t>
      </w:r>
    </w:p>
    <w:p>
      <w:pPr>
        <w:pStyle w:val="BodyText"/>
      </w:pPr>
      <w:r>
        <w:rPr>
          <w:bCs/>
          <w:rFonts w:ascii="Arial" w:hAnsi="Arial"/>
          <w:b/>
        </w:rPr>
        <w:t xml:space="preserve">Yield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rFonts w:ascii="Arial" w:hAnsi="Arial"/>
        </w:rPr>
        <w:t xml:space="preserve">usable_all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= net buildable × (1 − open space % − detention %)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rFonts w:ascii="Arial" w:hAnsi="Arial"/>
        </w:rPr>
        <w:t xml:space="preserve">used_ac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= MIN(usable_all, max acres the market supports). Without this cap the model pretends 20 acres can all be QSR pads. Leftover acres are resold as raw land (</w:t>
      </w:r>
      <w:r>
        <w:rPr>
          <w:rStyle w:val="VerbatimChar"/>
          <w:rFonts w:ascii="Arial" w:hAnsi="Arial"/>
        </w:rPr>
        <w:t xml:space="preserve">excess_rev</w:t>
      </w:r>
      <w:r>
        <w:rPr>
          <w:rFonts w:ascii="Arial" w:hAnsi="Arial"/>
        </w:rPr>
        <w:t xml:space="preserve">).</w:t>
      </w:r>
    </w:p>
    <w:p>
      <w:pPr>
        <w:numPr>
          <w:ilvl w:val="0"/>
          <w:numId w:val="1003"/>
        </w:numPr>
        <w:pStyle w:val="Compact"/>
      </w:pPr>
      <w:r>
        <w:rPr>
          <w:rFonts w:ascii="Arial" w:hAnsi="Arial"/>
        </w:rPr>
        <w:t xml:space="preserve">Gates: sewer/water requirement met, parcel ≥ min usable acres, location tests pass. If any gate fails, capacity = 0 and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binding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says why.</w:t>
      </w:r>
    </w:p>
    <w:p>
      <w:pPr>
        <w:numPr>
          <w:ilvl w:val="0"/>
          <w:numId w:val="1003"/>
        </w:numPr>
        <w:pStyle w:val="Compact"/>
      </w:pPr>
      <w:r>
        <w:rPr>
          <w:rFonts w:ascii="Arial" w:hAnsi="Arial"/>
        </w:rPr>
        <w:t xml:space="preserve">Capacity = MIN of whichever constraints apply: density × net acres; used acres × 43,560 ÷ site SF per unit; septic lot size (no sewer: 0.5 ac lots with public water, 1 ac with a well, after a 15% ROW take). Round down only for discrete units. Acre-based uses take used acres as capacity.</w:t>
      </w:r>
    </w:p>
    <w:p>
      <w:pPr>
        <w:pStyle w:val="FirstParagraph"/>
      </w:pPr>
      <w:r>
        <w:rPr>
          <w:bCs/>
          <w:rFonts w:ascii="Arial" w:hAnsi="Arial"/>
          <w:b/>
        </w:rPr>
        <w:t xml:space="preserve">Quantities and horizontal budget.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Every quantity is capacity × a per-unit driver from the use row, multiplied by the horizontal-work flag (Land Play leases do no site work). Off-site utility extension is added when public water or sewer is used. Each cost line = quantity × cost-library unit cost (chosen scenario) × county factor, × slope factor on grading and × soil factor on septic. Contingency goes on the subtotal.</w:t>
      </w:r>
    </w:p>
    <w:p>
      <w:pPr>
        <w:pStyle w:val="BodyText"/>
      </w:pPr>
      <w:r>
        <w:rPr>
          <w:bCs/>
          <w:rFonts w:ascii="Arial" w:hAnsi="Arial"/>
          <w:b/>
        </w:rPr>
        <w:t xml:space="preserve">Land and financing factors.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These are what make the max offer exact:</w:t>
      </w:r>
    </w:p>
    <w:p>
      <w:pPr>
        <w:numPr>
          <w:ilvl w:val="0"/>
          <w:numId w:val="1004"/>
        </w:numPr>
        <w:pStyle w:val="Compact"/>
      </w:pPr>
      <w:r>
        <w:rPr>
          <w:rFonts w:ascii="Arial" w:hAnsi="Arial"/>
        </w:rPr>
        <w:t xml:space="preserve">Land cost factor = 1 + closing % + carry % × development months ÷ 12</w:t>
      </w:r>
    </w:p>
    <w:p>
      <w:pPr>
        <w:numPr>
          <w:ilvl w:val="0"/>
          <w:numId w:val="1004"/>
        </w:numPr>
        <w:pStyle w:val="Compact"/>
      </w:pPr>
      <w:r>
        <w:rPr>
          <w:rFonts w:ascii="Arial" w:hAnsi="Arial"/>
        </w:rPr>
        <w:t xml:space="preserve">Financing factor = 1 + LTC × (rate × (dev months ÷ 12 × average draw + lease-up months ÷ 12 × lease-up interest share) + points). Exit 1 and non-income uses use no lease-up.</w:t>
      </w:r>
    </w:p>
    <w:p>
      <w:pPr>
        <w:numPr>
          <w:ilvl w:val="0"/>
          <w:numId w:val="1004"/>
        </w:numPr>
        <w:pStyle w:val="Compact"/>
      </w:pPr>
      <w:r>
        <w:rPr>
          <w:rFonts w:ascii="Arial" w:hAnsi="Arial"/>
        </w:rPr>
        <w:t xml:space="preserve">Total cost = (land price × land factor + non-land cost) × financing factor</w:t>
      </w:r>
    </w:p>
    <w:p>
      <w:pPr>
        <w:numPr>
          <w:ilvl w:val="0"/>
          <w:numId w:val="1004"/>
        </w:numPr>
        <w:pStyle w:val="Compact"/>
      </w:pPr>
      <w:r>
        <w:rPr>
          <w:rFonts w:ascii="Arial" w:hAnsi="Arial"/>
        </w:rPr>
        <w:t xml:space="preserve">Cost per $1 of land,</w:t>
      </w:r>
      <w:r>
        <w:rPr>
          <w:rFonts w:ascii="Arial" w:hAnsi="Arial"/>
        </w:rPr>
        <w:t xml:space="preserve"> </w:t>
      </w:r>
      <w:r>
        <w:rPr>
          <w:iCs/>
          <w:rFonts w:ascii="Arial" w:hAnsi="Arial"/>
          <w:i/>
        </w:rPr>
        <w:t xml:space="preserve">k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= land factor × financing factor</w:t>
      </w:r>
    </w:p>
    <w:p>
      <w:pPr>
        <w:pStyle w:val="FirstParagraph"/>
      </w:pPr>
      <w:r>
        <w:rPr>
          <w:bCs/>
          <w:rFonts w:ascii="Arial" w:hAnsi="Arial"/>
          <w:b/>
        </w:rPr>
        <w:t xml:space="preserve">Income engine.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GPR = capacity × rent. EGI = GPR × (1 + other income) × (1 − vacancy). Opex = capacity × opex per unit. Property tax = tax rate × assessment ratio × total cost. Management = EGI × mgmt %. Recoveries = (opex + tax) × recovery %. NOI = EGI − opex − tax − mgmt + recoveries. Value = NOI ÷ cap.</w:t>
      </w:r>
    </w:p>
    <w:p>
      <w:pPr>
        <w:pStyle w:val="BodyText"/>
      </w:pPr>
      <w:r>
        <w:rPr>
          <w:rFonts w:ascii="Arial" w:hAnsi="Arial"/>
        </w:rPr>
        <w:t xml:space="preserve">Property tax depends on total cost, which includes land. So a higher land price slightly lowers NOI and value. The engine carries that sensitivity explicitly as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dnoi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= −tax rate × assessment × (1 − recovery %) ×</w:t>
      </w:r>
      <w:r>
        <w:rPr>
          <w:rFonts w:ascii="Arial" w:hAnsi="Arial"/>
        </w:rPr>
        <w:t xml:space="preserve"> </w:t>
      </w:r>
      <w:r>
        <w:rPr>
          <w:iCs/>
          <w:rFonts w:ascii="Arial" w:hAnsi="Arial"/>
          <w:i/>
        </w:rPr>
        <w:t xml:space="preserve">k</w:t>
      </w:r>
      <w:r>
        <w:rPr>
          <w:rFonts w:ascii="Arial" w:hAnsi="Arial"/>
        </w:rPr>
        <w:t xml:space="preserve">.</w:t>
      </w:r>
    </w:p>
    <w:p>
      <w:pPr>
        <w:pStyle w:val="BodyText"/>
      </w:pPr>
      <w:r>
        <w:rPr>
          <w:bCs/>
          <w:rFonts w:ascii="Arial" w:hAnsi="Arial"/>
          <w:b/>
        </w:rPr>
        <w:t xml:space="preserve">Max offer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(residual land value). For each allowed exit, find land price</w:t>
      </w:r>
      <w:r>
        <w:rPr>
          <w:rFonts w:ascii="Arial" w:hAnsi="Arial"/>
        </w:rPr>
        <w:t xml:space="preserve"> </w:t>
      </w:r>
      <w:r>
        <w:rPr>
          <w:iCs/>
          <w:rFonts w:ascii="Arial" w:hAnsi="Arial"/>
          <w:i/>
        </w:rPr>
        <w:t xml:space="preserve">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where profit = required margin × revenue.</w:t>
      </w:r>
    </w:p>
    <w:p>
      <w:pPr>
        <w:numPr>
          <w:ilvl w:val="0"/>
          <w:numId w:val="1005"/>
        </w:numPr>
        <w:pStyle w:val="Compact"/>
      </w:pPr>
      <w:r>
        <w:rPr>
          <w:rFonts w:ascii="Arial" w:hAnsi="Arial"/>
        </w:rPr>
        <w:t xml:space="preserve">Exit 1 revenue doesn’t depend on</w:t>
      </w:r>
      <w:r>
        <w:rPr>
          <w:rFonts w:ascii="Arial" w:hAnsi="Arial"/>
        </w:rPr>
        <w:t xml:space="preserve"> </w:t>
      </w:r>
      <w:r>
        <w:rPr>
          <w:iCs/>
          <w:rFonts w:ascii="Arial" w:hAnsi="Arial"/>
          <w:i/>
        </w:rPr>
        <w:t xml:space="preserve">L</w:t>
      </w:r>
      <w:r>
        <w:rPr>
          <w:rFonts w:ascii="Arial" w:hAnsi="Arial"/>
        </w:rPr>
        <w:t xml:space="preserve">, so it’s closed form: max = ((1 − margin) × revenue − non-land cost × financing factor) ÷</w:t>
      </w:r>
      <w:r>
        <w:rPr>
          <w:rFonts w:ascii="Arial" w:hAnsi="Arial"/>
        </w:rPr>
        <w:t xml:space="preserve"> </w:t>
      </w:r>
      <w:r>
        <w:rPr>
          <w:iCs/>
          <w:rFonts w:ascii="Arial" w:hAnsi="Arial"/>
          <w:i/>
        </w:rPr>
        <w:t xml:space="preserve">k</w:t>
      </w:r>
    </w:p>
    <w:p>
      <w:pPr>
        <w:numPr>
          <w:ilvl w:val="0"/>
          <w:numId w:val="1005"/>
        </w:numPr>
        <w:pStyle w:val="Compact"/>
      </w:pPr>
      <w:r>
        <w:rPr>
          <w:rFonts w:ascii="Arial" w:hAnsi="Arial"/>
        </w:rPr>
        <w:t xml:space="preserve">Exits 2 and 3 can depend on</w:t>
      </w:r>
      <w:r>
        <w:rPr>
          <w:rFonts w:ascii="Arial" w:hAnsi="Arial"/>
        </w:rPr>
        <w:t xml:space="preserve"> </w:t>
      </w:r>
      <w:r>
        <w:rPr>
          <w:iCs/>
          <w:rFonts w:ascii="Arial" w:hAnsi="Arial"/>
          <w:i/>
        </w:rPr>
        <w:t xml:space="preserve">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through property tax, but everything is linear in</w:t>
      </w:r>
      <w:r>
        <w:rPr>
          <w:rFonts w:ascii="Arial" w:hAnsi="Arial"/>
        </w:rPr>
        <w:t xml:space="preserve"> </w:t>
      </w:r>
      <w:r>
        <w:rPr>
          <w:iCs/>
          <w:rFonts w:ascii="Arial" w:hAnsi="Arial"/>
          <w:i/>
        </w:rPr>
        <w:t xml:space="preserve">L</w:t>
      </w:r>
      <w:r>
        <w:rPr>
          <w:rFonts w:ascii="Arial" w:hAnsi="Arial"/>
        </w:rPr>
        <w:t xml:space="preserve">, so one Newton step is exact: max =</w:t>
      </w:r>
      <w:r>
        <w:rPr>
          <w:rFonts w:ascii="Arial" w:hAnsi="Arial"/>
        </w:rPr>
        <w:t xml:space="preserve"> </w:t>
      </w:r>
      <w:r>
        <w:rPr>
          <w:iCs/>
          <w:rFonts w:ascii="Arial" w:hAnsi="Arial"/>
          <w:i/>
        </w:rPr>
        <w:t xml:space="preserve">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− ((1 − margin) × revenue − total cost) ÷ ((1 − margin) × d(revenue)/dL −</w:t>
      </w:r>
      <w:r>
        <w:rPr>
          <w:rFonts w:ascii="Arial" w:hAnsi="Arial"/>
        </w:rPr>
        <w:t xml:space="preserve"> </w:t>
      </w:r>
      <w:r>
        <w:rPr>
          <w:iCs/>
          <w:rFonts w:ascii="Arial" w:hAnsi="Arial"/>
          <w:i/>
        </w:rPr>
        <w:t xml:space="preserve">k</w:t>
      </w:r>
      <w:r>
        <w:rPr>
          <w:rFonts w:ascii="Arial" w:hAnsi="Arial"/>
        </w:rPr>
        <w:t xml:space="preserve">)</w:t>
      </w:r>
    </w:p>
    <w:p>
      <w:pPr>
        <w:numPr>
          <w:ilvl w:val="0"/>
          <w:numId w:val="1005"/>
        </w:numPr>
        <w:pStyle w:val="Compact"/>
      </w:pPr>
      <w:r>
        <w:rPr>
          <w:rFonts w:ascii="Arial" w:hAnsi="Arial"/>
        </w:rPr>
        <w:t xml:space="preserve">Floor at 0. Best max offer = the highest allowed exit. Opening offer = best × (1 − discount).</w:t>
      </w:r>
    </w:p>
    <w:p>
      <w:pPr>
        <w:pStyle w:val="FirstParagraph"/>
      </w:pPr>
      <w:r>
        <w:rPr>
          <w:bCs/>
          <w:rFonts w:ascii="Arial" w:hAnsi="Arial"/>
          <w:b/>
        </w:rPr>
        <w:t xml:space="preserve">Verified: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for flex, multifamily, MH subdivision, MHC, IOS, boat/RV storage, childcare and homesites, plugging the max offer back in as the land price returns exactly the target margin (to 4 decimal places). Make this a unit test for every use.</w:t>
      </w:r>
    </w:p>
    <w:p>
      <w:pPr>
        <w:pStyle w:val="BodyText"/>
      </w:pPr>
      <w:r>
        <w:rPr>
          <w:bCs/>
          <w:rFonts w:ascii="Arial" w:hAnsi="Arial"/>
          <w:b/>
        </w:rPr>
        <w:t xml:space="preserve">Permanent loan (hold exit).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Loan = MIN(LTV × value, the loan whose payment = NOI ÷ DSCR, NOI ÷ debt yield). Reports DSCR and the cash-out after paying off the development loan.</w:t>
      </w:r>
    </w:p>
    <w:bookmarkEnd w:id="24"/>
    <w:bookmarkStart w:id="25" w:name="what-the-sample-parcel-shows"/>
    <w:p>
      <w:pPr>
        <w:pStyle w:val="Heading2"/>
      </w:pPr>
      <w:r>
        <w:rPr>
          <w:rFonts w:ascii="Arial" w:hAnsi="Arial"/>
        </w:rPr>
        <w:t xml:space="preserve">What the sample parcel shows</w:t>
      </w:r>
    </w:p>
    <w:p>
      <w:pPr>
        <w:pStyle w:val="FirstParagraph"/>
      </w:pPr>
      <w:r>
        <w:rPr>
          <w:rFonts w:ascii="Arial" w:hAnsi="Arial"/>
        </w:rPr>
        <w:t xml:space="preserve">Inputs: 20 ac in Grayson, septic, public water, $300K asking, 4,000 VPD, 2,500 households within 3 mi, 6 mi to a highway. All costs are placeholders.</w:t>
      </w:r>
    </w:p>
    <w:p>
      <w:pPr>
        <w:numPr>
          <w:ilvl w:val="0"/>
          <w:numId w:val="1006"/>
        </w:numPr>
        <w:pStyle w:val="Compact"/>
      </w:pPr>
      <w:r>
        <w:rPr>
          <w:bCs/>
          <w:rFonts w:ascii="Arial" w:hAnsi="Arial"/>
          <w:b/>
        </w:rPr>
        <w:t xml:space="preserve">What passes: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boat &amp; RV storage (~$1.49M max via hold), workforce RV park (~$661K), homesites and lots (~$350–440K), and MH subdivision build-and-sell (~$304K).</w:t>
      </w:r>
    </w:p>
    <w:p>
      <w:pPr>
        <w:numPr>
          <w:ilvl w:val="0"/>
          <w:numId w:val="1006"/>
        </w:numPr>
        <w:pStyle w:val="Compact"/>
      </w:pPr>
      <w:r>
        <w:rPr>
          <w:bCs/>
          <w:rFonts w:ascii="Arial" w:hAnsi="Arial"/>
          <w:b/>
        </w:rPr>
        <w:t xml:space="preserve">Location gating works.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Every retail, medical and industrial use fails, and the reason is shown (traffic, households or highway distance). Before the gate, a grocery center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“</w:t>
      </w:r>
      <w:r>
        <w:rPr>
          <w:rFonts w:ascii="Arial" w:hAnsi="Arial"/>
        </w:rPr>
        <w:t xml:space="preserve">won</w:t>
      </w:r>
      <w:r>
        <w:rPr>
          <w:rFonts w:ascii="Arial" w:hAnsi="Arial"/>
        </w:rPr>
        <w:t xml:space="preserve">”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this parcel at $4.4M, which was nonsense.</w:t>
      </w:r>
    </w:p>
    <w:p>
      <w:pPr>
        <w:numPr>
          <w:ilvl w:val="0"/>
          <w:numId w:val="1006"/>
        </w:numPr>
        <w:pStyle w:val="Compact"/>
      </w:pPr>
      <w:r>
        <w:rPr>
          <w:bCs/>
          <w:rFonts w:ascii="Arial" w:hAnsi="Arial"/>
          <w:b/>
        </w:rPr>
        <w:t xml:space="preserve">MHC on septic fails.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Half-acre pads only fit 24 sites. With sewer available it supports ~$1.48M. The engine surfaces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“</w:t>
      </w:r>
      <w:r>
        <w:rPr>
          <w:rFonts w:ascii="Arial" w:hAnsi="Arial"/>
        </w:rPr>
        <w:t xml:space="preserve">get sewer</w:t>
      </w:r>
      <w:r>
        <w:rPr>
          <w:rFonts w:ascii="Arial" w:hAnsi="Arial"/>
        </w:rPr>
        <w:t xml:space="preserve">”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as the unlock.</w:t>
      </w:r>
    </w:p>
    <w:p>
      <w:pPr>
        <w:numPr>
          <w:ilvl w:val="0"/>
          <w:numId w:val="1006"/>
        </w:numPr>
        <w:pStyle w:val="Compact"/>
      </w:pPr>
      <w:r>
        <w:rPr>
          <w:bCs/>
          <w:rFonts w:ascii="Arial" w:hAnsi="Arial"/>
          <w:b/>
        </w:rPr>
        <w:t xml:space="preserve">Garden multifamily doesn’t clear a 15% margin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even with sewer: 6.1% yield on cost against a 5.5% cap is about a 10% margin. That’s in line with the market right now, and the right answer to show a multifamily prospect.</w:t>
      </w:r>
    </w:p>
    <w:bookmarkEnd w:id="25"/>
    <w:bookmarkStart w:id="26" w:name="X6423be6a2347a2f2c0d326f55f74d5a54a8568a"/>
    <w:p>
      <w:pPr>
        <w:pStyle w:val="Heading2"/>
      </w:pPr>
      <w:r>
        <w:rPr>
          <w:rFonts w:ascii="Arial" w:hAnsi="Arial"/>
        </w:rPr>
        <w:t xml:space="preserve">What the workbook leaves out (Ryan builds these)</w:t>
      </w:r>
    </w:p>
    <w:p>
      <w:pPr>
        <w:numPr>
          <w:ilvl w:val="0"/>
          <w:numId w:val="1007"/>
        </w:numPr>
        <w:pStyle w:val="Compact"/>
      </w:pPr>
      <w:r>
        <w:rPr>
          <w:bCs/>
          <w:rFonts w:ascii="Arial" w:hAnsi="Arial"/>
          <w:b/>
        </w:rPr>
        <w:t xml:space="preserve">Monthly cash flow and IRR.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Development spend curve, absorption/lease-up curve, sales or stabilization, loan draws and paydown, levered and unlevered IRR, equity multiple, peak equity. The workbook uses factors for timing; the app needs the real schedule.</w:t>
      </w:r>
    </w:p>
    <w:p>
      <w:pPr>
        <w:numPr>
          <w:ilvl w:val="0"/>
          <w:numId w:val="1007"/>
        </w:numPr>
        <w:pStyle w:val="Compact"/>
      </w:pPr>
      <w:r>
        <w:rPr>
          <w:bCs/>
          <w:rFonts w:ascii="Arial" w:hAnsi="Arial"/>
          <w:b/>
        </w:rPr>
        <w:t xml:space="preserve">Multifamily module.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Unit mix (studio–3BR with SF and rent), structured vs. surface parking, monthly construction draws with interest reserve, lease-up with concessions, line-item opex with Texas tax reassessment at stabilization, a senior/mezz/pref stack, an LP/GP waterfall with promote, refi vs. sale. Show land basis</w:t>
      </w:r>
      <w:r>
        <w:rPr>
          <w:rFonts w:ascii="Arial" w:hAnsi="Arial"/>
        </w:rPr>
        <w:t xml:space="preserve"> </w:t>
      </w:r>
      <w:r>
        <w:rPr>
          <w:bCs/>
          <w:rFonts w:ascii="Arial" w:hAnsi="Arial"/>
          <w:b/>
        </w:rPr>
        <w:t xml:space="preserve">per door</w:t>
      </w:r>
      <w:r>
        <w:rPr>
          <w:rFonts w:ascii="Arial" w:hAnsi="Arial"/>
        </w:rPr>
        <w:t xml:space="preserve">. Large multifamily prospects judge Landova on this.</w:t>
      </w:r>
    </w:p>
    <w:p>
      <w:pPr>
        <w:numPr>
          <w:ilvl w:val="0"/>
          <w:numId w:val="1007"/>
        </w:numPr>
        <w:pStyle w:val="Compact"/>
      </w:pPr>
      <w:r>
        <w:rPr>
          <w:bCs/>
          <w:rFonts w:ascii="Arial" w:hAnsi="Arial"/>
          <w:b/>
        </w:rPr>
        <w:t xml:space="preserve">MHC with park-owned homes.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Add home cost and home rent for park-owned or rent-to-own units. This is where the Ridge Stone dealer cost becomes an edge.</w:t>
      </w:r>
    </w:p>
    <w:p>
      <w:pPr>
        <w:numPr>
          <w:ilvl w:val="0"/>
          <w:numId w:val="1007"/>
        </w:numPr>
        <w:pStyle w:val="Compact"/>
      </w:pPr>
      <w:r>
        <w:rPr>
          <w:bCs/>
          <w:rFonts w:ascii="Arial" w:hAnsi="Arial"/>
          <w:b/>
        </w:rPr>
        <w:t xml:space="preserve">Phasing.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Large tracts (lots, MHC, flex) are built in phases. Model phase-by-phase spend and absorption.</w:t>
      </w:r>
    </w:p>
    <w:p>
      <w:pPr>
        <w:numPr>
          <w:ilvl w:val="0"/>
          <w:numId w:val="1007"/>
        </w:numPr>
        <w:pStyle w:val="Compact"/>
      </w:pPr>
      <w:r>
        <w:rPr>
          <w:bCs/>
          <w:rFonts w:ascii="Arial" w:hAnsi="Arial"/>
          <w:b/>
        </w:rPr>
        <w:t xml:space="preserve">Mixed-use splits.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Frontage pads + back-land residential on one parcel. Run the use engine per sub-area and add up the max offers.</w:t>
      </w:r>
    </w:p>
    <w:p>
      <w:pPr>
        <w:numPr>
          <w:ilvl w:val="0"/>
          <w:numId w:val="1007"/>
        </w:numPr>
        <w:pStyle w:val="Compact"/>
      </w:pPr>
      <w:r>
        <w:rPr>
          <w:bCs/>
          <w:rFonts w:ascii="Arial" w:hAnsi="Arial"/>
          <w:b/>
        </w:rPr>
        <w:t xml:space="preserve">County rules table.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Septic minimum lots, MH restrictions, platting requirements and impact fees by county/city, replacing the global rules of thumb.</w:t>
      </w:r>
    </w:p>
    <w:p>
      <w:pPr>
        <w:numPr>
          <w:ilvl w:val="0"/>
          <w:numId w:val="1007"/>
        </w:numPr>
        <w:pStyle w:val="Compact"/>
      </w:pPr>
      <w:r>
        <w:rPr>
          <w:bCs/>
          <w:rFonts w:ascii="Arial" w:hAnsi="Arial"/>
          <w:b/>
        </w:rPr>
        <w:t xml:space="preserve">Sensitivity.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Low/Base/High scenarios and a tornado on rent, cost, cap rate and absorption.</w:t>
      </w:r>
    </w:p>
    <w:p>
      <w:pPr>
        <w:numPr>
          <w:ilvl w:val="0"/>
          <w:numId w:val="1007"/>
        </w:numPr>
        <w:pStyle w:val="Compact"/>
      </w:pPr>
      <w:r>
        <w:rPr>
          <w:bCs/>
          <w:rFonts w:ascii="Arial" w:hAnsi="Arial"/>
          <w:b/>
        </w:rPr>
        <w:t xml:space="preserve">Machine-tested location rules.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written location notes (e.g. </w:t>
      </w:r>
      <w:r>
        <w:rPr>
          <w:rFonts w:ascii="Arial" w:hAnsi="Arial"/>
        </w:rPr>
        <w:t xml:space="preserve">“</w:t>
      </w:r>
      <w:r>
        <w:rPr>
          <w:rFonts w:ascii="Arial" w:hAnsi="Arial"/>
        </w:rPr>
        <w:t xml:space="preserve">within 10 mi of anchor plant</w:t>
      </w:r>
      <w:r>
        <w:rPr>
          <w:rFonts w:ascii="Arial" w:hAnsi="Arial"/>
        </w:rPr>
        <w:t xml:space="preserve">”</w:t>
      </w:r>
      <w:r>
        <w:rPr>
          <w:rFonts w:ascii="Arial" w:hAnsi="Arial"/>
        </w:rPr>
        <w:t xml:space="preserve"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“</w:t>
      </w:r>
      <w:r>
        <w:rPr>
          <w:rFonts w:ascii="Arial" w:hAnsi="Arial"/>
        </w:rPr>
        <w:t xml:space="preserve">school district</w:t>
      </w:r>
      <w:r>
        <w:rPr>
          <w:rFonts w:ascii="Arial" w:hAnsi="Arial"/>
        </w:rPr>
        <w:t xml:space="preserve">”</w:t>
      </w:r>
      <w:r>
        <w:rPr>
          <w:rFonts w:ascii="Arial" w:hAnsi="Arial"/>
        </w:rPr>
        <w:t xml:space="preserve"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“</w:t>
      </w:r>
      <w:r>
        <w:rPr>
          <w:rFonts w:ascii="Arial" w:hAnsi="Arial"/>
        </w:rPr>
        <w:t xml:space="preserve">flag territory open</w:t>
      </w:r>
      <w:r>
        <w:rPr>
          <w:rFonts w:ascii="Arial" w:hAnsi="Arial"/>
        </w:rPr>
        <w:t xml:space="preserve">”</w:t>
      </w:r>
      <w:r>
        <w:rPr>
          <w:rFonts w:ascii="Arial" w:hAnsi="Arial"/>
        </w:rPr>
        <w:t xml:space="preserve">) become tests as data layers are added.</w:t>
      </w:r>
    </w:p>
    <w:bookmarkEnd w:id="26"/>
    <w:bookmarkStart w:id="27" w:name="ingestion-and-learning"/>
    <w:p>
      <w:pPr>
        <w:pStyle w:val="Heading2"/>
      </w:pPr>
      <w:r>
        <w:rPr>
          <w:rFonts w:ascii="Arial" w:hAnsi="Arial"/>
        </w:rPr>
        <w:t xml:space="preserve">Ingestion and learning</w:t>
      </w:r>
    </w:p>
    <w:p>
      <w:pPr>
        <w:numPr>
          <w:ilvl w:val="0"/>
          <w:numId w:val="1008"/>
        </w:numPr>
        <w:pStyle w:val="Compact"/>
      </w:pPr>
      <w:r>
        <w:rPr>
          <w:bCs/>
          <w:rFonts w:ascii="Arial" w:hAnsi="Arial"/>
          <w:b/>
        </w:rPr>
        <w:t xml:space="preserve">Proforma upload: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parse → AI proposes a mapping to cost codes/use fields with a confidence score → normalize lump sums to unit costs → review screen (auto-accept &gt; 0.90, confirm 0.50–0.90, user resolves &lt; 0.50) → remember mappings per org → write cost records with provenance. Import_Mapping shows examples.</w:t>
      </w:r>
    </w:p>
    <w:p>
      <w:pPr>
        <w:numPr>
          <w:ilvl w:val="0"/>
          <w:numId w:val="1008"/>
        </w:numPr>
        <w:pStyle w:val="Compact"/>
      </w:pPr>
      <w:r>
        <w:rPr>
          <w:bCs/>
          <w:rFonts w:ascii="Arial" w:hAnsi="Arial"/>
          <w:b/>
        </w:rPr>
        <w:t xml:space="preserve">Deal history upload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(Deal_History tab): projected</w:t>
      </w:r>
      <w:r>
        <w:rPr>
          <w:rFonts w:ascii="Arial" w:hAnsi="Arial"/>
        </w:rPr>
        <w:t xml:space="preserve"> </w:t>
      </w:r>
      <w:r>
        <w:rPr>
          <w:iCs/>
          <w:rFonts w:ascii="Arial" w:hAnsi="Arial"/>
          <w:i/>
        </w:rPr>
        <w:t xml:space="preserve">and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actual numbers, and deals passed on with the reason. Without passes and actuals the system only learns what people hoped.</w:t>
      </w:r>
    </w:p>
    <w:p>
      <w:pPr>
        <w:numPr>
          <w:ilvl w:val="0"/>
          <w:numId w:val="1008"/>
        </w:numPr>
        <w:pStyle w:val="Compact"/>
      </w:pPr>
      <w:r>
        <w:rPr>
          <w:bCs/>
          <w:rFonts w:ascii="Arial" w:hAnsi="Arial"/>
          <w:b/>
        </w:rPr>
        <w:t xml:space="preserve">Three data layers: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Mine (private to the org), Pooled benchmark (opt-in, anonymized, shown only with ≥ 5 records from ≥ 3 orgs), Landova default. Every number shows which layer it came from, and the user picks which drives the model.</w:t>
      </w:r>
    </w:p>
    <w:p>
      <w:pPr>
        <w:numPr>
          <w:ilvl w:val="0"/>
          <w:numId w:val="1008"/>
        </w:numPr>
        <w:pStyle w:val="Compact"/>
      </w:pPr>
      <w:r>
        <w:rPr>
          <w:bCs/>
          <w:rFonts w:ascii="Arial" w:hAnsi="Arial"/>
          <w:b/>
        </w:rPr>
        <w:t xml:space="preserve">Learning in order of what the data supports: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cost calibration (day 1), variance correction from actuals (tens of deals), comparable deals (tens), predictive deal scoring (hundreds of labeled outcomes; don’t promise this to customers until then).</w:t>
      </w:r>
    </w:p>
    <w:bookmarkEnd w:id="27"/>
    <w:bookmarkStart w:id="28" w:name="tests"/>
    <w:p>
      <w:pPr>
        <w:pStyle w:val="Heading2"/>
      </w:pPr>
      <w:r>
        <w:rPr>
          <w:rFonts w:ascii="Arial" w:hAnsi="Arial"/>
        </w:rPr>
        <w:t xml:space="preserve">Tests</w:t>
      </w:r>
    </w:p>
    <w:p>
      <w:pPr>
        <w:numPr>
          <w:ilvl w:val="0"/>
          <w:numId w:val="1009"/>
        </w:numPr>
        <w:pStyle w:val="Compact"/>
      </w:pPr>
      <w:r>
        <w:rPr>
          <w:bCs/>
          <w:rFonts w:ascii="Arial" w:hAnsi="Arial"/>
          <w:b/>
        </w:rPr>
        <w:t xml:space="preserve">Golden tests: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export the Engine tab for the sample parcel plus variants (sewer at site; Collin County; High scenario; 60 ac with corner and 25,000 VPD). Code must match every column to $1.</w:t>
      </w:r>
    </w:p>
    <w:p>
      <w:pPr>
        <w:numPr>
          <w:ilvl w:val="0"/>
          <w:numId w:val="1009"/>
        </w:numPr>
        <w:pStyle w:val="Compact"/>
      </w:pPr>
      <w:r>
        <w:rPr>
          <w:bCs/>
          <w:rFonts w:ascii="Arial" w:hAnsi="Arial"/>
          <w:b/>
        </w:rPr>
        <w:t xml:space="preserve">Plug-back test: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for every use and allowed exit, setting land price = max offer must return the required margin exactly.</w:t>
      </w:r>
    </w:p>
    <w:p>
      <w:pPr>
        <w:numPr>
          <w:ilvl w:val="0"/>
          <w:numId w:val="1009"/>
        </w:numPr>
        <w:pStyle w:val="Compact"/>
      </w:pPr>
      <w:r>
        <w:rPr>
          <w:bCs/>
          <w:rFonts w:ascii="Arial" w:hAnsi="Arial"/>
          <w:b/>
        </w:rPr>
        <w:t xml:space="preserve">Gate tests: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each location test, sewer/water requirement and min-acres rule zeroes capacity and produces the right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binding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text.</w:t>
      </w:r>
    </w:p>
    <w:p>
      <w:pPr>
        <w:numPr>
          <w:ilvl w:val="0"/>
          <w:numId w:val="1009"/>
        </w:numPr>
        <w:pStyle w:val="Compact"/>
      </w:pPr>
      <w:r>
        <w:rPr>
          <w:bCs/>
          <w:rFonts w:ascii="Arial" w:hAnsi="Arial"/>
          <w:b/>
        </w:rPr>
        <w:t xml:space="preserve">Edge cases: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zero buildable acres, cap rate 0, a use with no allowed exits, frontage under the minimum, a parcel larger than the market cap.</w:t>
      </w:r>
    </w:p>
    <w:bookmarkEnd w:id="28"/>
    <w:bookmarkStart w:id="29" w:name="build-order"/>
    <w:p>
      <w:pPr>
        <w:pStyle w:val="Heading2"/>
      </w:pPr>
      <w:r>
        <w:rPr>
          <w:rFonts w:ascii="Arial" w:hAnsi="Arial"/>
        </w:rPr>
        <w:t xml:space="preserve">Build order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Phase</w:t>
            </w:r>
          </w:p>
        </w:tc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Scope</w:t>
            </w:r>
          </w:p>
        </w:tc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Done when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1. Engine 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Use library, cost library, assumptions, Engine steps, Best_Use ranking, wired to existing parcel layers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Golden and plug-back tests pass for all 53 uses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2. Location layers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Traffic counts, households, highway, corner, substation from data layers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Best-use ranking runs on any Texas parcel without manual inputs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3. Real numbers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Replace placeholders: Trent’s deals (Short Road, Sears Rd, Wright Road, Ridge Stone costs), bids, county factors, land comps $/ac by use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No Grayson/Collin/Denton line on a placeholder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4. Cash flow + MF module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Monthly schedule, IRR, multifamily detail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MF output matches a prospect’s own model within 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5. Upload + learning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Proforma/deal-history import, overrides logged, three data layers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A third-party proforma imports with ≤ 5 lines to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6. Offers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Feed best max/opening offer into the automated-offer step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9"/>
              </w:rPr>
              <w:t xml:space="preserve">Offer letters generate from the ranking</w:t>
            </w:r>
          </w:p>
        </w:tc>
      </w:tr>
    </w:tbl>
    <w:bookmarkEnd w:id="29"/>
    <w:bookmarkStart w:id="30" w:name="working-on-this-in-claude-code"/>
    <w:p>
      <w:pPr>
        <w:pStyle w:val="Heading2"/>
      </w:pPr>
      <w:r>
        <w:rPr>
          <w:rFonts w:ascii="Arial" w:hAnsi="Arial"/>
        </w:rPr>
        <w:t xml:space="preserve">Working on this in Claude Code</w:t>
      </w:r>
    </w:p>
    <w:p>
      <w:pPr>
        <w:pStyle w:val="FirstParagraph"/>
      </w:pPr>
      <w:r>
        <w:rPr>
          <w:rFonts w:ascii="Arial" w:hAnsi="Arial"/>
        </w:rPr>
        <w:t xml:space="preserve">Put</w:t>
      </w:r>
      <w:r>
        <w:rPr>
          <w:rFonts w:ascii="Arial" w:hAnsi="Arial"/>
        </w:rPr>
        <w:t xml:space="preserve"> </w:t>
      </w:r>
      <w:r>
        <w:rPr>
          <w:iCs/>
          <w:rFonts w:ascii="Arial" w:hAnsi="Arial"/>
          <w:i/>
        </w:rPr>
        <w:t xml:space="preserve">Landova_Proforma_v2.xlsx</w:t>
      </w:r>
      <w:r>
        <w:rPr>
          <w:rFonts w:ascii="Arial" w:hAnsi="Arial"/>
        </w:rPr>
        <w:t xml:space="preserve">,</w:t>
      </w:r>
      <w:r>
        <w:rPr>
          <w:rFonts w:ascii="Arial" w:hAnsi="Arial"/>
        </w:rPr>
        <w:t xml:space="preserve"> </w:t>
      </w:r>
      <w:r>
        <w:rPr>
          <w:iCs/>
          <w:rFonts w:ascii="Arial" w:hAnsi="Arial"/>
          <w:i/>
        </w:rPr>
        <w:t xml:space="preserve">uses.py</w:t>
      </w:r>
      <w:r>
        <w:rPr>
          <w:rFonts w:ascii="Arial" w:hAnsi="Arial"/>
        </w:rPr>
        <w:t xml:space="preserve">,</w:t>
      </w:r>
      <w:r>
        <w:rPr>
          <w:rFonts w:ascii="Arial" w:hAnsi="Arial"/>
        </w:rPr>
        <w:t xml:space="preserve"> </w:t>
      </w:r>
      <w:r>
        <w:rPr>
          <w:iCs/>
          <w:rFonts w:ascii="Arial" w:hAnsi="Arial"/>
          <w:i/>
        </w:rPr>
        <w:t xml:space="preserve">build_v2.py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and this guide in the repo under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docs/proforma/</w:t>
      </w:r>
      <w:r>
        <w:rPr>
          <w:rFonts w:ascii="Arial" w:hAnsi="Arial"/>
        </w:rPr>
        <w:t xml:space="preserve">. A good first prompt:</w:t>
      </w:r>
    </w:p>
    <w:p>
      <w:pPr>
        <w:pStyle w:val="BlockText"/>
      </w:pPr>
      <w:r>
        <w:rPr>
          <w:rFonts w:ascii="Arial" w:hAnsi="Arial"/>
        </w:rPr>
        <w:t xml:space="preserve">Read docs/proforma/build_guide and build_v2.py. Port the ENG steps into a typed proforma engine module in our stack, with the use library as seed data. Generate golden-test fixtures from the workbook’s Engine tab and add the plug-back test for every use and exit. Don’t change any formula without flagging it.</w:t>
      </w:r>
    </w:p>
    <w:bookmarkEnd w:id="30"/>
    <w:bookmarkStart w:id="31" w:name="open-decisions"/>
    <w:p>
      <w:pPr>
        <w:pStyle w:val="Heading2"/>
      </w:pPr>
      <w:r>
        <w:rPr>
          <w:rFonts w:ascii="Arial" w:hAnsi="Arial"/>
        </w:rPr>
        <w:t xml:space="preserve">Open decisions</w:t>
      </w:r>
    </w:p>
    <w:p>
      <w:pPr>
        <w:numPr>
          <w:ilvl w:val="0"/>
          <w:numId w:val="1010"/>
        </w:numPr>
        <w:pStyle w:val="Compact"/>
      </w:pPr>
      <w:r>
        <w:rPr>
          <w:rFonts w:ascii="Arial" w:hAnsi="Arial"/>
        </w:rPr>
        <w:t xml:space="preserve">☐ Required margin by engine (placeholders: 15% for-sale and income, 20% operator pad, 25% land play).</w:t>
      </w:r>
    </w:p>
    <w:p>
      <w:pPr>
        <w:numPr>
          <w:ilvl w:val="0"/>
          <w:numId w:val="1010"/>
        </w:numPr>
        <w:pStyle w:val="Compact"/>
      </w:pPr>
      <w:r>
        <w:rPr>
          <w:rFonts w:ascii="Arial" w:hAnsi="Arial"/>
        </w:rPr>
        <w:t xml:space="preserve">☐ Which placeholder numbers get replaced first. Recommendation: Grayson for-sale, MHC, RV park, storage, flex.</w:t>
      </w:r>
    </w:p>
    <w:p>
      <w:pPr>
        <w:numPr>
          <w:ilvl w:val="0"/>
          <w:numId w:val="1010"/>
        </w:numPr>
        <w:pStyle w:val="Compact"/>
      </w:pPr>
      <w:r>
        <w:rPr>
          <w:rFonts w:ascii="Arial" w:hAnsi="Arial"/>
        </w:rPr>
        <w:t xml:space="preserve">☐ Location-test thresholds per use (all placeholders), and which data source feeds each.</w:t>
      </w:r>
    </w:p>
    <w:p>
      <w:pPr>
        <w:numPr>
          <w:ilvl w:val="0"/>
          <w:numId w:val="1010"/>
        </w:numPr>
        <w:pStyle w:val="Compact"/>
      </w:pPr>
      <w:r>
        <w:rPr>
          <w:rFonts w:ascii="Arial" w:hAnsi="Arial"/>
        </w:rPr>
        <w:t xml:space="preserve">☐ County septic and MH rules for Grayson, Collin, Denton, Cooke and Fannin.</w:t>
      </w:r>
    </w:p>
    <w:p>
      <w:pPr>
        <w:numPr>
          <w:ilvl w:val="0"/>
          <w:numId w:val="1010"/>
        </w:numPr>
        <w:pStyle w:val="Compact"/>
      </w:pPr>
      <w:r>
        <w:rPr>
          <w:rFonts w:ascii="Arial" w:hAnsi="Arial"/>
        </w:rPr>
        <w:t xml:space="preserve">☐ Pooled-benchmark minimums and the opt-in contract language.</w:t>
      </w:r>
    </w:p>
    <w:p>
      <w:pPr>
        <w:numPr>
          <w:ilvl w:val="0"/>
          <w:numId w:val="1010"/>
        </w:numPr>
        <w:pStyle w:val="Compact"/>
      </w:pPr>
      <w:r>
        <w:rPr>
          <w:rFonts w:ascii="Arial" w:hAnsi="Arial"/>
        </w:rPr>
        <w:t xml:space="preserve">☐ Is existing-property acquisition (rent roll, T-12, value-add) in scope? Recommendation: no; stay with land.</w:t>
      </w:r>
    </w:p>
    <w:bookmarkEnd w:id="31"/>
    <w:sectPr>
      <w:pgMar w:left="1440" w:right="1440" w:top="1296" w:bottom="129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 w:eastAsia="Arial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 w:eastAsia="Arial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 w:eastAsia="Arial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 w:eastAsia="Arial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rial" w:hAnsi="Arial"/>
      <w:b/>
      <w:bCs/>
      <w:color w:val="1F3864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hAnsi="Arial"/>
      <w:color w:val="595959"/>
      <w:sz w:val="22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hAnsi="Arial" w:eastAsia="Arial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Landova Proforma Engine v2 — Build Guide</dc:title>
  <dc:creator/>
  <cp:keywords/>
  <dcterms:created xsi:type="dcterms:W3CDTF">2026-10-29T14:09:08Z</dcterms:created>
  <dcterms:modified xsi:type="dcterms:W3CDTF">2026-10-29T14:09:08Z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From Trent Reynolds to Ryan Schubert · October 29, 2026 · Companion to Landova_Proforma_v2.xlsx</vt:lpwstr>
  </property>
</Properties>
</file>