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fd5e4" w:space="3" w:sz="6" w:val="single"/>
        </w:pBdr>
        <w:shd w:fill="ffffff" w:val="clear"/>
        <w:spacing w:after="280" w:before="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color w:val="2a2a2a"/>
          <w:sz w:val="40"/>
          <w:szCs w:val="40"/>
          <w:rtl w:val="0"/>
        </w:rPr>
        <w:t xml:space="preserve">COV-DOCK server: A web server for COVID-19 ligand-target docking.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31"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Kamal Rawal</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Prashant Singh</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Robin Sinha</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Ridhima</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Preeti P.</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Swarsat Kaushik Nath</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Priya Kumari</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Sukriti Sahai</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Sweety Shinde</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Nikita Garg</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Prateek Paul</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 Amity Institute of Biotechnology, Amity University Uttar Pradesh, India.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#Corresponding Author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Email ID: kamal.rawal@gmail.com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Centre for Computational Biology and Bioinformatics, AIB</w:t>
        <w:br w:type="textWrapping"/>
        <w:t xml:space="preserve">Amity University, Noida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hd w:fill="eff2f7" w:val="clear"/>
        <w:spacing w:after="28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a2a2a"/>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tl w:val="0"/>
        </w:rPr>
      </w:r>
    </w:p>
    <w:p w:rsidR="00000000" w:rsidDel="00000000" w:rsidP="00000000" w:rsidRDefault="00000000" w:rsidRPr="00000000" w14:paraId="0000000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mass level vaccinations and launch of several repurposed drugs, emergence of COVID-19 reinfection has posed a key challenge in front of health authorities across the world. There is an urgent need to find new drugs and the understanding of the COVID-19 target–ligand interactions will play an important role in this direction. Here, we present COV-Dock Server, a web server that predicts the binding modes between COVID-19 targets and the small drug molecules.</w:t>
      </w:r>
    </w:p>
    <w:p w:rsidR="00000000" w:rsidDel="00000000" w:rsidP="00000000" w:rsidRDefault="00000000" w:rsidRPr="00000000" w14:paraId="0000000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0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experimentally solved structures of proteins of SARS-CoV-2.  Further, we used predicted structure of experimentally unsolved proteins that were also collected. These structures were prepared for the docking. Next, 257 candidate drugs were docked against these targets using the meta-platform to understand the binding energy distributions. This server provides a free and interactive tool for the prediction of COVID-19 target–ligand interactions and enables drug discovery for COVID-19.</w:t>
      </w:r>
    </w:p>
    <w:p w:rsidR="00000000" w:rsidDel="00000000" w:rsidP="00000000" w:rsidRDefault="00000000" w:rsidRPr="00000000" w14:paraId="0000000F">
      <w:pPr>
        <w:spacing w:after="240" w:before="240" w:line="33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Bioinformatics, drug repurposing, artificial intelligence, COVID-19, SAR-CoV-2, Molecular Docking. </w:t>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and implementation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31"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COV-DRUGX Software Pipeline: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http://drugx.kamalrawal.in/drugx/</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8">
        <w:r w:rsidDel="00000000" w:rsidR="00000000" w:rsidRPr="00000000">
          <w:rPr>
            <w:rFonts w:ascii="Times New Roman" w:cs="Times New Roman" w:eastAsia="Times New Roman" w:hAnsi="Times New Roman"/>
            <w:color w:val="1155cc"/>
            <w:sz w:val="24"/>
            <w:szCs w:val="24"/>
            <w:u w:val="single"/>
            <w:rtl w:val="0"/>
          </w:rPr>
          <w:t xml:space="preserve">www.kamalrawal.in/tools.html</w:t>
        </w:r>
      </w:hyperlink>
      <w:r w:rsidDel="00000000" w:rsidR="00000000" w:rsidRPr="00000000">
        <w:rPr>
          <w:rtl w:val="0"/>
        </w:rPr>
      </w:r>
    </w:p>
    <w:p w:rsidR="00000000" w:rsidDel="00000000" w:rsidP="00000000" w:rsidRDefault="00000000" w:rsidRPr="00000000" w14:paraId="0000001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information</w:t>
      </w:r>
      <w:r w:rsidDel="00000000" w:rsidR="00000000" w:rsidRPr="00000000">
        <w:rPr>
          <w:rtl w:val="0"/>
        </w:rPr>
      </w:r>
    </w:p>
    <w:p w:rsidR="00000000" w:rsidDel="00000000" w:rsidP="00000000" w:rsidRDefault="00000000" w:rsidRPr="00000000" w14:paraId="0000001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6fb7"/>
            <w:sz w:val="24"/>
            <w:szCs w:val="24"/>
            <w:u w:val="single"/>
            <w:rtl w:val="0"/>
          </w:rPr>
          <w:t xml:space="preserve">Supplementary data</w:t>
        </w:r>
      </w:hyperlink>
      <w:r w:rsidDel="00000000" w:rsidR="00000000" w:rsidRPr="00000000">
        <w:rPr>
          <w:rFonts w:ascii="Times New Roman" w:cs="Times New Roman" w:eastAsia="Times New Roman" w:hAnsi="Times New Roman"/>
          <w:sz w:val="24"/>
          <w:szCs w:val="24"/>
          <w:rtl w:val="0"/>
        </w:rPr>
        <w:t xml:space="preserve"> are available at our website </w:t>
      </w:r>
      <w:r w:rsidDel="00000000" w:rsidR="00000000" w:rsidRPr="00000000">
        <w:rPr>
          <w:rFonts w:ascii="Times New Roman" w:cs="Times New Roman" w:eastAsia="Times New Roman" w:hAnsi="Times New Roman"/>
          <w:i w:val="0"/>
          <w:smallCaps w:val="0"/>
          <w:color w:val="1155cc"/>
          <w:sz w:val="24"/>
          <w:szCs w:val="24"/>
          <w:u w:val="single"/>
          <w:rtl w:val="0"/>
        </w:rPr>
        <w:t xml:space="preserve">https://sites.google.com/view/drugx-supplementary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bottom w:color="cfd5e4" w:space="3" w:sz="6" w:val="single"/>
        </w:pBdr>
        <w:shd w:fill="ffffff" w:val="clear"/>
        <w:spacing w:after="0" w:before="0" w:line="240" w:lineRule="auto"/>
        <w:jc w:val="both"/>
        <w:rPr>
          <w:rFonts w:ascii="Times New Roman" w:cs="Times New Roman" w:eastAsia="Times New Roman" w:hAnsi="Times New Roman"/>
          <w:b w:val="1"/>
          <w:color w:val="2a2a2a"/>
          <w:sz w:val="24"/>
          <w:szCs w:val="24"/>
        </w:rPr>
      </w:pPr>
      <w:r w:rsidDel="00000000" w:rsidR="00000000" w:rsidRPr="00000000">
        <w:rPr>
          <w:rtl w:val="0"/>
        </w:rPr>
      </w:r>
    </w:p>
    <w:p w:rsidR="00000000" w:rsidDel="00000000" w:rsidP="00000000" w:rsidRDefault="00000000" w:rsidRPr="00000000" w14:paraId="00000017">
      <w:pPr>
        <w:pBdr>
          <w:bottom w:color="cfd5e4" w:space="3" w:sz="6" w:val="single"/>
        </w:pBdr>
        <w:shd w:fill="ffffff" w:val="clear"/>
        <w:spacing w:after="0" w:before="0" w:line="240" w:lineRule="auto"/>
        <w:jc w:val="both"/>
        <w:rPr>
          <w:rFonts w:ascii="Times New Roman" w:cs="Times New Roman" w:eastAsia="Times New Roman" w:hAnsi="Times New Roman"/>
          <w:b w:val="1"/>
          <w:color w:val="2a2a2a"/>
          <w:sz w:val="24"/>
          <w:szCs w:val="24"/>
        </w:rPr>
      </w:pPr>
      <w:r w:rsidDel="00000000" w:rsidR="00000000" w:rsidRPr="00000000">
        <w:rPr>
          <w:rtl w:val="0"/>
        </w:rPr>
      </w:r>
    </w:p>
    <w:p w:rsidR="00000000" w:rsidDel="00000000" w:rsidP="00000000" w:rsidRDefault="00000000" w:rsidRPr="00000000" w14:paraId="00000018">
      <w:pPr>
        <w:widowControl w:val="0"/>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a2a2a"/>
          <w:sz w:val="24"/>
          <w:szCs w:val="24"/>
          <w:rtl w:val="0"/>
        </w:rPr>
        <w:t xml:space="preserve">1. Introduction</w:t>
      </w:r>
      <w:r w:rsidDel="00000000" w:rsidR="00000000" w:rsidRPr="00000000">
        <w:rPr>
          <w:rtl w:val="0"/>
        </w:rPr>
      </w:r>
    </w:p>
    <w:p w:rsidR="00000000" w:rsidDel="00000000" w:rsidP="00000000" w:rsidRDefault="00000000" w:rsidRPr="00000000" w14:paraId="00000019">
      <w:pPr>
        <w:widowControl w:val="0"/>
        <w:pBdr>
          <w:bottom w:color="cfd5e4" w:space="3" w:sz="6" w:val="single"/>
        </w:pBdr>
        <w:shd w:fill="ffffff" w:val="clear"/>
        <w:spacing w:after="0" w:before="0" w:line="240" w:lineRule="auto"/>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Till date, over 5 million deaths have been reported due to coronavirus disease 2019 (COVID-19).  Several clinical trials are going on for the treatment of COVID-19. </w:t>
      </w:r>
      <w:r w:rsidDel="00000000" w:rsidR="00000000" w:rsidRPr="00000000">
        <w:rPr>
          <w:rFonts w:ascii="Times New Roman" w:cs="Times New Roman" w:eastAsia="Times New Roman" w:hAnsi="Times New Roman"/>
          <w:color w:val="2a2a2a"/>
          <w:sz w:val="24"/>
          <w:szCs w:val="24"/>
          <w:highlight w:val="white"/>
          <w:rtl w:val="0"/>
        </w:rPr>
        <w:t xml:space="preserve">Currently, 3 drugs and 9 vaccines have been approved by FDA and other regulators which include </w:t>
      </w:r>
      <w:hyperlink r:id="rId10">
        <w:r w:rsidDel="00000000" w:rsidR="00000000" w:rsidRPr="00000000">
          <w:rPr>
            <w:rFonts w:ascii="Times New Roman" w:cs="Times New Roman" w:eastAsia="Times New Roman" w:hAnsi="Times New Roman"/>
            <w:color w:val="1155cc"/>
            <w:sz w:val="24"/>
            <w:szCs w:val="24"/>
            <w:rtl w:val="0"/>
          </w:rPr>
          <w:t xml:space="preserve">Veklury (Remdesivir)</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2a2a2a"/>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fda.gov</w:t>
        </w:r>
      </w:hyperlink>
      <w:hyperlink r:id="rId12">
        <w:r w:rsidDel="00000000" w:rsidR="00000000" w:rsidRPr="00000000">
          <w:rPr>
            <w:rFonts w:ascii="Times New Roman" w:cs="Times New Roman" w:eastAsia="Times New Roman" w:hAnsi="Times New Roman"/>
            <w:color w:val="2a2a2a"/>
            <w:sz w:val="24"/>
            <w:szCs w:val="24"/>
            <w:u w:val="single"/>
            <w:rtl w:val="0"/>
          </w:rPr>
          <w:t xml:space="preserve">)</w:t>
        </w:r>
      </w:hyperlink>
      <w:r w:rsidDel="00000000" w:rsidR="00000000" w:rsidRPr="00000000">
        <w:rPr>
          <w:rFonts w:ascii="Times New Roman" w:cs="Times New Roman" w:eastAsia="Times New Roman" w:hAnsi="Times New Roman"/>
          <w:color w:val="2a2a2a"/>
          <w:sz w:val="24"/>
          <w:szCs w:val="24"/>
          <w:rtl w:val="0"/>
        </w:rPr>
        <w:t xml:space="preserve"> and Molnupiravir [Fischer et al., 2021]</w:t>
      </w:r>
      <w:r w:rsidDel="00000000" w:rsidR="00000000" w:rsidRPr="00000000">
        <w:rPr>
          <w:rFonts w:ascii="Times New Roman" w:cs="Times New Roman" w:eastAsia="Times New Roman" w:hAnsi="Times New Roman"/>
          <w:color w:val="1155cc"/>
          <w:sz w:val="24"/>
          <w:szCs w:val="24"/>
          <w:rtl w:val="0"/>
        </w:rPr>
        <w:t xml:space="preserve">. </w:t>
      </w:r>
      <w:commentRangeStart w:id="0"/>
      <w:r w:rsidDel="00000000" w:rsidR="00000000" w:rsidRPr="00000000">
        <w:rPr>
          <w:rFonts w:ascii="Times New Roman" w:cs="Times New Roman" w:eastAsia="Times New Roman" w:hAnsi="Times New Roman"/>
          <w:color w:val="2a2a2a"/>
          <w:sz w:val="24"/>
          <w:szCs w:val="24"/>
          <w:rtl w:val="0"/>
        </w:rPr>
        <w:t xml:space="preserve">The list of approved vaccines are available in </w:t>
      </w:r>
      <w:hyperlink r:id="rId13">
        <w:r w:rsidDel="00000000" w:rsidR="00000000" w:rsidRPr="00000000">
          <w:rPr>
            <w:rFonts w:ascii="Times New Roman" w:cs="Times New Roman" w:eastAsia="Times New Roman" w:hAnsi="Times New Roman"/>
            <w:color w:val="1155cc"/>
            <w:sz w:val="24"/>
            <w:szCs w:val="24"/>
            <w:u w:val="single"/>
            <w:rtl w:val="0"/>
          </w:rPr>
          <w:t xml:space="preserve">Supplementary Documents</w:t>
        </w:r>
      </w:hyperlink>
      <w:r w:rsidDel="00000000" w:rsidR="00000000" w:rsidRPr="00000000">
        <w:rPr>
          <w:rFonts w:ascii="Times New Roman" w:cs="Times New Roman" w:eastAsia="Times New Roman" w:hAnsi="Times New Roman"/>
          <w:color w:val="2a2a2a"/>
          <w:sz w:val="24"/>
          <w:szCs w:val="24"/>
          <w:rtl w:val="0"/>
        </w:rPr>
        <w:t xml:space="preserve"> on our website</w:t>
      </w:r>
      <w:commentRangeEnd w:id="0"/>
      <w:r w:rsidDel="00000000" w:rsidR="00000000" w:rsidRPr="00000000">
        <w:commentReference w:id="0"/>
      </w:r>
      <w:r w:rsidDel="00000000" w:rsidR="00000000" w:rsidRPr="00000000">
        <w:rPr>
          <w:rFonts w:ascii="Times New Roman" w:cs="Times New Roman" w:eastAsia="Times New Roman" w:hAnsi="Times New Roman"/>
          <w:color w:val="2a2a2a"/>
          <w:sz w:val="24"/>
          <w:szCs w:val="24"/>
          <w:rtl w:val="0"/>
        </w:rPr>
        <w:t xml:space="preserve">.</w:t>
      </w:r>
    </w:p>
    <w:p w:rsidR="00000000" w:rsidDel="00000000" w:rsidP="00000000" w:rsidRDefault="00000000" w:rsidRPr="00000000" w14:paraId="0000001A">
      <w:pPr>
        <w:widowControl w:val="0"/>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rtl w:val="0"/>
        </w:rPr>
        <w:t xml:space="preserve">In the short period of time, most of the structures of SARS-CoV-2 have been released in PDB by different research groups [</w:t>
      </w:r>
      <w:r w:rsidDel="00000000" w:rsidR="00000000" w:rsidRPr="00000000">
        <w:rPr>
          <w:rFonts w:ascii="Times New Roman" w:cs="Times New Roman" w:eastAsia="Times New Roman" w:hAnsi="Times New Roman"/>
          <w:color w:val="2a2a2a"/>
          <w:sz w:val="24"/>
          <w:szCs w:val="24"/>
          <w:highlight w:val="white"/>
          <w:rtl w:val="0"/>
        </w:rPr>
        <w:t xml:space="preserve">Kim Y et al., 2020; Lin et al., 2020].</w:t>
      </w:r>
      <w:r w:rsidDel="00000000" w:rsidR="00000000" w:rsidRPr="00000000">
        <w:rPr>
          <w:rFonts w:ascii="Times New Roman" w:cs="Times New Roman" w:eastAsia="Times New Roman" w:hAnsi="Times New Roman"/>
          <w:color w:val="2a2a2a"/>
          <w:sz w:val="24"/>
          <w:szCs w:val="24"/>
          <w:rtl w:val="0"/>
        </w:rPr>
        <w:t xml:space="preserve"> A dedicated database ‘CoV3D’, provides users with comprehensive sets of structures of coronavirus proteins and their complexes with antibodies, receptors, and small molecules [Gowthaman et al., 2021].  Molecular docking has been used extensively for screening of drugs [Yu et al 2020; Rawal et al 2019] and drug repurposing activities [</w:t>
      </w:r>
      <w:commentRangeStart w:id="1"/>
      <w:r w:rsidDel="00000000" w:rsidR="00000000" w:rsidRPr="00000000">
        <w:rPr>
          <w:rFonts w:ascii="Times New Roman" w:cs="Times New Roman" w:eastAsia="Times New Roman" w:hAnsi="Times New Roman"/>
          <w:color w:val="2a2a2a"/>
          <w:sz w:val="24"/>
          <w:szCs w:val="24"/>
          <w:rtl w:val="0"/>
        </w:rPr>
        <w:t xml:space="preserve">Wang et al., 2020</w:t>
      </w:r>
      <w:commentRangeEnd w:id="1"/>
      <w:r w:rsidDel="00000000" w:rsidR="00000000" w:rsidRPr="00000000">
        <w:commentReference w:id="1"/>
      </w:r>
      <w:r w:rsidDel="00000000" w:rsidR="00000000" w:rsidRPr="00000000">
        <w:rPr>
          <w:rFonts w:ascii="Times New Roman" w:cs="Times New Roman" w:eastAsia="Times New Roman" w:hAnsi="Times New Roman"/>
          <w:color w:val="2a2a2a"/>
          <w:sz w:val="24"/>
          <w:szCs w:val="24"/>
          <w:rtl w:val="0"/>
        </w:rPr>
        <w:t xml:space="preserve">]. Previously, our research group has performed large scale docking against network based proteins for diseases [Jaganadham et al., 2016] and vaccine development [Rawal et al., 2021]. Our free and easy to use computational server shall help those who are interested in drug discovery against COVID-19.</w:t>
      </w:r>
      <w:r w:rsidDel="00000000" w:rsidR="00000000" w:rsidRPr="00000000">
        <w:rPr>
          <w:rtl w:val="0"/>
        </w:rPr>
      </w:r>
    </w:p>
    <w:p w:rsidR="00000000" w:rsidDel="00000000" w:rsidP="00000000" w:rsidRDefault="00000000" w:rsidRPr="00000000" w14:paraId="0000001B">
      <w:pPr>
        <w:pBdr>
          <w:bottom w:color="cfd5e4" w:space="3" w:sz="6" w:val="single"/>
        </w:pBdr>
        <w:shd w:fill="ffffff" w:val="clear"/>
        <w:spacing w:after="280" w:before="0" w:line="240" w:lineRule="auto"/>
        <w:jc w:val="both"/>
        <w:rPr>
          <w:rFonts w:ascii="Times New Roman" w:cs="Times New Roman" w:eastAsia="Times New Roman" w:hAnsi="Times New Roman"/>
          <w:b w:val="1"/>
          <w:color w:val="2a2a2a"/>
          <w:sz w:val="24"/>
          <w:szCs w:val="24"/>
        </w:rPr>
      </w:pPr>
      <w:r w:rsidDel="00000000" w:rsidR="00000000" w:rsidRPr="00000000">
        <w:rPr>
          <w:rtl w:val="0"/>
        </w:rPr>
      </w:r>
    </w:p>
    <w:p w:rsidR="00000000" w:rsidDel="00000000" w:rsidP="00000000" w:rsidRDefault="00000000" w:rsidRPr="00000000" w14:paraId="0000001C">
      <w:pPr>
        <w:pBdr>
          <w:bottom w:color="cfd5e4" w:space="3" w:sz="6" w:val="single"/>
        </w:pBdr>
        <w:shd w:fill="ffffff" w:val="clea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a2a2a"/>
          <w:sz w:val="24"/>
          <w:szCs w:val="24"/>
          <w:rtl w:val="0"/>
        </w:rPr>
        <w:t xml:space="preserve">2. Implementation</w:t>
      </w:r>
      <w:r w:rsidDel="00000000" w:rsidR="00000000" w:rsidRPr="00000000">
        <w:rPr>
          <w:rtl w:val="0"/>
        </w:rPr>
      </w:r>
    </w:p>
    <w:p w:rsidR="00000000" w:rsidDel="00000000" w:rsidP="00000000" w:rsidRDefault="00000000" w:rsidRPr="00000000" w14:paraId="0000001D">
      <w:pPr>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rtl w:val="0"/>
        </w:rPr>
        <w:t xml:space="preserve">The COV-DOCK server is written in python, HTML, CSS, and JS. Also we used the external libraries such as flask web framework, celery, redis queue, snakemake, obabel, AutoDockFR, AutoDock Vina, and p2rank. For visualization, we have incorporated JSMol (</w:t>
      </w:r>
      <w:hyperlink r:id="rId14">
        <w:r w:rsidDel="00000000" w:rsidR="00000000" w:rsidRPr="00000000">
          <w:rPr>
            <w:rFonts w:ascii="Times New Roman" w:cs="Times New Roman" w:eastAsia="Times New Roman" w:hAnsi="Times New Roman"/>
            <w:color w:val="006fb7"/>
            <w:sz w:val="24"/>
            <w:szCs w:val="24"/>
            <w:rtl w:val="0"/>
          </w:rPr>
          <w:t xml:space="preserve">http://jmol.sourceforge.net/</w:t>
        </w:r>
      </w:hyperlink>
      <w:r w:rsidDel="00000000" w:rsidR="00000000" w:rsidRPr="00000000">
        <w:rPr>
          <w:rFonts w:ascii="Times New Roman" w:cs="Times New Roman" w:eastAsia="Times New Roman" w:hAnsi="Times New Roman"/>
          <w:color w:val="2a2a2a"/>
          <w:sz w:val="24"/>
          <w:szCs w:val="24"/>
          <w:rtl w:val="0"/>
        </w:rPr>
        <w:t xml:space="preserve">) in the result page. We have included </w:t>
      </w:r>
      <w:r w:rsidDel="00000000" w:rsidR="00000000" w:rsidRPr="00000000">
        <w:rPr>
          <w:rFonts w:ascii="Times New Roman" w:cs="Times New Roman" w:eastAsia="Times New Roman" w:hAnsi="Times New Roman"/>
          <w:color w:val="2a2a2a"/>
          <w:sz w:val="24"/>
          <w:szCs w:val="24"/>
          <w:highlight w:val="white"/>
          <w:rtl w:val="0"/>
        </w:rPr>
        <w:t xml:space="preserve">23 viral </w:t>
      </w:r>
      <w:r w:rsidDel="00000000" w:rsidR="00000000" w:rsidRPr="00000000">
        <w:rPr>
          <w:rFonts w:ascii="Times New Roman" w:cs="Times New Roman" w:eastAsia="Times New Roman" w:hAnsi="Times New Roman"/>
          <w:color w:val="2a2a2a"/>
          <w:sz w:val="24"/>
          <w:szCs w:val="24"/>
          <w:rtl w:val="0"/>
        </w:rPr>
        <w:t xml:space="preserve">proteins from SARS-COV-2 for docking. These proteins have been reported to be important for virus life</w:t>
      </w:r>
      <w:r w:rsidDel="00000000" w:rsidR="00000000" w:rsidRPr="00000000">
        <w:rPr>
          <w:rFonts w:ascii="Times New Roman" w:cs="Times New Roman" w:eastAsia="Times New Roman" w:hAnsi="Times New Roman"/>
          <w:color w:val="2a2a2a"/>
          <w:sz w:val="24"/>
          <w:szCs w:val="24"/>
          <w:highlight w:val="white"/>
          <w:rtl w:val="0"/>
        </w:rPr>
        <w:t xml:space="preserve"> [Kong et al., 2020; Peele et al., 2020]. </w:t>
      </w:r>
      <w:r w:rsidDel="00000000" w:rsidR="00000000" w:rsidRPr="00000000">
        <w:rPr>
          <w:rFonts w:ascii="Times New Roman" w:cs="Times New Roman" w:eastAsia="Times New Roman" w:hAnsi="Times New Roman"/>
          <w:color w:val="2a2a2a"/>
          <w:sz w:val="24"/>
          <w:szCs w:val="24"/>
          <w:rtl w:val="0"/>
        </w:rPr>
        <w:t xml:space="preserve"> These include spike protein, membrane protein, envelop small membrane protein, nucleocapsid protein, main protease, papain-like protease, nsp3 (207–379), RNA dependent RNA polymerase (RdRp, nsp12/7/8 complex), nsp7, nsp8, nsp12, helicase, nsp14, nsp15 (endoribonuclease), nsp10, nsp16, nsp 16/10 (2′-O-methyltransferase), nsp1, nsp2, nsp4, nsp6, nsp9, ORF3A, ORF6, ORF7A, ORF8 and ORF10. The schematic workflow of the COV-Dock Server is shown in </w:t>
      </w:r>
      <w:hyperlink r:id="rId15">
        <w:r w:rsidDel="00000000" w:rsidR="00000000" w:rsidRPr="00000000">
          <w:rPr>
            <w:rFonts w:ascii="Times New Roman" w:cs="Times New Roman" w:eastAsia="Times New Roman" w:hAnsi="Times New Roman"/>
            <w:color w:val="1155cc"/>
            <w:sz w:val="24"/>
            <w:szCs w:val="24"/>
            <w:u w:val="single"/>
            <w:rtl w:val="0"/>
          </w:rPr>
          <w:t xml:space="preserve">Supplementary Figure</w:t>
        </w:r>
      </w:hyperlink>
      <w:r w:rsidDel="00000000" w:rsidR="00000000" w:rsidRPr="00000000">
        <w:rPr>
          <w:rFonts w:ascii="Times New Roman" w:cs="Times New Roman" w:eastAsia="Times New Roman" w:hAnsi="Times New Roman"/>
          <w:color w:val="006fb7"/>
          <w:sz w:val="24"/>
          <w:szCs w:val="24"/>
          <w:rtl w:val="0"/>
        </w:rPr>
        <w:t xml:space="preserve"> 1</w:t>
      </w:r>
      <w:r w:rsidDel="00000000" w:rsidR="00000000" w:rsidRPr="00000000">
        <w:rPr>
          <w:rFonts w:ascii="Times New Roman" w:cs="Times New Roman" w:eastAsia="Times New Roman" w:hAnsi="Times New Roman"/>
          <w:color w:val="2a2a2a"/>
          <w:sz w:val="24"/>
          <w:szCs w:val="24"/>
          <w:rtl w:val="0"/>
        </w:rPr>
        <w:t xml:space="preserve">.</w:t>
      </w:r>
      <w:r w:rsidDel="00000000" w:rsidR="00000000" w:rsidRPr="00000000">
        <w:rPr>
          <w:rtl w:val="0"/>
        </w:rPr>
      </w:r>
    </w:p>
    <w:p w:rsidR="00000000" w:rsidDel="00000000" w:rsidP="00000000" w:rsidRDefault="00000000" w:rsidRPr="00000000" w14:paraId="0000001E">
      <w:pPr>
        <w:pBdr>
          <w:bottom w:color="cfd5e4" w:space="3" w:sz="6" w:val="single"/>
        </w:pBdr>
        <w:shd w:fill="ffffff" w:val="clear"/>
        <w:spacing w:after="0" w:before="0" w:line="240" w:lineRule="auto"/>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Autodock Vina </w:t>
      </w:r>
      <w:r w:rsidDel="00000000" w:rsidR="00000000" w:rsidRPr="00000000">
        <w:rPr>
          <w:rFonts w:ascii="Times New Roman" w:cs="Times New Roman" w:eastAsia="Times New Roman" w:hAnsi="Times New Roman"/>
          <w:color w:val="2a2a2a"/>
          <w:sz w:val="24"/>
          <w:szCs w:val="24"/>
          <w:highlight w:val="white"/>
          <w:rtl w:val="0"/>
        </w:rPr>
        <w:t xml:space="preserve">[</w:t>
      </w:r>
      <w:hyperlink r:id="rId16">
        <w:r w:rsidDel="00000000" w:rsidR="00000000" w:rsidRPr="00000000">
          <w:rPr>
            <w:rFonts w:ascii="Times New Roman" w:cs="Times New Roman" w:eastAsia="Times New Roman" w:hAnsi="Times New Roman"/>
            <w:color w:val="2a2a2a"/>
            <w:sz w:val="24"/>
            <w:szCs w:val="24"/>
            <w:highlight w:val="white"/>
            <w:rtl w:val="0"/>
          </w:rPr>
          <w:t xml:space="preserve">Trott and Olson, 20</w:t>
        </w:r>
      </w:hyperlink>
      <w:r w:rsidDel="00000000" w:rsidR="00000000" w:rsidRPr="00000000">
        <w:rPr>
          <w:rFonts w:ascii="Times New Roman" w:cs="Times New Roman" w:eastAsia="Times New Roman" w:hAnsi="Times New Roman"/>
          <w:color w:val="2a2a2a"/>
          <w:sz w:val="24"/>
          <w:szCs w:val="24"/>
          <w:highlight w:val="white"/>
          <w:rtl w:val="0"/>
        </w:rPr>
        <w:t xml:space="preserve">10] </w:t>
      </w:r>
      <w:r w:rsidDel="00000000" w:rsidR="00000000" w:rsidRPr="00000000">
        <w:rPr>
          <w:rFonts w:ascii="Times New Roman" w:cs="Times New Roman" w:eastAsia="Times New Roman" w:hAnsi="Times New Roman"/>
          <w:color w:val="2a2a2a"/>
          <w:sz w:val="24"/>
          <w:szCs w:val="24"/>
          <w:rtl w:val="0"/>
        </w:rPr>
        <w:t xml:space="preserve">is used as a docking engine for docking of small molecules. To transform formats or to generate 3D coordinate for the uploaded files, Open Babel system was utilized [</w:t>
      </w:r>
      <w:hyperlink r:id="rId17">
        <w:r w:rsidDel="00000000" w:rsidR="00000000" w:rsidRPr="00000000">
          <w:rPr>
            <w:rFonts w:ascii="Times New Roman" w:cs="Times New Roman" w:eastAsia="Times New Roman" w:hAnsi="Times New Roman"/>
            <w:color w:val="2a2a2a"/>
            <w:sz w:val="24"/>
            <w:szCs w:val="24"/>
            <w:rtl w:val="0"/>
          </w:rPr>
          <w:t xml:space="preserve">O'Boyle et al., 2011</w:t>
        </w:r>
      </w:hyperlink>
      <w:r w:rsidDel="00000000" w:rsidR="00000000" w:rsidRPr="00000000">
        <w:rPr>
          <w:rFonts w:ascii="Times New Roman" w:cs="Times New Roman" w:eastAsia="Times New Roman" w:hAnsi="Times New Roman"/>
          <w:color w:val="2a2a2a"/>
          <w:sz w:val="24"/>
          <w:szCs w:val="24"/>
          <w:rtl w:val="0"/>
        </w:rPr>
        <w:t xml:space="preserve">]. The docking box was defined on the center of native ligand with 40 Å × 40Å × 40Å in length to include the residues of entire cavity in experimental solved structure. For predicted structures, we define according to the information of active sites or binding sites of its homologs of SARS-CoV (details in </w:t>
      </w:r>
      <w:hyperlink r:id="rId18">
        <w:r w:rsidDel="00000000" w:rsidR="00000000" w:rsidRPr="00000000">
          <w:rPr>
            <w:rFonts w:ascii="Times New Roman" w:cs="Times New Roman" w:eastAsia="Times New Roman" w:hAnsi="Times New Roman"/>
            <w:color w:val="1155cc"/>
            <w:sz w:val="24"/>
            <w:szCs w:val="24"/>
            <w:u w:val="single"/>
            <w:rtl w:val="0"/>
          </w:rPr>
          <w:t xml:space="preserve">Supplementary Information</w:t>
        </w:r>
      </w:hyperlink>
      <w:r w:rsidDel="00000000" w:rsidR="00000000" w:rsidRPr="00000000">
        <w:rPr>
          <w:rFonts w:ascii="Times New Roman" w:cs="Times New Roman" w:eastAsia="Times New Roman" w:hAnsi="Times New Roman"/>
          <w:color w:val="2a2a2a"/>
          <w:sz w:val="24"/>
          <w:szCs w:val="24"/>
          <w:rtl w:val="0"/>
        </w:rPr>
        <w:t xml:space="preserve">). We use default parameters of the software.</w:t>
      </w:r>
    </w:p>
    <w:p w:rsidR="00000000" w:rsidDel="00000000" w:rsidP="00000000" w:rsidRDefault="00000000" w:rsidRPr="00000000" w14:paraId="0000001F">
      <w:pPr>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rtl w:val="0"/>
        </w:rPr>
        <w:t xml:space="preserve">Since ACE2 and TMPRSS from humans have been considered to be important targets for viral entry [</w:t>
      </w:r>
      <w:commentRangeStart w:id="2"/>
      <w:r w:rsidDel="00000000" w:rsidR="00000000" w:rsidRPr="00000000">
        <w:rPr>
          <w:rFonts w:ascii="Times New Roman" w:cs="Times New Roman" w:eastAsia="Times New Roman" w:hAnsi="Times New Roman"/>
          <w:color w:val="2a2a2a"/>
          <w:sz w:val="24"/>
          <w:szCs w:val="24"/>
          <w:rtl w:val="0"/>
        </w:rPr>
        <w:t xml:space="preserve">Lan et al., 2020</w:t>
      </w:r>
      <w:commentRangeEnd w:id="2"/>
      <w:r w:rsidDel="00000000" w:rsidR="00000000" w:rsidRPr="00000000">
        <w:commentReference w:id="2"/>
      </w:r>
      <w:r w:rsidDel="00000000" w:rsidR="00000000" w:rsidRPr="00000000">
        <w:rPr>
          <w:rFonts w:ascii="Times New Roman" w:cs="Times New Roman" w:eastAsia="Times New Roman" w:hAnsi="Times New Roman"/>
          <w:color w:val="2a2a2a"/>
          <w:sz w:val="24"/>
          <w:szCs w:val="24"/>
          <w:rtl w:val="0"/>
        </w:rPr>
        <w:t xml:space="preserve">; </w:t>
      </w:r>
      <w:commentRangeStart w:id="3"/>
      <w:commentRangeStart w:id="4"/>
      <w:r w:rsidDel="00000000" w:rsidR="00000000" w:rsidRPr="00000000">
        <w:rPr>
          <w:rFonts w:ascii="Times New Roman" w:cs="Times New Roman" w:eastAsia="Times New Roman" w:hAnsi="Times New Roman"/>
          <w:color w:val="2a2a2a"/>
          <w:sz w:val="24"/>
          <w:szCs w:val="24"/>
          <w:rtl w:val="0"/>
        </w:rPr>
        <w:t xml:space="preserve">Fraser </w:t>
      </w:r>
      <w:commentRangeEnd w:id="4"/>
      <w:r w:rsidDel="00000000" w:rsidR="00000000" w:rsidRPr="00000000">
        <w:commentReference w:id="4"/>
      </w:r>
      <w:r w:rsidDel="00000000" w:rsidR="00000000" w:rsidRPr="00000000">
        <w:rPr>
          <w:rFonts w:ascii="Times New Roman" w:cs="Times New Roman" w:eastAsia="Times New Roman" w:hAnsi="Times New Roman"/>
          <w:color w:val="2a2a2a"/>
          <w:sz w:val="24"/>
          <w:szCs w:val="24"/>
          <w:rtl w:val="0"/>
        </w:rPr>
        <w:t xml:space="preserve">et al., 2021</w:t>
      </w:r>
      <w:commentRangeEnd w:id="3"/>
      <w:r w:rsidDel="00000000" w:rsidR="00000000" w:rsidRPr="00000000">
        <w:commentReference w:id="3"/>
      </w:r>
      <w:r w:rsidDel="00000000" w:rsidR="00000000" w:rsidRPr="00000000">
        <w:rPr>
          <w:rFonts w:ascii="Times New Roman" w:cs="Times New Roman" w:eastAsia="Times New Roman" w:hAnsi="Times New Roman"/>
          <w:color w:val="2a2a2a"/>
          <w:sz w:val="24"/>
          <w:szCs w:val="24"/>
          <w:rtl w:val="0"/>
        </w:rPr>
        <w:t xml:space="preserve">], we included them as separate modules under this tool and called COV-Human. Also, incorporating their interacting protein kinases namely AAK1, GAK and JAK1/2 which also play a role in viral endocytosis. T</w:t>
      </w:r>
      <w:commentRangeStart w:id="5"/>
      <w:r w:rsidDel="00000000" w:rsidR="00000000" w:rsidRPr="00000000">
        <w:rPr>
          <w:rFonts w:ascii="Times New Roman" w:cs="Times New Roman" w:eastAsia="Times New Roman" w:hAnsi="Times New Roman"/>
          <w:color w:val="2a2a2a"/>
          <w:sz w:val="24"/>
          <w:szCs w:val="24"/>
          <w:rtl w:val="0"/>
        </w:rPr>
        <w:t xml:space="preserve">hese interactions are shown in Figure </w:t>
      </w:r>
      <w:commentRangeEnd w:id="5"/>
      <w:r w:rsidDel="00000000" w:rsidR="00000000" w:rsidRPr="00000000">
        <w:commentReference w:id="5"/>
      </w:r>
      <w:r w:rsidDel="00000000" w:rsidR="00000000" w:rsidRPr="00000000">
        <w:rPr>
          <w:rFonts w:ascii="Times New Roman" w:cs="Times New Roman" w:eastAsia="Times New Roman" w:hAnsi="Times New Roman"/>
          <w:color w:val="2a2a2a"/>
          <w:sz w:val="24"/>
          <w:szCs w:val="24"/>
          <w:rtl w:val="0"/>
        </w:rPr>
        <w:t xml:space="preserve">2 and 3 in the</w:t>
      </w:r>
      <w:r w:rsidDel="00000000" w:rsidR="00000000" w:rsidRPr="00000000">
        <w:rPr>
          <w:rFonts w:ascii="Times New Roman" w:cs="Times New Roman" w:eastAsia="Times New Roman" w:hAnsi="Times New Roman"/>
          <w:color w:val="006fb7"/>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Supplementary file</w:t>
        </w:r>
      </w:hyperlink>
      <w:r w:rsidDel="00000000" w:rsidR="00000000" w:rsidRPr="00000000">
        <w:rPr>
          <w:rFonts w:ascii="Times New Roman" w:cs="Times New Roman" w:eastAsia="Times New Roman" w:hAnsi="Times New Roman"/>
          <w:color w:val="006fb7"/>
          <w:sz w:val="24"/>
          <w:szCs w:val="24"/>
          <w:rtl w:val="0"/>
        </w:rPr>
        <w:t xml:space="preserve">.</w:t>
      </w:r>
      <w:r w:rsidDel="00000000" w:rsidR="00000000" w:rsidRPr="00000000">
        <w:rPr>
          <w:rFonts w:ascii="Times New Roman" w:cs="Times New Roman" w:eastAsia="Times New Roman" w:hAnsi="Times New Roman"/>
          <w:color w:val="2a2a2a"/>
          <w:sz w:val="24"/>
          <w:szCs w:val="24"/>
          <w:rtl w:val="0"/>
        </w:rPr>
        <w:t xml:space="preserve">  </w:t>
      </w:r>
      <w:r w:rsidDel="00000000" w:rsidR="00000000" w:rsidRPr="00000000">
        <w:rPr>
          <w:rtl w:val="0"/>
        </w:rPr>
      </w:r>
    </w:p>
    <w:p w:rsidR="00000000" w:rsidDel="00000000" w:rsidP="00000000" w:rsidRDefault="00000000" w:rsidRPr="00000000" w14:paraId="00000020">
      <w:pPr>
        <w:pBdr>
          <w:bottom w:color="cfd5e4" w:space="3" w:sz="6" w:val="single"/>
        </w:pBdr>
        <w:shd w:fill="ffffff" w:val="clear"/>
        <w:spacing w:after="0" w:before="280" w:line="240" w:lineRule="auto"/>
        <w:jc w:val="both"/>
        <w:rPr>
          <w:rFonts w:ascii="Times New Roman" w:cs="Times New Roman" w:eastAsia="Times New Roman" w:hAnsi="Times New Roman"/>
          <w:b w:val="1"/>
          <w:color w:val="2a2a2a"/>
          <w:sz w:val="24"/>
          <w:szCs w:val="24"/>
        </w:rPr>
      </w:pPr>
      <w:r w:rsidDel="00000000" w:rsidR="00000000" w:rsidRPr="00000000">
        <w:rPr>
          <w:rtl w:val="0"/>
        </w:rPr>
      </w:r>
    </w:p>
    <w:p w:rsidR="00000000" w:rsidDel="00000000" w:rsidP="00000000" w:rsidRDefault="00000000" w:rsidRPr="00000000" w14:paraId="00000021">
      <w:pPr>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a2a2a"/>
          <w:sz w:val="24"/>
          <w:szCs w:val="24"/>
          <w:rtl w:val="0"/>
        </w:rPr>
        <w:t xml:space="preserve">3 Usage</w:t>
      </w:r>
      <w:r w:rsidDel="00000000" w:rsidR="00000000" w:rsidRPr="00000000">
        <w:rPr>
          <w:rtl w:val="0"/>
        </w:rPr>
      </w:r>
    </w:p>
    <w:p w:rsidR="00000000" w:rsidDel="00000000" w:rsidP="00000000" w:rsidRDefault="00000000" w:rsidRPr="00000000" w14:paraId="00000022">
      <w:pPr>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a2a2a"/>
          <w:sz w:val="24"/>
          <w:szCs w:val="24"/>
          <w:rtl w:val="0"/>
        </w:rPr>
        <w:t xml:space="preserve">3.1 Usage of small molecule docking</w:t>
      </w:r>
      <w:r w:rsidDel="00000000" w:rsidR="00000000" w:rsidRPr="00000000">
        <w:rPr>
          <w:rtl w:val="0"/>
        </w:rPr>
      </w:r>
    </w:p>
    <w:p w:rsidR="00000000" w:rsidDel="00000000" w:rsidP="00000000" w:rsidRDefault="00000000" w:rsidRPr="00000000" w14:paraId="00000023">
      <w:pPr>
        <w:pBdr>
          <w:bottom w:color="cfd5e4" w:space="3" w:sz="6" w:val="single"/>
        </w:pBdr>
        <w:shd w:fill="ffffff" w:val="clear"/>
        <w:spacing w:after="0" w:before="0" w:line="240" w:lineRule="auto"/>
        <w:jc w:val="both"/>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2a2a2a"/>
          <w:sz w:val="24"/>
          <w:szCs w:val="24"/>
          <w:rtl w:val="0"/>
        </w:rPr>
        <w:t xml:space="preserve">Users are allowed to choose any of the COVID-19 (Viral) or Human targets to conduct small molecule docking. For this purpose, only smiles, mol2 or sdf formats are allowed by the server. For the online server, we have provided a single molecule docking option and a batch docking option. In batch docking, users can upload upto 50 molecules in one submitted job. The top 10 models are visualized in 3D by JSMol in the result page. Here, we take the recently laun</w:t>
      </w:r>
      <w:r w:rsidDel="00000000" w:rsidR="00000000" w:rsidRPr="00000000">
        <w:rPr>
          <w:rFonts w:ascii="Times New Roman" w:cs="Times New Roman" w:eastAsia="Times New Roman" w:hAnsi="Times New Roman"/>
          <w:color w:val="000000"/>
          <w:sz w:val="24"/>
          <w:szCs w:val="24"/>
          <w:rtl w:val="0"/>
        </w:rPr>
        <w:t xml:space="preserve">ched Molnupiravir drug to dock against 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vira</w:t>
      </w:r>
      <w:r w:rsidDel="00000000" w:rsidR="00000000" w:rsidRPr="00000000">
        <w:rPr>
          <w:rFonts w:ascii="Times New Roman" w:cs="Times New Roman" w:eastAsia="Times New Roman" w:hAnsi="Times New Roman"/>
          <w:color w:val="2a2a2a"/>
          <w:sz w:val="24"/>
          <w:szCs w:val="24"/>
          <w:rtl w:val="0"/>
        </w:rPr>
        <w:t xml:space="preserve">l targets. We find the Molnupiravir display best binding against Viral target   Npro (Nucleocapsid Protein). The predicted binding energy of Top 1 ranked binding mode </w:t>
      </w:r>
      <w:r w:rsidDel="00000000" w:rsidR="00000000" w:rsidRPr="00000000">
        <w:rPr>
          <w:rFonts w:ascii="Times New Roman" w:cs="Times New Roman" w:eastAsia="Times New Roman" w:hAnsi="Times New Roman"/>
          <w:color w:val="000000"/>
          <w:sz w:val="24"/>
          <w:szCs w:val="24"/>
          <w:rtl w:val="0"/>
        </w:rPr>
        <w:t xml:space="preserve">was -8 kcal/mol. </w:t>
      </w:r>
      <w:r w:rsidDel="00000000" w:rsidR="00000000" w:rsidRPr="00000000">
        <w:rPr>
          <w:rFonts w:ascii="Times New Roman" w:cs="Times New Roman" w:eastAsia="Times New Roman" w:hAnsi="Times New Roman"/>
          <w:color w:val="2a2a2a"/>
          <w:sz w:val="24"/>
          <w:szCs w:val="24"/>
          <w:rtl w:val="0"/>
        </w:rPr>
        <w:t xml:space="preserve">Biochemical assays show that the RdRp uses the active form of molnupiravir, β-D-N4-hydroxycytidine (NHC) triphosphate, as a substrate instead of cytidine triphosphate or uridine triphosphate. </w:t>
      </w:r>
      <w:r w:rsidDel="00000000" w:rsidR="00000000" w:rsidRPr="00000000">
        <w:rPr>
          <w:rFonts w:ascii="Times New Roman" w:cs="Times New Roman" w:eastAsia="Times New Roman" w:hAnsi="Times New Roman"/>
          <w:color w:val="222222"/>
          <w:sz w:val="24"/>
          <w:szCs w:val="24"/>
          <w:highlight w:val="white"/>
          <w:rtl w:val="0"/>
        </w:rPr>
        <w:t xml:space="preserve">RdRp is an important target for the development of antiviral drugs against coronaviruses [Dolgin et al., 2021; Cannalire et al., 2020; Tian et al., 2021]</w:t>
      </w:r>
      <w:r w:rsidDel="00000000" w:rsidR="00000000" w:rsidRPr="00000000">
        <w:rPr>
          <w:rFonts w:ascii="Times New Roman" w:cs="Times New Roman" w:eastAsia="Times New Roman" w:hAnsi="Times New Roman"/>
          <w:color w:val="2a2a2a"/>
          <w:sz w:val="24"/>
          <w:szCs w:val="24"/>
          <w:rtl w:val="0"/>
        </w:rPr>
        <w:t xml:space="preserve"> Therefore, we used molnupiravir and β-D-N4-hydroxycytidine (NHC) triphosphate to dock against RdRp [Kabinger et al., 2021]. The average binding energy across different targets was -6.326086957 ± 1.214390004 Kcal/mol.</w:t>
      </w:r>
    </w:p>
    <w:p w:rsidR="00000000" w:rsidDel="00000000" w:rsidP="00000000" w:rsidRDefault="00000000" w:rsidRPr="00000000" w14:paraId="00000024">
      <w:pPr>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rtl w:val="0"/>
        </w:rPr>
        <w:t xml:space="preserve">Further, we extracted </w:t>
      </w:r>
      <w:commentRangeStart w:id="6"/>
      <w:r w:rsidDel="00000000" w:rsidR="00000000" w:rsidRPr="00000000">
        <w:rPr>
          <w:rFonts w:ascii="Times New Roman" w:cs="Times New Roman" w:eastAsia="Times New Roman" w:hAnsi="Times New Roman"/>
          <w:color w:val="2a2a2a"/>
          <w:sz w:val="24"/>
          <w:szCs w:val="24"/>
          <w:rtl w:val="0"/>
        </w:rPr>
        <w:t xml:space="preserve">256 </w:t>
      </w:r>
      <w:commentRangeEnd w:id="6"/>
      <w:r w:rsidDel="00000000" w:rsidR="00000000" w:rsidRPr="00000000">
        <w:commentReference w:id="6"/>
      </w:r>
      <w:r w:rsidDel="00000000" w:rsidR="00000000" w:rsidRPr="00000000">
        <w:rPr>
          <w:rFonts w:ascii="Times New Roman" w:cs="Times New Roman" w:eastAsia="Times New Roman" w:hAnsi="Times New Roman"/>
          <w:color w:val="2a2a2a"/>
          <w:sz w:val="24"/>
          <w:szCs w:val="24"/>
          <w:rtl w:val="0"/>
        </w:rPr>
        <w:t xml:space="preserve">COVID-19 drugs which are under various stages of drug repurposing studies </w:t>
      </w:r>
      <w:commentRangeStart w:id="7"/>
      <w:r w:rsidDel="00000000" w:rsidR="00000000" w:rsidRPr="00000000">
        <w:rPr>
          <w:rFonts w:ascii="Times New Roman" w:cs="Times New Roman" w:eastAsia="Times New Roman" w:hAnsi="Times New Roman"/>
          <w:color w:val="2a2a2a"/>
          <w:sz w:val="24"/>
          <w:szCs w:val="24"/>
          <w:rtl w:val="0"/>
        </w:rPr>
        <w:t xml:space="preserve">(</w:t>
      </w:r>
      <w:commentRangeEnd w:id="7"/>
      <w:r w:rsidDel="00000000" w:rsidR="00000000" w:rsidRPr="00000000">
        <w:commentReference w:id="7"/>
      </w:r>
      <w:commentRangeStart w:id="8"/>
      <w:hyperlink r:id="rId20">
        <w:r w:rsidDel="00000000" w:rsidR="00000000" w:rsidRPr="00000000">
          <w:rPr>
            <w:rFonts w:ascii="Times New Roman" w:cs="Times New Roman" w:eastAsia="Times New Roman" w:hAnsi="Times New Roman"/>
            <w:color w:val="1155cc"/>
            <w:sz w:val="24"/>
            <w:szCs w:val="24"/>
            <w:u w:val="single"/>
            <w:rtl w:val="0"/>
          </w:rPr>
          <w:t xml:space="preserve">Supplementary Documents</w:t>
        </w:r>
      </w:hyperlink>
      <w:r w:rsidDel="00000000" w:rsidR="00000000" w:rsidRPr="00000000">
        <w:rPr>
          <w:rFonts w:ascii="Times New Roman" w:cs="Times New Roman" w:eastAsia="Times New Roman" w:hAnsi="Times New Roman"/>
          <w:color w:val="2a2a2a"/>
          <w:sz w:val="24"/>
          <w:szCs w:val="24"/>
          <w:rtl w:val="0"/>
        </w:rPr>
        <w:t xml:space="preserve"> on our website</w:t>
      </w:r>
      <w:commentRangeEnd w:id="8"/>
      <w:r w:rsidDel="00000000" w:rsidR="00000000" w:rsidRPr="00000000">
        <w:commentReference w:id="8"/>
      </w:r>
      <w:commentRangeStart w:id="9"/>
      <w:r w:rsidDel="00000000" w:rsidR="00000000" w:rsidRPr="00000000">
        <w:rPr>
          <w:rFonts w:ascii="Times New Roman" w:cs="Times New Roman" w:eastAsia="Times New Roman" w:hAnsi="Times New Roman"/>
          <w:sz w:val="24"/>
          <w:szCs w:val="24"/>
          <w:rtl w:val="0"/>
        </w:rPr>
        <w:t xml:space="preserve">)</w:t>
      </w:r>
      <w:commentRangeEnd w:id="9"/>
      <w:r w:rsidDel="00000000" w:rsidR="00000000" w:rsidRPr="00000000">
        <w:commentReference w:id="9"/>
      </w:r>
      <w:r w:rsidDel="00000000" w:rsidR="00000000" w:rsidRPr="00000000">
        <w:rPr>
          <w:rFonts w:ascii="Times New Roman" w:cs="Times New Roman" w:eastAsia="Times New Roman" w:hAnsi="Times New Roman"/>
          <w:color w:val="2a2a2a"/>
          <w:sz w:val="24"/>
          <w:szCs w:val="24"/>
          <w:rtl w:val="0"/>
        </w:rPr>
        <w:t xml:space="preserve"> and docked against the viral targets. We found that the distribution of binding energies of these drugs are different from that of control datasets.  The </w:t>
      </w:r>
      <w:commentRangeStart w:id="10"/>
      <w:r w:rsidDel="00000000" w:rsidR="00000000" w:rsidRPr="00000000">
        <w:rPr>
          <w:rFonts w:ascii="Times New Roman" w:cs="Times New Roman" w:eastAsia="Times New Roman" w:hAnsi="Times New Roman"/>
          <w:color w:val="2a2a2a"/>
          <w:sz w:val="24"/>
          <w:szCs w:val="24"/>
          <w:rtl w:val="0"/>
        </w:rPr>
        <w:t xml:space="preserve">control datasets were constructed using strategies like random selection (</w:t>
      </w:r>
      <w:commentRangeEnd w:id="10"/>
      <w:r w:rsidDel="00000000" w:rsidR="00000000" w:rsidRPr="00000000">
        <w:commentReference w:id="10"/>
      </w:r>
      <w:commentRangeStart w:id="11"/>
      <w:hyperlink r:id="rId21">
        <w:r w:rsidDel="00000000" w:rsidR="00000000" w:rsidRPr="00000000">
          <w:rPr>
            <w:rFonts w:ascii="Times New Roman" w:cs="Times New Roman" w:eastAsia="Times New Roman" w:hAnsi="Times New Roman"/>
            <w:color w:val="1155cc"/>
            <w:sz w:val="24"/>
            <w:szCs w:val="24"/>
            <w:u w:val="single"/>
            <w:rtl w:val="0"/>
          </w:rPr>
          <w:t xml:space="preserve">Supplementary Documents</w:t>
        </w:r>
      </w:hyperlink>
      <w:r w:rsidDel="00000000" w:rsidR="00000000" w:rsidRPr="00000000">
        <w:rPr>
          <w:rFonts w:ascii="Times New Roman" w:cs="Times New Roman" w:eastAsia="Times New Roman" w:hAnsi="Times New Roman"/>
          <w:color w:val="2a2a2a"/>
          <w:sz w:val="24"/>
          <w:szCs w:val="24"/>
          <w:rtl w:val="0"/>
        </w:rPr>
        <w:t xml:space="preserve"> on our website</w:t>
      </w:r>
      <w:commentRangeEnd w:id="11"/>
      <w:r w:rsidDel="00000000" w:rsidR="00000000" w:rsidRPr="00000000">
        <w:commentReference w:id="11"/>
      </w:r>
      <w:commentRangeStart w:id="12"/>
      <w:r w:rsidDel="00000000" w:rsidR="00000000" w:rsidRPr="00000000">
        <w:rPr>
          <w:rFonts w:ascii="Times New Roman" w:cs="Times New Roman" w:eastAsia="Times New Roman" w:hAnsi="Times New Roman"/>
          <w:sz w:val="24"/>
          <w:szCs w:val="24"/>
          <w:rtl w:val="0"/>
        </w:rPr>
        <w:t xml:space="preserve">)</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Bdr>
          <w:bottom w:color="cfd5e4" w:space="3" w:sz="6" w:val="singl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pBdr>
          <w:bottom w:color="cfd5e4" w:space="3" w:sz="6" w:val="single"/>
        </w:pBdr>
        <w:shd w:fill="ffffff" w:val="clear"/>
        <w:jc w:val="both"/>
        <w:rPr>
          <w:sz w:val="24"/>
          <w:szCs w:val="24"/>
        </w:rPr>
      </w:pPr>
      <w:r w:rsidDel="00000000" w:rsidR="00000000" w:rsidRPr="00000000">
        <w:rPr>
          <w:color w:val="2a2a2a"/>
          <w:sz w:val="24"/>
          <w:szCs w:val="24"/>
          <w:rtl w:val="0"/>
        </w:rPr>
        <w:t xml:space="preserve">Conclusions</w:t>
      </w:r>
      <w:r w:rsidDel="00000000" w:rsidR="00000000" w:rsidRPr="00000000">
        <w:rPr>
          <w:rtl w:val="0"/>
        </w:rPr>
      </w:r>
    </w:p>
    <w:p w:rsidR="00000000" w:rsidDel="00000000" w:rsidP="00000000" w:rsidRDefault="00000000" w:rsidRPr="00000000" w14:paraId="00000027">
      <w:pPr>
        <w:pStyle w:val="Heading2"/>
        <w:pBdr>
          <w:bottom w:color="cfd5e4" w:space="3" w:sz="6" w:val="single"/>
        </w:pBdr>
        <w:shd w:fill="ffffff" w:val="clear"/>
        <w:jc w:val="both"/>
        <w:rPr/>
      </w:pPr>
      <w:r w:rsidDel="00000000" w:rsidR="00000000" w:rsidRPr="00000000">
        <w:rPr>
          <w:b w:val="0"/>
          <w:i w:val="0"/>
          <w:smallCaps w:val="0"/>
          <w:strike w:val="0"/>
          <w:color w:val="2a2a2a"/>
          <w:sz w:val="24"/>
          <w:szCs w:val="24"/>
          <w:u w:val="none"/>
          <w:shd w:fill="auto" w:val="clear"/>
          <w:vertAlign w:val="baseline"/>
          <w:rtl w:val="0"/>
        </w:rPr>
        <w:t xml:space="preserve">An online meta-server, </w:t>
      </w:r>
      <w:r w:rsidDel="00000000" w:rsidR="00000000" w:rsidRPr="00000000">
        <w:rPr>
          <w:b w:val="0"/>
          <w:i w:val="0"/>
          <w:smallCaps w:val="0"/>
          <w:strike w:val="0"/>
          <w:color w:val="2a2a2a"/>
          <w:sz w:val="24"/>
          <w:szCs w:val="24"/>
          <w:u w:val="none"/>
          <w:shd w:fill="auto" w:val="clear"/>
          <w:vertAlign w:val="baseline"/>
          <w:rtl w:val="0"/>
        </w:rPr>
        <w:t xml:space="preserve">COV-</w:t>
      </w:r>
      <w:commentRangeStart w:id="13"/>
      <w:r w:rsidDel="00000000" w:rsidR="00000000" w:rsidRPr="00000000">
        <w:rPr>
          <w:b w:val="0"/>
          <w:i w:val="0"/>
          <w:smallCaps w:val="0"/>
          <w:strike w:val="0"/>
          <w:color w:val="2a2a2a"/>
          <w:sz w:val="24"/>
          <w:szCs w:val="24"/>
          <w:u w:val="none"/>
          <w:shd w:fill="auto" w:val="clear"/>
          <w:vertAlign w:val="baseline"/>
          <w:rtl w:val="0"/>
        </w:rPr>
        <w:t xml:space="preserve">Dock</w:t>
      </w:r>
      <w:commentRangeEnd w:id="13"/>
      <w:r w:rsidDel="00000000" w:rsidR="00000000" w:rsidRPr="00000000">
        <w:commentReference w:id="13"/>
      </w:r>
      <w:r w:rsidDel="00000000" w:rsidR="00000000" w:rsidRPr="00000000">
        <w:rPr>
          <w:b w:val="0"/>
          <w:i w:val="0"/>
          <w:smallCaps w:val="0"/>
          <w:strike w:val="0"/>
          <w:color w:val="2a2a2a"/>
          <w:sz w:val="24"/>
          <w:szCs w:val="24"/>
          <w:u w:val="none"/>
          <w:shd w:fill="auto" w:val="clear"/>
          <w:vertAlign w:val="baseline"/>
          <w:rtl w:val="0"/>
        </w:rPr>
        <w:t xml:space="preserve"> Server, was constructed to predict the binding modes between the targets of COVID-19 and its potential ligands by </w:t>
      </w:r>
      <w:r w:rsidDel="00000000" w:rsidR="00000000" w:rsidRPr="00000000">
        <w:rPr>
          <w:b w:val="0"/>
          <w:color w:val="2a2a2a"/>
          <w:sz w:val="24"/>
          <w:szCs w:val="24"/>
          <w:rtl w:val="0"/>
        </w:rPr>
        <w:t xml:space="preserve">implementing</w:t>
      </w:r>
      <w:r w:rsidDel="00000000" w:rsidR="00000000" w:rsidRPr="00000000">
        <w:rPr>
          <w:b w:val="0"/>
          <w:i w:val="0"/>
          <w:smallCaps w:val="0"/>
          <w:strike w:val="0"/>
          <w:color w:val="2a2a2a"/>
          <w:sz w:val="24"/>
          <w:szCs w:val="24"/>
          <w:u w:val="none"/>
          <w:shd w:fill="auto" w:val="clear"/>
          <w:vertAlign w:val="baseline"/>
          <w:rtl w:val="0"/>
        </w:rPr>
        <w:t xml:space="preserve"> Autodock Vina </w:t>
      </w:r>
      <w:r w:rsidDel="00000000" w:rsidR="00000000" w:rsidRPr="00000000">
        <w:rPr>
          <w:b w:val="0"/>
          <w:color w:val="2a2a2a"/>
          <w:sz w:val="24"/>
          <w:szCs w:val="24"/>
          <w:rtl w:val="0"/>
        </w:rPr>
        <w:t xml:space="preserve">as a docking</w:t>
      </w:r>
      <w:r w:rsidDel="00000000" w:rsidR="00000000" w:rsidRPr="00000000">
        <w:rPr>
          <w:b w:val="0"/>
          <w:i w:val="0"/>
          <w:smallCaps w:val="0"/>
          <w:strike w:val="0"/>
          <w:color w:val="2a2a2a"/>
          <w:sz w:val="24"/>
          <w:szCs w:val="24"/>
          <w:u w:val="none"/>
          <w:shd w:fill="auto" w:val="clear"/>
          <w:vertAlign w:val="baseline"/>
          <w:rtl w:val="0"/>
        </w:rPr>
        <w:t xml:space="preserve"> engine. The server provides a user-friendly interface and binding mode visualization for the results, which makes it a useful tool for drug discovery of COVID-19.</w:t>
      </w:r>
      <w:r w:rsidDel="00000000" w:rsidR="00000000" w:rsidRPr="00000000">
        <w:rPr>
          <w:rtl w:val="0"/>
        </w:rPr>
      </w:r>
    </w:p>
    <w:p w:rsidR="00000000" w:rsidDel="00000000" w:rsidP="00000000" w:rsidRDefault="00000000" w:rsidRPr="00000000" w14:paraId="00000028">
      <w:pPr>
        <w:pStyle w:val="Heading2"/>
        <w:pBdr>
          <w:bottom w:color="cfd5e4" w:space="3" w:sz="6" w:val="single"/>
        </w:pBdr>
        <w:shd w:fill="ffffff" w:val="clear"/>
        <w:jc w:val="both"/>
        <w:rPr>
          <w:color w:val="2a2a2a"/>
          <w:sz w:val="24"/>
          <w:szCs w:val="24"/>
        </w:rPr>
      </w:pPr>
      <w:r w:rsidDel="00000000" w:rsidR="00000000" w:rsidRPr="00000000">
        <w:rPr>
          <w:rtl w:val="0"/>
        </w:rPr>
      </w:r>
    </w:p>
    <w:p w:rsidR="00000000" w:rsidDel="00000000" w:rsidP="00000000" w:rsidRDefault="00000000" w:rsidRPr="00000000" w14:paraId="00000029">
      <w:pPr>
        <w:pStyle w:val="Heading2"/>
        <w:pBdr>
          <w:bottom w:color="cfd5e4" w:space="3" w:sz="6" w:val="single"/>
        </w:pBdr>
        <w:shd w:fill="ffffff" w:val="clear"/>
        <w:jc w:val="both"/>
        <w:rPr>
          <w:color w:val="2a2a2a"/>
          <w:sz w:val="24"/>
          <w:szCs w:val="24"/>
        </w:rPr>
      </w:pPr>
      <w:r w:rsidDel="00000000" w:rsidR="00000000" w:rsidRPr="00000000">
        <w:rPr>
          <w:color w:val="2a2a2a"/>
          <w:sz w:val="24"/>
          <w:szCs w:val="24"/>
          <w:rtl w:val="0"/>
        </w:rPr>
        <w:t xml:space="preserve">Reference:</w:t>
      </w:r>
    </w:p>
    <w:p w:rsidR="00000000" w:rsidDel="00000000" w:rsidP="00000000" w:rsidRDefault="00000000" w:rsidRPr="00000000" w14:paraId="0000002A">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color w:val="2a2a2a"/>
          <w:sz w:val="24"/>
          <w:szCs w:val="24"/>
          <w:rtl w:val="0"/>
        </w:rPr>
        <w:t xml:space="preserve">U.S. Food and Drug Administration. </w:t>
      </w:r>
      <w:hyperlink r:id="rId22">
        <w:r w:rsidDel="00000000" w:rsidR="00000000" w:rsidRPr="00000000">
          <w:rPr>
            <w:b w:val="0"/>
            <w:color w:val="1155cc"/>
            <w:sz w:val="24"/>
            <w:szCs w:val="24"/>
            <w:u w:val="single"/>
            <w:rtl w:val="0"/>
          </w:rPr>
          <w:t xml:space="preserve">https://www.fda.gov/drugs/emergency-preparedness-drugs/coronavirus-covid-19-drugs</w:t>
        </w:r>
      </w:hyperlink>
      <w:r w:rsidDel="00000000" w:rsidR="00000000" w:rsidRPr="00000000">
        <w:rPr>
          <w:b w:val="0"/>
          <w:color w:val="2a2a2a"/>
          <w:sz w:val="24"/>
          <w:szCs w:val="24"/>
          <w:rtl w:val="0"/>
        </w:rPr>
        <w:t xml:space="preserve">.</w:t>
      </w:r>
    </w:p>
    <w:p w:rsidR="00000000" w:rsidDel="00000000" w:rsidP="00000000" w:rsidRDefault="00000000" w:rsidRPr="00000000" w14:paraId="0000002B">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color w:val="2a2a2a"/>
          <w:sz w:val="24"/>
          <w:szCs w:val="24"/>
          <w:rtl w:val="0"/>
        </w:rPr>
        <w:t xml:space="preserve">Fischer, W., Eron, J. J., Holman, W., Cohen, M. S., Fang, L., Szewczyk, L. J., Sheahan, T. P., Baric, R., Mollan, K. R., Wolfe, C. R., Duke, E. R., Azizad, M. M., Borroto-Esoda, K., Wohl, D. A., Loftis, A. J., Alabanza, P., Lipansky, F., &amp; Painter, W. P. (2021). Molnupiravir, an Oral Antiviral Treatment for COVID-19. </w:t>
      </w:r>
      <w:r w:rsidDel="00000000" w:rsidR="00000000" w:rsidRPr="00000000">
        <w:rPr>
          <w:b w:val="0"/>
          <w:i w:val="1"/>
          <w:color w:val="2a2a2a"/>
          <w:sz w:val="24"/>
          <w:szCs w:val="24"/>
          <w:rtl w:val="0"/>
        </w:rPr>
        <w:t xml:space="preserve">medRxiv : the preprint server for health sciences</w:t>
      </w:r>
      <w:r w:rsidDel="00000000" w:rsidR="00000000" w:rsidRPr="00000000">
        <w:rPr>
          <w:b w:val="0"/>
          <w:color w:val="2a2a2a"/>
          <w:sz w:val="24"/>
          <w:szCs w:val="24"/>
          <w:rtl w:val="0"/>
        </w:rPr>
        <w:t xml:space="preserve">, 2021.06.17.21258639. </w:t>
      </w:r>
      <w:hyperlink r:id="rId23">
        <w:r w:rsidDel="00000000" w:rsidR="00000000" w:rsidRPr="00000000">
          <w:rPr>
            <w:b w:val="0"/>
            <w:color w:val="1155cc"/>
            <w:sz w:val="24"/>
            <w:szCs w:val="24"/>
            <w:u w:val="single"/>
            <w:rtl w:val="0"/>
          </w:rPr>
          <w:t xml:space="preserve">https://doi.org/10.1101/2021.06.17.21258639</w:t>
        </w:r>
      </w:hyperlink>
      <w:r w:rsidDel="00000000" w:rsidR="00000000" w:rsidRPr="00000000">
        <w:rPr>
          <w:rtl w:val="0"/>
        </w:rPr>
      </w:r>
    </w:p>
    <w:p w:rsidR="00000000" w:rsidDel="00000000" w:rsidP="00000000" w:rsidRDefault="00000000" w:rsidRPr="00000000" w14:paraId="0000002C">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Kim, Y., Jedrzejczak, R., Maltseva, N. I., Wilamowski, M., Endres, M., Godzik, A., ... &amp; Joachimiak, A. (2020). Crystal structure of Nsp15 endoribonuclease NendoU from SARS‐CoV‐2. </w:t>
      </w:r>
      <w:r w:rsidDel="00000000" w:rsidR="00000000" w:rsidRPr="00000000">
        <w:rPr>
          <w:b w:val="0"/>
          <w:i w:val="1"/>
          <w:color w:val="2a2a2a"/>
          <w:sz w:val="24"/>
          <w:szCs w:val="24"/>
          <w:rtl w:val="0"/>
        </w:rPr>
        <w:t xml:space="preserve">Protein Science</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29</w:t>
      </w:r>
      <w:r w:rsidDel="00000000" w:rsidR="00000000" w:rsidRPr="00000000">
        <w:rPr>
          <w:b w:val="0"/>
          <w:color w:val="2a2a2a"/>
          <w:sz w:val="24"/>
          <w:szCs w:val="24"/>
          <w:rtl w:val="0"/>
        </w:rPr>
        <w:t xml:space="preserve">(7), 1596-1605.</w:t>
      </w:r>
    </w:p>
    <w:p w:rsidR="00000000" w:rsidDel="00000000" w:rsidP="00000000" w:rsidRDefault="00000000" w:rsidRPr="00000000" w14:paraId="0000002D">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Lin, S., Chen, H., Ye, F., Chen, Z., Yang, F., Zheng, Y., ... &amp; Lu, G. (2020). Crystal structure of SARS-CoV-2 nsp10/nsp16 2′-O-methylase and its implication on antiviral drug design. </w:t>
      </w:r>
      <w:r w:rsidDel="00000000" w:rsidR="00000000" w:rsidRPr="00000000">
        <w:rPr>
          <w:b w:val="0"/>
          <w:i w:val="1"/>
          <w:color w:val="2a2a2a"/>
          <w:sz w:val="24"/>
          <w:szCs w:val="24"/>
          <w:rtl w:val="0"/>
        </w:rPr>
        <w:t xml:space="preserve">Signal transduction and targeted therapy</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5</w:t>
      </w:r>
      <w:r w:rsidDel="00000000" w:rsidR="00000000" w:rsidRPr="00000000">
        <w:rPr>
          <w:b w:val="0"/>
          <w:color w:val="2a2a2a"/>
          <w:sz w:val="24"/>
          <w:szCs w:val="24"/>
          <w:rtl w:val="0"/>
        </w:rPr>
        <w:t xml:space="preserve">(1), 1-4.</w:t>
      </w:r>
    </w:p>
    <w:p w:rsidR="00000000" w:rsidDel="00000000" w:rsidP="00000000" w:rsidRDefault="00000000" w:rsidRPr="00000000" w14:paraId="0000002E">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Gowthaman, R., Guest, J. D., Yin, R., Adolf-Bryfogle, J., Schief, W. R., &amp; Pierce, B. G. (2021). CoV3D: a database of high resolution coronavirus protein structures. </w:t>
      </w:r>
      <w:r w:rsidDel="00000000" w:rsidR="00000000" w:rsidRPr="00000000">
        <w:rPr>
          <w:b w:val="0"/>
          <w:i w:val="1"/>
          <w:color w:val="2a2a2a"/>
          <w:sz w:val="24"/>
          <w:szCs w:val="24"/>
          <w:rtl w:val="0"/>
        </w:rPr>
        <w:t xml:space="preserve">Nucleic acids research</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49</w:t>
      </w:r>
      <w:r w:rsidDel="00000000" w:rsidR="00000000" w:rsidRPr="00000000">
        <w:rPr>
          <w:b w:val="0"/>
          <w:color w:val="2a2a2a"/>
          <w:sz w:val="24"/>
          <w:szCs w:val="24"/>
          <w:rtl w:val="0"/>
        </w:rPr>
        <w:t xml:space="preserve">(D1), D282-D287. </w:t>
      </w:r>
      <w:r w:rsidDel="00000000" w:rsidR="00000000" w:rsidRPr="00000000">
        <w:rPr>
          <w:rtl w:val="0"/>
        </w:rPr>
      </w:r>
    </w:p>
    <w:p w:rsidR="00000000" w:rsidDel="00000000" w:rsidP="00000000" w:rsidRDefault="00000000" w:rsidRPr="00000000" w14:paraId="0000002F">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Yu, R., Chen, L., Lan, R., Shen, R., &amp; Li, P. (2020). Computational screening of antagonists against the SARS-CoV-2 (COVID-19) coronavirus by molecular docking. </w:t>
      </w:r>
      <w:r w:rsidDel="00000000" w:rsidR="00000000" w:rsidRPr="00000000">
        <w:rPr>
          <w:b w:val="0"/>
          <w:i w:val="1"/>
          <w:color w:val="2a2a2a"/>
          <w:sz w:val="24"/>
          <w:szCs w:val="24"/>
          <w:rtl w:val="0"/>
        </w:rPr>
        <w:t xml:space="preserve">International Journal of Antimicrobial Agents</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56</w:t>
      </w:r>
      <w:r w:rsidDel="00000000" w:rsidR="00000000" w:rsidRPr="00000000">
        <w:rPr>
          <w:b w:val="0"/>
          <w:color w:val="2a2a2a"/>
          <w:sz w:val="24"/>
          <w:szCs w:val="24"/>
          <w:rtl w:val="0"/>
        </w:rPr>
        <w:t xml:space="preserve">(2), 106012.</w:t>
      </w:r>
      <w:r w:rsidDel="00000000" w:rsidR="00000000" w:rsidRPr="00000000">
        <w:rPr>
          <w:rtl w:val="0"/>
        </w:rPr>
      </w:r>
    </w:p>
    <w:p w:rsidR="00000000" w:rsidDel="00000000" w:rsidP="00000000" w:rsidRDefault="00000000" w:rsidRPr="00000000" w14:paraId="00000030">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Rawal, K., Khurana, T., Sharma, H., Verma, S., Gupta, S., Kubba, C., ... &amp; Bottazzi, M. E. (2019). An extensive survey of molecular docking tools and their applications using text mining and deep curation strategies. </w:t>
      </w:r>
      <w:r w:rsidDel="00000000" w:rsidR="00000000" w:rsidRPr="00000000">
        <w:rPr>
          <w:b w:val="0"/>
          <w:i w:val="1"/>
          <w:color w:val="2a2a2a"/>
          <w:sz w:val="24"/>
          <w:szCs w:val="24"/>
          <w:rtl w:val="0"/>
        </w:rPr>
        <w:t xml:space="preserve">PeerJ Preprints</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7</w:t>
      </w:r>
      <w:r w:rsidDel="00000000" w:rsidR="00000000" w:rsidRPr="00000000">
        <w:rPr>
          <w:b w:val="0"/>
          <w:color w:val="2a2a2a"/>
          <w:sz w:val="24"/>
          <w:szCs w:val="24"/>
          <w:rtl w:val="0"/>
        </w:rPr>
        <w:t xml:space="preserve">, e27538v1.</w:t>
      </w:r>
      <w:r w:rsidDel="00000000" w:rsidR="00000000" w:rsidRPr="00000000">
        <w:rPr>
          <w:rtl w:val="0"/>
        </w:rPr>
      </w:r>
    </w:p>
    <w:p w:rsidR="00000000" w:rsidDel="00000000" w:rsidP="00000000" w:rsidRDefault="00000000" w:rsidRPr="00000000" w14:paraId="00000031">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rPr>
      </w:pPr>
      <w:r w:rsidDel="00000000" w:rsidR="00000000" w:rsidRPr="00000000">
        <w:rPr>
          <w:b w:val="0"/>
          <w:color w:val="212121"/>
          <w:sz w:val="24"/>
          <w:szCs w:val="24"/>
          <w:highlight w:val="white"/>
          <w:rtl w:val="0"/>
        </w:rPr>
        <w:t xml:space="preserve">Wang M, Cao R, Zhang L, Yang X, Liu J, Xu M, Shi Z, Hu Z, Zhong W, Xiao G. Remdesivir and chloroquine effectively inhibit the recently emerged novel coronavirus (2019-nCoV) in vitro. Cell Res. 2020 Mar;30(3):269-271. doi: 10.1038/s41422-020-0282-0. Epub 2020 Feb 4. PMID: 32020029; PMCID: PMC7054408.</w:t>
      </w:r>
    </w:p>
    <w:p w:rsidR="00000000" w:rsidDel="00000000" w:rsidP="00000000" w:rsidRDefault="00000000" w:rsidRPr="00000000" w14:paraId="00000032">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Gordon, D. E., Jang, G. M., Bouhaddou, M., Xu, J., Obernier, K., White, K. M., ... &amp; Krogan, N. J. (2020). A SARS-CoV-2 protein interaction map reveals targets for drug repurposing. </w:t>
      </w:r>
      <w:r w:rsidDel="00000000" w:rsidR="00000000" w:rsidRPr="00000000">
        <w:rPr>
          <w:b w:val="0"/>
          <w:i w:val="1"/>
          <w:color w:val="2a2a2a"/>
          <w:sz w:val="24"/>
          <w:szCs w:val="24"/>
          <w:rtl w:val="0"/>
        </w:rPr>
        <w:t xml:space="preserve">Nature</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583</w:t>
      </w:r>
      <w:r w:rsidDel="00000000" w:rsidR="00000000" w:rsidRPr="00000000">
        <w:rPr>
          <w:b w:val="0"/>
          <w:color w:val="2a2a2a"/>
          <w:sz w:val="24"/>
          <w:szCs w:val="24"/>
          <w:rtl w:val="0"/>
        </w:rPr>
        <w:t xml:space="preserve">(7816), 459-468.</w:t>
      </w:r>
      <w:r w:rsidDel="00000000" w:rsidR="00000000" w:rsidRPr="00000000">
        <w:rPr>
          <w:rtl w:val="0"/>
        </w:rPr>
      </w:r>
    </w:p>
    <w:p w:rsidR="00000000" w:rsidDel="00000000" w:rsidP="00000000" w:rsidRDefault="00000000" w:rsidRPr="00000000" w14:paraId="00000033">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Jagannadham, J., Jaiswal, H. K., Agrawal, S., &amp; Rawal, K. (2016). Comprehensive map of molecules implicated in obesity. </w:t>
      </w:r>
      <w:r w:rsidDel="00000000" w:rsidR="00000000" w:rsidRPr="00000000">
        <w:rPr>
          <w:b w:val="0"/>
          <w:i w:val="1"/>
          <w:color w:val="2a2a2a"/>
          <w:sz w:val="24"/>
          <w:szCs w:val="24"/>
          <w:rtl w:val="0"/>
        </w:rPr>
        <w:t xml:space="preserve">PLoS One</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11</w:t>
      </w:r>
      <w:r w:rsidDel="00000000" w:rsidR="00000000" w:rsidRPr="00000000">
        <w:rPr>
          <w:b w:val="0"/>
          <w:color w:val="2a2a2a"/>
          <w:sz w:val="24"/>
          <w:szCs w:val="24"/>
          <w:rtl w:val="0"/>
        </w:rPr>
        <w:t xml:space="preserve">(2), e0146759.</w:t>
      </w:r>
      <w:r w:rsidDel="00000000" w:rsidR="00000000" w:rsidRPr="00000000">
        <w:rPr>
          <w:rtl w:val="0"/>
        </w:rPr>
      </w:r>
    </w:p>
    <w:p w:rsidR="00000000" w:rsidDel="00000000" w:rsidP="00000000" w:rsidRDefault="00000000" w:rsidRPr="00000000" w14:paraId="00000034">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Rawal, K., Sinha, R., Abbasi, B. A., Chaudhary, A., Nath, S. K., Kumari, P., ... &amp; Bottazzi, M. E. (2021). Identification of vaccine targets in pathogens and design of a vaccine using computational approaches. </w:t>
      </w:r>
      <w:r w:rsidDel="00000000" w:rsidR="00000000" w:rsidRPr="00000000">
        <w:rPr>
          <w:b w:val="0"/>
          <w:i w:val="1"/>
          <w:color w:val="2a2a2a"/>
          <w:sz w:val="24"/>
          <w:szCs w:val="24"/>
          <w:rtl w:val="0"/>
        </w:rPr>
        <w:t xml:space="preserve">Scientific reports</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11</w:t>
      </w:r>
      <w:r w:rsidDel="00000000" w:rsidR="00000000" w:rsidRPr="00000000">
        <w:rPr>
          <w:b w:val="0"/>
          <w:color w:val="2a2a2a"/>
          <w:sz w:val="24"/>
          <w:szCs w:val="24"/>
          <w:rtl w:val="0"/>
        </w:rPr>
        <w:t xml:space="preserve">(1), 1-25.</w:t>
      </w:r>
      <w:r w:rsidDel="00000000" w:rsidR="00000000" w:rsidRPr="00000000">
        <w:rPr>
          <w:rtl w:val="0"/>
        </w:rPr>
      </w:r>
    </w:p>
    <w:p w:rsidR="00000000" w:rsidDel="00000000" w:rsidP="00000000" w:rsidRDefault="00000000" w:rsidRPr="00000000" w14:paraId="00000035">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Ren Kong, Guangbo Yang, Rui Xue, Ming Liu, Feng Wang, Jianping Hu, Xiaoqiang Guo, Shan Chang, COVID-19 Docking Server: a meta server for docking small molecules, peptides and antibodies against potential targets of COVID-19, </w:t>
      </w:r>
      <w:r w:rsidDel="00000000" w:rsidR="00000000" w:rsidRPr="00000000">
        <w:rPr>
          <w:b w:val="0"/>
          <w:i w:val="1"/>
          <w:color w:val="2a2a2a"/>
          <w:sz w:val="24"/>
          <w:szCs w:val="24"/>
          <w:rtl w:val="0"/>
        </w:rPr>
        <w:t xml:space="preserve">Bioinformatics</w:t>
      </w:r>
      <w:r w:rsidDel="00000000" w:rsidR="00000000" w:rsidRPr="00000000">
        <w:rPr>
          <w:b w:val="0"/>
          <w:color w:val="2a2a2a"/>
          <w:sz w:val="24"/>
          <w:szCs w:val="24"/>
          <w:rtl w:val="0"/>
        </w:rPr>
        <w:t xml:space="preserve">, Volume 36, Issue 20, 15 October 2020, Pages 5109–5111, </w:t>
      </w:r>
      <w:hyperlink r:id="rId24">
        <w:r w:rsidDel="00000000" w:rsidR="00000000" w:rsidRPr="00000000">
          <w:rPr>
            <w:b w:val="0"/>
            <w:color w:val="2a2a2a"/>
            <w:sz w:val="24"/>
            <w:szCs w:val="24"/>
            <w:u w:val="single"/>
            <w:rtl w:val="0"/>
          </w:rPr>
          <w:t xml:space="preserve">https://doi.org/10.1093/bioinformatics/btaa645</w:t>
        </w:r>
      </w:hyperlink>
      <w:r w:rsidDel="00000000" w:rsidR="00000000" w:rsidRPr="00000000">
        <w:rPr>
          <w:rtl w:val="0"/>
        </w:rPr>
      </w:r>
    </w:p>
    <w:p w:rsidR="00000000" w:rsidDel="00000000" w:rsidP="00000000" w:rsidRDefault="00000000" w:rsidRPr="00000000" w14:paraId="00000036">
      <w:pPr>
        <w:pStyle w:val="Heading2"/>
        <w:numPr>
          <w:ilvl w:val="0"/>
          <w:numId w:val="1"/>
        </w:numPr>
        <w:pBdr>
          <w:bottom w:color="cfd5e4" w:space="3" w:sz="6" w:val="single"/>
        </w:pBdr>
        <w:shd w:fill="ffffff" w:val="clear"/>
        <w:spacing w:after="0" w:afterAutospacing="0"/>
        <w:ind w:left="360" w:hanging="360"/>
        <w:jc w:val="both"/>
        <w:rPr>
          <w:b w:val="0"/>
          <w:color w:val="2a2a2a"/>
          <w:sz w:val="24"/>
          <w:szCs w:val="24"/>
          <w:u w:val="none"/>
        </w:rPr>
      </w:pPr>
      <w:r w:rsidDel="00000000" w:rsidR="00000000" w:rsidRPr="00000000">
        <w:rPr>
          <w:b w:val="0"/>
          <w:color w:val="2a2a2a"/>
          <w:sz w:val="24"/>
          <w:szCs w:val="24"/>
          <w:rtl w:val="0"/>
        </w:rPr>
        <w:t xml:space="preserve">Peele, K. A., Durthi, C. P., Srihansa, T., Krupanidhi, S., Ayyagari, V. S., Babu, D. J., ... &amp; Venkateswarulu, T. C. (2020). Molecular docking and dynamic simulations for antiviral compounds against SARS-CoV-2: A computational study. </w:t>
      </w:r>
      <w:r w:rsidDel="00000000" w:rsidR="00000000" w:rsidRPr="00000000">
        <w:rPr>
          <w:b w:val="0"/>
          <w:i w:val="1"/>
          <w:color w:val="2a2a2a"/>
          <w:sz w:val="24"/>
          <w:szCs w:val="24"/>
          <w:rtl w:val="0"/>
        </w:rPr>
        <w:t xml:space="preserve">Informatics in medicine unlocked</w:t>
      </w:r>
      <w:r w:rsidDel="00000000" w:rsidR="00000000" w:rsidRPr="00000000">
        <w:rPr>
          <w:b w:val="0"/>
          <w:color w:val="2a2a2a"/>
          <w:sz w:val="24"/>
          <w:szCs w:val="24"/>
          <w:rtl w:val="0"/>
        </w:rPr>
        <w:t xml:space="preserve">, </w:t>
      </w:r>
      <w:r w:rsidDel="00000000" w:rsidR="00000000" w:rsidRPr="00000000">
        <w:rPr>
          <w:b w:val="0"/>
          <w:i w:val="1"/>
          <w:color w:val="2a2a2a"/>
          <w:sz w:val="24"/>
          <w:szCs w:val="24"/>
          <w:rtl w:val="0"/>
        </w:rPr>
        <w:t xml:space="preserve">19</w:t>
      </w:r>
      <w:r w:rsidDel="00000000" w:rsidR="00000000" w:rsidRPr="00000000">
        <w:rPr>
          <w:b w:val="0"/>
          <w:color w:val="2a2a2a"/>
          <w:sz w:val="24"/>
          <w:szCs w:val="24"/>
          <w:rtl w:val="0"/>
        </w:rPr>
        <w:t xml:space="preserve">, 100345. </w:t>
      </w:r>
      <w:hyperlink r:id="rId25">
        <w:r w:rsidDel="00000000" w:rsidR="00000000" w:rsidRPr="00000000">
          <w:rPr>
            <w:b w:val="0"/>
            <w:color w:val="2a2a2a"/>
            <w:sz w:val="24"/>
            <w:szCs w:val="24"/>
            <w:u w:val="single"/>
            <w:rtl w:val="0"/>
          </w:rPr>
          <w:t xml:space="preserve">https://doi.org/10.1016/j.imu.2020.100345</w:t>
        </w:r>
      </w:hyperlink>
      <w:r w:rsidDel="00000000" w:rsidR="00000000" w:rsidRPr="00000000">
        <w:rPr>
          <w:rtl w:val="0"/>
        </w:rPr>
      </w:r>
    </w:p>
    <w:p w:rsidR="00000000" w:rsidDel="00000000" w:rsidP="00000000" w:rsidRDefault="00000000" w:rsidRPr="00000000" w14:paraId="00000037">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Trott, O. and Olson, A.J. (2010) AutoDock Vina: improving the speed and accuracy of docking with a new scoring function, efficient optimization, and multithreading, </w:t>
      </w:r>
      <w:r w:rsidDel="00000000" w:rsidR="00000000" w:rsidRPr="00000000">
        <w:rPr>
          <w:b w:val="0"/>
          <w:i w:val="1"/>
          <w:smallCaps w:val="0"/>
          <w:strike w:val="0"/>
          <w:color w:val="000000"/>
          <w:sz w:val="24"/>
          <w:szCs w:val="24"/>
          <w:u w:val="none"/>
          <w:rtl w:val="0"/>
        </w:rPr>
        <w:t xml:space="preserve">J Comput Chem</w:t>
      </w:r>
      <w:r w:rsidDel="00000000" w:rsidR="00000000" w:rsidRPr="00000000">
        <w:rPr>
          <w:b w:val="0"/>
          <w:i w:val="0"/>
          <w:smallCaps w:val="0"/>
          <w:strike w:val="0"/>
          <w:color w:val="000000"/>
          <w:sz w:val="24"/>
          <w:szCs w:val="24"/>
          <w:u w:val="none"/>
          <w:rtl w:val="0"/>
        </w:rPr>
        <w:t xml:space="preserve">, 31, 455-461. </w:t>
      </w:r>
      <w:r w:rsidDel="00000000" w:rsidR="00000000" w:rsidRPr="00000000">
        <w:rPr>
          <w:rtl w:val="0"/>
        </w:rPr>
      </w:r>
    </w:p>
    <w:p w:rsidR="00000000" w:rsidDel="00000000" w:rsidP="00000000" w:rsidRDefault="00000000" w:rsidRPr="00000000" w14:paraId="00000038">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O'Boyle, N. M., Banck, M., James, C. A., Morley, C., Vandermeersch, T., &amp; Hutchison, G. R. (2011). Open Babel: An open chemical toolbox. </w:t>
      </w:r>
      <w:r w:rsidDel="00000000" w:rsidR="00000000" w:rsidRPr="00000000">
        <w:rPr>
          <w:b w:val="0"/>
          <w:i w:val="1"/>
          <w:smallCaps w:val="0"/>
          <w:strike w:val="0"/>
          <w:color w:val="000000"/>
          <w:sz w:val="24"/>
          <w:szCs w:val="24"/>
          <w:u w:val="none"/>
          <w:rtl w:val="0"/>
        </w:rPr>
        <w:t xml:space="preserve">Journal of cheminformatics</w:t>
      </w:r>
      <w:r w:rsidDel="00000000" w:rsidR="00000000" w:rsidRPr="00000000">
        <w:rPr>
          <w:b w:val="0"/>
          <w:i w:val="0"/>
          <w:smallCaps w:val="0"/>
          <w:strike w:val="0"/>
          <w:color w:val="000000"/>
          <w:sz w:val="24"/>
          <w:szCs w:val="24"/>
          <w:u w:val="none"/>
          <w:rtl w:val="0"/>
        </w:rPr>
        <w:t xml:space="preserve">, </w:t>
      </w:r>
      <w:r w:rsidDel="00000000" w:rsidR="00000000" w:rsidRPr="00000000">
        <w:rPr>
          <w:b w:val="0"/>
          <w:i w:val="1"/>
          <w:smallCaps w:val="0"/>
          <w:strike w:val="0"/>
          <w:color w:val="000000"/>
          <w:sz w:val="24"/>
          <w:szCs w:val="24"/>
          <w:u w:val="none"/>
          <w:rtl w:val="0"/>
        </w:rPr>
        <w:t xml:space="preserve">3</w:t>
      </w:r>
      <w:r w:rsidDel="00000000" w:rsidR="00000000" w:rsidRPr="00000000">
        <w:rPr>
          <w:b w:val="0"/>
          <w:i w:val="0"/>
          <w:smallCaps w:val="0"/>
          <w:strike w:val="0"/>
          <w:color w:val="000000"/>
          <w:sz w:val="24"/>
          <w:szCs w:val="24"/>
          <w:u w:val="none"/>
          <w:rtl w:val="0"/>
        </w:rPr>
        <w:t xml:space="preserve">, 33. </w:t>
      </w:r>
      <w:hyperlink r:id="rId26">
        <w:r w:rsidDel="00000000" w:rsidR="00000000" w:rsidRPr="00000000">
          <w:rPr>
            <w:b w:val="0"/>
            <w:i w:val="0"/>
            <w:smallCaps w:val="0"/>
            <w:strike w:val="0"/>
            <w:color w:val="000000"/>
            <w:sz w:val="24"/>
            <w:szCs w:val="24"/>
            <w:u w:val="none"/>
            <w:rtl w:val="0"/>
          </w:rPr>
          <w:t xml:space="preserve">https://doi.org/10.1186/1758-2946-3-33</w:t>
        </w:r>
      </w:hyperlink>
      <w:r w:rsidDel="00000000" w:rsidR="00000000" w:rsidRPr="00000000">
        <w:rPr>
          <w:rtl w:val="0"/>
        </w:rPr>
      </w:r>
    </w:p>
    <w:p w:rsidR="00000000" w:rsidDel="00000000" w:rsidP="00000000" w:rsidRDefault="00000000" w:rsidRPr="00000000" w14:paraId="00000039">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J. Lan, J. Ge, J. Yu, S. Shan, H. Zhou, S. Fan, Q. Zhang, X. Shi, Q. Wang, L. Zhang, X. Wang. Structure of the SARS-CoV-2 spike receptor-binding domain bound to the ACE2 receptor. Nature. 2020,581(7807):215-</w:t>
      </w:r>
      <w:r w:rsidDel="00000000" w:rsidR="00000000" w:rsidRPr="00000000">
        <w:rPr>
          <w:b w:val="0"/>
          <w:i w:val="0"/>
          <w:smallCaps w:val="0"/>
          <w:strike w:val="0"/>
          <w:color w:val="222222"/>
          <w:sz w:val="24"/>
          <w:szCs w:val="24"/>
          <w:highlight w:val="white"/>
          <w:u w:val="none"/>
          <w:rtl w:val="0"/>
        </w:rPr>
        <w:t xml:space="preserve">22</w:t>
      </w:r>
      <w:r w:rsidDel="00000000" w:rsidR="00000000" w:rsidRPr="00000000">
        <w:rPr>
          <w:b w:val="0"/>
          <w:i w:val="0"/>
          <w:smallCaps w:val="0"/>
          <w:strike w:val="0"/>
          <w:color w:val="000000"/>
          <w:sz w:val="24"/>
          <w:szCs w:val="24"/>
          <w:u w:val="none"/>
          <w:rtl w:val="0"/>
        </w:rPr>
        <w:t xml:space="preserve">0</w:t>
      </w:r>
      <w:r w:rsidDel="00000000" w:rsidR="00000000" w:rsidRPr="00000000">
        <w:rPr>
          <w:rtl w:val="0"/>
        </w:rPr>
      </w:r>
    </w:p>
    <w:p w:rsidR="00000000" w:rsidDel="00000000" w:rsidP="00000000" w:rsidRDefault="00000000" w:rsidRPr="00000000" w14:paraId="0000003A">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Bryan J. Fraser, Serap Beldar, Almagul Seitova, Ashley Hutchinson, Dhiraj Mannar, Yanjun Li, Daniel Kwon, Ruiyan Tan, Ryan P. Wilson, Karoline Leopold, Sriram Subramaniam, Levon Halabelian, Cheryl H. Arrowsmith, François Bénard, Structure, activity and inhibition of human TMPRSS2, a protease implicated in SARS-CoV-2 activation. 2021.</w:t>
      </w:r>
      <w:r w:rsidDel="00000000" w:rsidR="00000000" w:rsidRPr="00000000">
        <w:rPr>
          <w:rtl w:val="0"/>
        </w:rPr>
      </w:r>
    </w:p>
    <w:p w:rsidR="00000000" w:rsidDel="00000000" w:rsidP="00000000" w:rsidRDefault="00000000" w:rsidRPr="00000000" w14:paraId="0000003B">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Dolgin, E. (2021). The race for antiviral drugs to beat COVID-and the next pandemic. </w:t>
      </w:r>
      <w:r w:rsidDel="00000000" w:rsidR="00000000" w:rsidRPr="00000000">
        <w:rPr>
          <w:b w:val="0"/>
          <w:i w:val="1"/>
          <w:smallCaps w:val="0"/>
          <w:strike w:val="0"/>
          <w:color w:val="000000"/>
          <w:sz w:val="24"/>
          <w:szCs w:val="24"/>
          <w:u w:val="none"/>
          <w:rtl w:val="0"/>
        </w:rPr>
        <w:t xml:space="preserve">Nature</w:t>
      </w:r>
      <w:r w:rsidDel="00000000" w:rsidR="00000000" w:rsidRPr="00000000">
        <w:rPr>
          <w:b w:val="0"/>
          <w:i w:val="0"/>
          <w:smallCaps w:val="0"/>
          <w:strike w:val="0"/>
          <w:color w:val="000000"/>
          <w:sz w:val="24"/>
          <w:szCs w:val="24"/>
          <w:u w:val="none"/>
          <w:rtl w:val="0"/>
        </w:rPr>
        <w:t xml:space="preserve">, </w:t>
      </w:r>
      <w:r w:rsidDel="00000000" w:rsidR="00000000" w:rsidRPr="00000000">
        <w:rPr>
          <w:b w:val="0"/>
          <w:i w:val="1"/>
          <w:smallCaps w:val="0"/>
          <w:strike w:val="0"/>
          <w:color w:val="000000"/>
          <w:sz w:val="24"/>
          <w:szCs w:val="24"/>
          <w:u w:val="none"/>
          <w:rtl w:val="0"/>
        </w:rPr>
        <w:t xml:space="preserve">592</w:t>
      </w:r>
      <w:r w:rsidDel="00000000" w:rsidR="00000000" w:rsidRPr="00000000">
        <w:rPr>
          <w:b w:val="0"/>
          <w:i w:val="0"/>
          <w:smallCaps w:val="0"/>
          <w:strike w:val="0"/>
          <w:color w:val="000000"/>
          <w:sz w:val="24"/>
          <w:szCs w:val="24"/>
          <w:u w:val="none"/>
          <w:rtl w:val="0"/>
        </w:rPr>
        <w:t xml:space="preserve">(7854), 340-343.</w:t>
      </w:r>
      <w:r w:rsidDel="00000000" w:rsidR="00000000" w:rsidRPr="00000000">
        <w:rPr>
          <w:rtl w:val="0"/>
        </w:rPr>
      </w:r>
    </w:p>
    <w:p w:rsidR="00000000" w:rsidDel="00000000" w:rsidP="00000000" w:rsidRDefault="00000000" w:rsidRPr="00000000" w14:paraId="0000003C">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Cannalire, R., Cerchia, C., Beccari,A. R., Di Leva, F. S. &amp; Summa, V. Targeting SARS-CoV-2 proteases and polymerase for COVID-19 treatment: state of the art and future opportunities. </w:t>
      </w:r>
      <w:r w:rsidDel="00000000" w:rsidR="00000000" w:rsidRPr="00000000">
        <w:rPr>
          <w:b w:val="0"/>
          <w:i w:val="1"/>
          <w:smallCaps w:val="0"/>
          <w:strike w:val="0"/>
          <w:color w:val="000000"/>
          <w:sz w:val="24"/>
          <w:szCs w:val="24"/>
          <w:u w:val="none"/>
          <w:rtl w:val="0"/>
        </w:rPr>
        <w:t xml:space="preserve">J. Med. Chem.</w:t>
      </w:r>
      <w:r w:rsidDel="00000000" w:rsidR="00000000" w:rsidRPr="00000000">
        <w:rPr>
          <w:b w:val="0"/>
          <w:i w:val="0"/>
          <w:smallCaps w:val="0"/>
          <w:strike w:val="0"/>
          <w:color w:val="000000"/>
          <w:sz w:val="24"/>
          <w:szCs w:val="24"/>
          <w:u w:val="none"/>
          <w:rtl w:val="0"/>
        </w:rPr>
        <w:t xml:space="preserve"> </w:t>
      </w:r>
      <w:hyperlink r:id="rId27">
        <w:r w:rsidDel="00000000" w:rsidR="00000000" w:rsidRPr="00000000">
          <w:rPr>
            <w:b w:val="0"/>
            <w:i w:val="0"/>
            <w:smallCaps w:val="0"/>
            <w:strike w:val="0"/>
            <w:color w:val="000000"/>
            <w:sz w:val="24"/>
            <w:szCs w:val="24"/>
            <w:u w:val="none"/>
            <w:rtl w:val="0"/>
          </w:rPr>
          <w:t xml:space="preserve">https://doi.org/10.1021/acs.jmedchem.0c01140</w:t>
        </w:r>
      </w:hyperlink>
      <w:r w:rsidDel="00000000" w:rsidR="00000000" w:rsidRPr="00000000">
        <w:rPr>
          <w:b w:val="0"/>
          <w:i w:val="0"/>
          <w:smallCaps w:val="0"/>
          <w:strike w:val="0"/>
          <w:color w:val="000000"/>
          <w:sz w:val="24"/>
          <w:szCs w:val="24"/>
          <w:u w:val="none"/>
          <w:rtl w:val="0"/>
        </w:rPr>
        <w:t xml:space="preserve"> (2020).</w:t>
      </w:r>
      <w:r w:rsidDel="00000000" w:rsidR="00000000" w:rsidRPr="00000000">
        <w:rPr>
          <w:rtl w:val="0"/>
        </w:rPr>
      </w:r>
    </w:p>
    <w:p w:rsidR="00000000" w:rsidDel="00000000" w:rsidP="00000000" w:rsidRDefault="00000000" w:rsidRPr="00000000" w14:paraId="0000003D">
      <w:pPr>
        <w:pStyle w:val="Heading2"/>
        <w:numPr>
          <w:ilvl w:val="0"/>
          <w:numId w:val="1"/>
        </w:numPr>
        <w:pBdr>
          <w:bottom w:color="cfd5e4" w:space="3" w:sz="6" w:val="single"/>
        </w:pBdr>
        <w:shd w:fill="ffffff" w:val="clear"/>
        <w:spacing w:after="0" w:afterAutospacing="0"/>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Tian, L. et al. RNA-dependent RNA polymerase (RdRp) inhibitors: the current landscape and repurposing for the COVID-19 pandemic. </w:t>
      </w:r>
      <w:r w:rsidDel="00000000" w:rsidR="00000000" w:rsidRPr="00000000">
        <w:rPr>
          <w:b w:val="0"/>
          <w:i w:val="1"/>
          <w:smallCaps w:val="0"/>
          <w:strike w:val="0"/>
          <w:color w:val="000000"/>
          <w:sz w:val="24"/>
          <w:szCs w:val="24"/>
          <w:u w:val="none"/>
          <w:rtl w:val="0"/>
        </w:rPr>
        <w:t xml:space="preserve">Eur. J. Med. Chem.</w:t>
      </w:r>
      <w:r w:rsidDel="00000000" w:rsidR="00000000" w:rsidRPr="00000000">
        <w:rPr>
          <w:b w:val="0"/>
          <w:i w:val="0"/>
          <w:smallCaps w:val="0"/>
          <w:strike w:val="0"/>
          <w:color w:val="000000"/>
          <w:sz w:val="24"/>
          <w:szCs w:val="24"/>
          <w:u w:val="none"/>
          <w:rtl w:val="0"/>
        </w:rPr>
        <w:t xml:space="preserve"> 213, 113201 (2021).</w:t>
      </w:r>
      <w:r w:rsidDel="00000000" w:rsidR="00000000" w:rsidRPr="00000000">
        <w:rPr>
          <w:rtl w:val="0"/>
        </w:rPr>
      </w:r>
    </w:p>
    <w:p w:rsidR="00000000" w:rsidDel="00000000" w:rsidP="00000000" w:rsidRDefault="00000000" w:rsidRPr="00000000" w14:paraId="0000003E">
      <w:pPr>
        <w:pStyle w:val="Heading2"/>
        <w:numPr>
          <w:ilvl w:val="0"/>
          <w:numId w:val="1"/>
        </w:numPr>
        <w:pBdr>
          <w:bottom w:color="cfd5e4" w:space="3" w:sz="6" w:val="single"/>
        </w:pBdr>
        <w:shd w:fill="ffffff" w:val="clear"/>
        <w:ind w:left="360" w:hanging="360"/>
        <w:jc w:val="both"/>
        <w:rPr>
          <w:b w:val="0"/>
          <w:sz w:val="24"/>
          <w:szCs w:val="24"/>
          <w:u w:val="none"/>
        </w:rPr>
      </w:pPr>
      <w:r w:rsidDel="00000000" w:rsidR="00000000" w:rsidRPr="00000000">
        <w:rPr>
          <w:b w:val="0"/>
          <w:i w:val="0"/>
          <w:smallCaps w:val="0"/>
          <w:strike w:val="0"/>
          <w:color w:val="000000"/>
          <w:sz w:val="24"/>
          <w:szCs w:val="24"/>
          <w:u w:val="none"/>
          <w:rtl w:val="0"/>
        </w:rPr>
        <w:t xml:space="preserve">Kabinger, F., Stiller, C., Schmitzová, J. </w:t>
      </w:r>
      <w:r w:rsidDel="00000000" w:rsidR="00000000" w:rsidRPr="00000000">
        <w:rPr>
          <w:b w:val="0"/>
          <w:i w:val="1"/>
          <w:smallCaps w:val="0"/>
          <w:strike w:val="0"/>
          <w:color w:val="000000"/>
          <w:sz w:val="24"/>
          <w:szCs w:val="24"/>
          <w:u w:val="none"/>
          <w:rtl w:val="0"/>
        </w:rPr>
        <w:t xml:space="preserve">et al.</w:t>
      </w:r>
      <w:r w:rsidDel="00000000" w:rsidR="00000000" w:rsidRPr="00000000">
        <w:rPr>
          <w:b w:val="0"/>
          <w:i w:val="0"/>
          <w:smallCaps w:val="0"/>
          <w:strike w:val="0"/>
          <w:color w:val="000000"/>
          <w:sz w:val="24"/>
          <w:szCs w:val="24"/>
          <w:u w:val="none"/>
          <w:rtl w:val="0"/>
        </w:rPr>
        <w:t xml:space="preserve"> Mechanism of molnupiravir-induced SARS-CoV-2 mutagenesis. </w:t>
      </w:r>
      <w:r w:rsidDel="00000000" w:rsidR="00000000" w:rsidRPr="00000000">
        <w:rPr>
          <w:b w:val="0"/>
          <w:i w:val="1"/>
          <w:smallCaps w:val="0"/>
          <w:strike w:val="0"/>
          <w:color w:val="000000"/>
          <w:sz w:val="24"/>
          <w:szCs w:val="24"/>
          <w:u w:val="none"/>
          <w:rtl w:val="0"/>
        </w:rPr>
        <w:t xml:space="preserve">Nat Struct Mol Biol</w:t>
      </w:r>
      <w:r w:rsidDel="00000000" w:rsidR="00000000" w:rsidRPr="00000000">
        <w:rPr>
          <w:b w:val="0"/>
          <w:i w:val="0"/>
          <w:smallCaps w:val="0"/>
          <w:strike w:val="0"/>
          <w:color w:val="000000"/>
          <w:sz w:val="24"/>
          <w:szCs w:val="24"/>
          <w:u w:val="none"/>
          <w:rtl w:val="0"/>
        </w:rPr>
        <w:t xml:space="preserve"> 28, 740–746 (2021). </w:t>
      </w:r>
      <w:hyperlink r:id="rId28">
        <w:r w:rsidDel="00000000" w:rsidR="00000000" w:rsidRPr="00000000">
          <w:rPr>
            <w:b w:val="0"/>
            <w:i w:val="0"/>
            <w:smallCaps w:val="0"/>
            <w:strike w:val="0"/>
            <w:color w:val="1155cc"/>
            <w:sz w:val="24"/>
            <w:szCs w:val="24"/>
            <w:u w:val="single"/>
            <w:rtl w:val="0"/>
          </w:rPr>
          <w:t xml:space="preserve">https://doi.org/10.1038/s41594-021-00651-0</w:t>
        </w:r>
      </w:hyperlink>
      <w:r w:rsidDel="00000000" w:rsidR="00000000" w:rsidRPr="00000000">
        <w:rPr>
          <w:rtl w:val="0"/>
        </w:rPr>
      </w:r>
    </w:p>
    <w:p w:rsidR="00000000" w:rsidDel="00000000" w:rsidP="00000000" w:rsidRDefault="00000000" w:rsidRPr="00000000" w14:paraId="0000003F">
      <w:pPr>
        <w:pStyle w:val="Heading2"/>
        <w:pBdr>
          <w:bottom w:color="cfd5e4" w:space="3" w:sz="6" w:val="single"/>
        </w:pBdr>
        <w:shd w:fill="ffffff" w:val="clear"/>
        <w:jc w:val="both"/>
        <w:rPr>
          <w:sz w:val="24"/>
          <w:szCs w:val="24"/>
        </w:rPr>
      </w:pPr>
      <w:r w:rsidDel="00000000" w:rsidR="00000000" w:rsidRPr="00000000">
        <w:rPr>
          <w:rtl w:val="0"/>
        </w:rPr>
      </w:r>
    </w:p>
    <w:p w:rsidR="00000000" w:rsidDel="00000000" w:rsidP="00000000" w:rsidRDefault="00000000" w:rsidRPr="00000000" w14:paraId="00000040">
      <w:pPr>
        <w:pStyle w:val="Heading2"/>
        <w:pBdr>
          <w:bottom w:color="cfd5e4" w:space="3" w:sz="6" w:val="single"/>
        </w:pBdr>
        <w:shd w:fill="ffffff" w:val="clear"/>
        <w:jc w:val="both"/>
        <w:rPr>
          <w:b w:val="0"/>
          <w:sz w:val="24"/>
          <w:szCs w:val="24"/>
        </w:rPr>
      </w:pPr>
      <w:r w:rsidDel="00000000" w:rsidR="00000000" w:rsidRPr="00000000">
        <w:rPr>
          <w:sz w:val="24"/>
          <w:szCs w:val="24"/>
          <w:rtl w:val="0"/>
        </w:rPr>
        <w:t xml:space="preserve">Acknowledgements</w:t>
      </w:r>
      <w:r w:rsidDel="00000000" w:rsidR="00000000" w:rsidRPr="00000000">
        <w:rPr>
          <w:rtl w:val="0"/>
        </w:rPr>
      </w:r>
    </w:p>
    <w:p w:rsidR="00000000" w:rsidDel="00000000" w:rsidP="00000000" w:rsidRDefault="00000000" w:rsidRPr="00000000" w14:paraId="00000041">
      <w:pPr>
        <w:pStyle w:val="Heading2"/>
        <w:pBdr>
          <w:bottom w:color="cfd5e4" w:space="3" w:sz="6" w:val="single"/>
        </w:pBdr>
        <w:shd w:fill="ffffff" w:val="clear"/>
        <w:jc w:val="both"/>
        <w:rPr>
          <w:b w:val="0"/>
          <w:sz w:val="24"/>
          <w:szCs w:val="24"/>
        </w:rPr>
      </w:pPr>
      <w:r w:rsidDel="00000000" w:rsidR="00000000" w:rsidRPr="00000000">
        <w:rPr>
          <w:b w:val="0"/>
          <w:sz w:val="24"/>
          <w:szCs w:val="24"/>
          <w:rtl w:val="0"/>
        </w:rPr>
        <w:t xml:space="preserve">We extend our sincere gratitude to Amity University for providing administrative and technical support required in the conduct of this study.</w:t>
      </w:r>
    </w:p>
    <w:p w:rsidR="00000000" w:rsidDel="00000000" w:rsidP="00000000" w:rsidRDefault="00000000" w:rsidRPr="00000000" w14:paraId="00000042">
      <w:pPr>
        <w:pStyle w:val="Heading2"/>
        <w:pBdr>
          <w:bottom w:color="cfd5e4" w:space="3" w:sz="6" w:val="single"/>
        </w:pBdr>
        <w:shd w:fill="ffffff" w:val="clear"/>
        <w:jc w:val="both"/>
        <w:rPr>
          <w:sz w:val="24"/>
          <w:szCs w:val="24"/>
        </w:rPr>
      </w:pPr>
      <w:r w:rsidDel="00000000" w:rsidR="00000000" w:rsidRPr="00000000">
        <w:rPr>
          <w:sz w:val="24"/>
          <w:szCs w:val="24"/>
          <w:rtl w:val="0"/>
        </w:rPr>
        <w:t xml:space="preserve">Funding</w:t>
      </w:r>
    </w:p>
    <w:p w:rsidR="00000000" w:rsidDel="00000000" w:rsidP="00000000" w:rsidRDefault="00000000" w:rsidRPr="00000000" w14:paraId="00000043">
      <w:pPr>
        <w:pStyle w:val="Heading2"/>
        <w:pBdr>
          <w:bottom w:color="cfd5e4" w:space="3" w:sz="6" w:val="single"/>
        </w:pBdr>
        <w:shd w:fill="ffffff" w:val="clear"/>
        <w:jc w:val="both"/>
        <w:rPr>
          <w:sz w:val="24"/>
          <w:szCs w:val="24"/>
        </w:rPr>
      </w:pPr>
      <w:r w:rsidDel="00000000" w:rsidR="00000000" w:rsidRPr="00000000">
        <w:rPr>
          <w:b w:val="0"/>
          <w:sz w:val="24"/>
          <w:szCs w:val="24"/>
          <w:rtl w:val="0"/>
        </w:rPr>
        <w:t xml:space="preserve">Dr. Kamal Rawal acknowledges the support provided by SERB, Department of Science and Technology (Grant ID: CVD/2020/000842). The project involved usage of computational infrastructure (server etc) provided by the Department of Biotechnology (DBT), Ministry of Science and Technology Government of India (Grant ID: BT/PRI7252/BID/7/708/2016). SKN, PP, R, SS, SDS, NG, and TS have received financial support from grants obtained from Robert J. Kleberg Jr. and Helen C. Kleberg Foundation and Baylor College of Medicine, Houston, Texas, USA. We are also thankful to Amity University for the support provided during the conduct of this study. </w:t>
      </w:r>
      <w:r w:rsidDel="00000000" w:rsidR="00000000" w:rsidRPr="00000000">
        <w:rPr>
          <w:rtl w:val="0"/>
        </w:rPr>
      </w:r>
    </w:p>
    <w:p w:rsidR="00000000" w:rsidDel="00000000" w:rsidP="00000000" w:rsidRDefault="00000000" w:rsidRPr="00000000" w14:paraId="00000044">
      <w:pPr>
        <w:pStyle w:val="Heading2"/>
        <w:pBdr>
          <w:bottom w:color="cfd5e4" w:space="3" w:sz="6" w:val="single"/>
        </w:pBdr>
        <w:shd w:fill="ffffff" w:val="clear"/>
        <w:jc w:val="both"/>
        <w:rPr>
          <w:sz w:val="24"/>
          <w:szCs w:val="24"/>
        </w:rPr>
      </w:pPr>
      <w:r w:rsidDel="00000000" w:rsidR="00000000" w:rsidRPr="00000000">
        <w:rPr>
          <w:sz w:val="24"/>
          <w:szCs w:val="24"/>
          <w:rtl w:val="0"/>
        </w:rPr>
        <w:t xml:space="preserve">Author Contributions</w:t>
      </w:r>
    </w:p>
    <w:p w:rsidR="00000000" w:rsidDel="00000000" w:rsidP="00000000" w:rsidRDefault="00000000" w:rsidRPr="00000000" w14:paraId="00000045">
      <w:pPr>
        <w:pStyle w:val="Heading2"/>
        <w:pBdr>
          <w:bottom w:color="cfd5e4" w:space="3" w:sz="6" w:val="single"/>
        </w:pBdr>
        <w:shd w:fill="ffffff" w:val="clear"/>
        <w:jc w:val="both"/>
        <w:rPr>
          <w:b w:val="0"/>
          <w:sz w:val="24"/>
          <w:szCs w:val="24"/>
        </w:rPr>
      </w:pPr>
      <w:r w:rsidDel="00000000" w:rsidR="00000000" w:rsidRPr="00000000">
        <w:rPr>
          <w:b w:val="0"/>
          <w:sz w:val="24"/>
          <w:szCs w:val="24"/>
          <w:rtl w:val="0"/>
        </w:rPr>
        <w:t xml:space="preserve">This study was conducted under the overall guidance of KR, who contributed in protocol, critical evaluation of data and manuscript. The pipeline was designed, constructed and validated by RS, R and PS. Manuscript writing was done by R, PP, and PK. All the authors are responsible for the content of the manuscript.</w:t>
      </w:r>
    </w:p>
    <w:p w:rsidR="00000000" w:rsidDel="00000000" w:rsidP="00000000" w:rsidRDefault="00000000" w:rsidRPr="00000000" w14:paraId="00000046">
      <w:pPr>
        <w:pStyle w:val="Heading2"/>
        <w:pBdr>
          <w:bottom w:color="cfd5e4" w:space="3" w:sz="6" w:val="single"/>
        </w:pBdr>
        <w:shd w:fill="ffffff" w:val="clear"/>
        <w:jc w:val="both"/>
        <w:rPr>
          <w:sz w:val="24"/>
          <w:szCs w:val="24"/>
        </w:rPr>
      </w:pPr>
      <w:r w:rsidDel="00000000" w:rsidR="00000000" w:rsidRPr="00000000">
        <w:rPr>
          <w:sz w:val="24"/>
          <w:szCs w:val="24"/>
          <w:rtl w:val="0"/>
        </w:rPr>
        <w:t xml:space="preserve">Competing interests</w:t>
      </w:r>
    </w:p>
    <w:p w:rsidR="00000000" w:rsidDel="00000000" w:rsidP="00000000" w:rsidRDefault="00000000" w:rsidRPr="00000000" w14:paraId="00000047">
      <w:pPr>
        <w:pStyle w:val="Heading2"/>
        <w:pBdr>
          <w:bottom w:color="cfd5e4" w:space="3" w:sz="6" w:val="single"/>
        </w:pBdr>
        <w:shd w:fill="ffffff" w:val="clear"/>
        <w:jc w:val="both"/>
        <w:rPr>
          <w:sz w:val="24"/>
          <w:szCs w:val="24"/>
        </w:rPr>
      </w:pPr>
      <w:r w:rsidDel="00000000" w:rsidR="00000000" w:rsidRPr="00000000">
        <w:rPr>
          <w:b w:val="0"/>
          <w:sz w:val="24"/>
          <w:szCs w:val="24"/>
          <w:rtl w:val="0"/>
        </w:rPr>
        <w:t xml:space="preserve">The authors declare no competing interests</w:t>
      </w:r>
      <w:r w:rsidDel="00000000" w:rsidR="00000000" w:rsidRPr="00000000">
        <w:rPr>
          <w:sz w:val="24"/>
          <w:szCs w:val="24"/>
          <w:rtl w:val="0"/>
        </w:rPr>
        <w:t xml:space="preserve">.</w:t>
      </w:r>
    </w:p>
    <w:p w:rsidR="00000000" w:rsidDel="00000000" w:rsidP="00000000" w:rsidRDefault="00000000" w:rsidRPr="00000000" w14:paraId="00000048">
      <w:pPr>
        <w:pStyle w:val="Heading2"/>
        <w:pBdr>
          <w:bottom w:color="cfd5e4" w:space="3" w:sz="6" w:val="single"/>
        </w:pBdr>
        <w:shd w:fill="ffffff" w:val="clear"/>
        <w:jc w:val="both"/>
        <w:rPr>
          <w:b w:val="0"/>
          <w:color w:val="2a2a2a"/>
          <w:sz w:val="24"/>
          <w:szCs w:val="24"/>
        </w:rPr>
      </w:pPr>
      <w:r w:rsidDel="00000000" w:rsidR="00000000" w:rsidRPr="00000000">
        <w:rPr>
          <w:b w:val="0"/>
          <w:sz w:val="24"/>
          <w:szCs w:val="24"/>
          <w:rtl w:val="0"/>
        </w:rPr>
        <w:t xml:space="preserve">Correspondence and requests for materials should be addressed to K.R.</w:t>
      </w:r>
      <w:r w:rsidDel="00000000" w:rsidR="00000000" w:rsidRPr="00000000">
        <w:rPr>
          <w:rtl w:val="0"/>
        </w:rPr>
      </w:r>
    </w:p>
    <w:sectPr>
      <w:pgSz w:h="15840" w:w="12240"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eeti P" w:id="2" w:date="2021-11-27T10:32:1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format is not maintained</w:t>
      </w:r>
    </w:p>
  </w:comment>
  <w:comment w:author="Preeti P" w:id="3" w:date="2021-11-27T10:32:1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format is not maintained</w:t>
      </w:r>
    </w:p>
  </w:comment>
  <w:comment w:author="Preeti P" w:id="0" w:date="2021-11-27T10:07:4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not provided</w:t>
      </w:r>
    </w:p>
  </w:comment>
  <w:comment w:author="Preeti P" w:id="8" w:date="2021-11-27T10:07:45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not provided</w:t>
      </w:r>
    </w:p>
  </w:comment>
  <w:comment w:author="Preeti P" w:id="11" w:date="2021-11-27T10:07:4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not provided</w:t>
      </w:r>
    </w:p>
  </w:comment>
  <w:comment w:author="Preeti P" w:id="10" w:date="2021-11-27T11:11:1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statement</w:t>
      </w:r>
    </w:p>
  </w:comment>
  <w:comment w:author="Preeti P" w:id="12" w:date="2021-11-27T11:11:1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statement</w:t>
      </w:r>
    </w:p>
  </w:comment>
  <w:comment w:author="Preeti P" w:id="5" w:date="2021-11-27T10:33:53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number?</w:t>
      </w:r>
    </w:p>
  </w:comment>
  <w:comment w:author="Preeti P" w:id="1" w:date="2021-11-27T10:22:5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not available</w:t>
      </w:r>
    </w:p>
  </w:comment>
  <w:comment w:author="Preeti P" w:id="13" w:date="2021-11-27T11:12:0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Dock instead of Docking</w:t>
      </w:r>
    </w:p>
  </w:comment>
  <w:comment w:author="Preeti P" w:id="4" w:date="2021-11-27T10:31:43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spelling</w:t>
      </w:r>
    </w:p>
  </w:comment>
  <w:comment w:author="Preeti P" w:id="6" w:date="2021-11-27T11:19:2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number</w:t>
      </w:r>
    </w:p>
  </w:comment>
  <w:comment w:author="Preeti P" w:id="7" w:date="2021-11-27T11:10:15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available</w:t>
      </w:r>
    </w:p>
  </w:comment>
  <w:comment w:author="Preeti P" w:id="9" w:date="2021-11-27T11:10:15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available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ites.google.com/view/drugx-supplementary" TargetMode="External"/><Relationship Id="rId22" Type="http://schemas.openxmlformats.org/officeDocument/2006/relationships/hyperlink" Target="https://www.fda.gov/drugs/emergency-preparedness-drugs/coronavirus-covid-19-drugs" TargetMode="External"/><Relationship Id="rId21" Type="http://schemas.openxmlformats.org/officeDocument/2006/relationships/hyperlink" Target="https://sites.google.com/view/drugx-supplementary" TargetMode="External"/><Relationship Id="rId24" Type="http://schemas.openxmlformats.org/officeDocument/2006/relationships/hyperlink" Target="https://doi.org/10.1093/bioinformatics/btaa645" TargetMode="External"/><Relationship Id="rId23" Type="http://schemas.openxmlformats.org/officeDocument/2006/relationships/hyperlink" Target="https://doi.org/10.1101/2021.06.17.2125863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ites.google.com/view/drugx-supplementary" TargetMode="External"/><Relationship Id="rId26" Type="http://schemas.openxmlformats.org/officeDocument/2006/relationships/hyperlink" Target="https://doi.org/10.1186/1758-2946-3-33" TargetMode="External"/><Relationship Id="rId25" Type="http://schemas.openxmlformats.org/officeDocument/2006/relationships/hyperlink" Target="https://doi.org/10.1016/j.imu.2020.100345" TargetMode="External"/><Relationship Id="rId28" Type="http://schemas.openxmlformats.org/officeDocument/2006/relationships/hyperlink" Target="https://doi.org/10.1038/s41594-021-00651-0" TargetMode="External"/><Relationship Id="rId27" Type="http://schemas.openxmlformats.org/officeDocument/2006/relationships/hyperlink" Target="https://doi.org/10.1021/acs.jmedchem.0c0114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rugx.kamalrawal.in/drugx/" TargetMode="External"/><Relationship Id="rId8" Type="http://schemas.openxmlformats.org/officeDocument/2006/relationships/hyperlink" Target="http://www.kamalrawal.in/tools.html" TargetMode="External"/><Relationship Id="rId11" Type="http://schemas.openxmlformats.org/officeDocument/2006/relationships/hyperlink" Target="https://www.fda.gov/drugs/emergency-preparedness-drugs/coronavirus-covid-19-drugs" TargetMode="External"/><Relationship Id="rId10" Type="http://schemas.openxmlformats.org/officeDocument/2006/relationships/hyperlink" Target="https://www.fda.gov/news-events/press-announcements/fda-approves-first-treatment-covid-19" TargetMode="External"/><Relationship Id="rId13" Type="http://schemas.openxmlformats.org/officeDocument/2006/relationships/hyperlink" Target="https://sites.google.com/view/drugx-supplementary" TargetMode="External"/><Relationship Id="rId12" Type="http://schemas.openxmlformats.org/officeDocument/2006/relationships/hyperlink" Target="https://www.fda.gov/drugs/emergency-preparedness-drugs/coronavirus-covid-19-drugs" TargetMode="External"/><Relationship Id="rId15" Type="http://schemas.openxmlformats.org/officeDocument/2006/relationships/hyperlink" Target="https://docs.google.com/document/d/1U7ngvJ7ojq9jHnopcJwAXGJqd5wABjqinr7SLRE0DlU/edit?usp=sharing" TargetMode="External"/><Relationship Id="rId14" Type="http://schemas.openxmlformats.org/officeDocument/2006/relationships/hyperlink" Target="http://jmol.sourceforge.net/"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https://docs.google.com/document/d/1U7ngvJ7ojq9jHnopcJwAXGJqd5wABjqinr7SLRE0DlU/edit?usp=sharing" TargetMode="External"/><Relationship Id="rId18" Type="http://schemas.openxmlformats.org/officeDocument/2006/relationships/hyperlink" Target="https://docs.google.com/document/d/1U7ngvJ7ojq9jHnopcJwAXGJqd5wABjqinr7SLRE0Dl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