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Delhi Urban Green Cover x PM2.5 Research Progress Report</w:t>
      </w:r>
    </w:p>
    <w:p>
      <w:r>
        <w:rPr>
          <w:i/>
          <w:color w:val="64748B"/>
          <w:sz w:val="24"/>
        </w:rPr>
        <w:t>Multimodal Earth Observation Satellite &amp; CPCB Ground Data Integration</w:t>
      </w:r>
    </w:p>
    <w:p>
      <w:r>
        <w:rPr>
          <w:b/>
        </w:rPr>
        <w:t xml:space="preserve">Author: </w:t>
      </w:r>
      <w:r>
        <w:t>Hitakshi Joshi (B.Tech IT, IGDTUW)</w:t>
        <w:br/>
      </w:r>
      <w:r>
        <w:rPr>
          <w:b/>
        </w:rPr>
        <w:t xml:space="preserve">Research Focus: </w:t>
      </w:r>
      <w:r>
        <w:t>Spatial Coherence, Satellite Feature Pipeline &amp; Exploratory Analysis</w:t>
        <w:br/>
      </w:r>
      <w:r>
        <w:rPr>
          <w:b/>
        </w:rPr>
        <w:t xml:space="preserve">Dataset Scope: </w:t>
      </w:r>
      <w:r>
        <w:t>2022-2025 Multi-Year (1,615 Total Modeling Observations)</w:t>
      </w:r>
    </w:p>
    <w:p>
      <w:pPr>
        <w:spacing w:after="240"/>
      </w:pPr>
    </w:p>
    <w:p>
      <w:pPr>
        <w:pStyle w:val="Heading1"/>
      </w:pPr>
      <w:r>
        <w:rPr>
          <w:color w:val="0F172A"/>
        </w:rPr>
        <w:t>1. Executive Progress Summary for Advisor</w:t>
      </w:r>
    </w:p>
    <w:p>
      <w:r>
        <w:t>I have completed the multi-source data fusion and spatial exploratory analysis for the geocoded CPCB monitoring network across Delhi NCR. The unified pipeline integrates ground PM2.5 observations with multi-buffer Earth observation features from Sentinel-2 (NDVI, EVI), Sentinel-5P (NO2), and MODIS (Land Surface Temperature). The complete suite of spatial GeoMaps, temporal heatmaps, and multimodal regression plots below confirms strong spatial coherence and seasonal synchronization across the network, verifying that our feature pipeline is robust and ready for model training.</w:t>
      </w:r>
    </w:p>
    <w:p>
      <w:pPr>
        <w:pStyle w:val="Heading2"/>
      </w:pPr>
      <w:r>
        <w:t>2. Dataset Architecture &amp; Metrics</w:t>
      </w:r>
    </w:p>
    <w:tbl>
      <w:tblPr>
        <w:tblStyle w:val="TableGrid"/>
        <w:tblW w:type="auto" w:w="0"/>
        <w:jc w:val="center"/>
        <w:tblLook w:firstColumn="1" w:firstRow="1" w:lastColumn="0" w:lastRow="0" w:noHBand="0" w:noVBand="1" w:val="04A0"/>
      </w:tblPr>
      <w:tblGrid>
        <w:gridCol w:w="4680"/>
        <w:gridCol w:w="4680"/>
      </w:tblGrid>
      <w:tr>
        <w:tc>
          <w:tcPr>
            <w:tcW w:type="dxa" w:w="4680"/>
          </w:tcPr>
          <w:p>
            <w:r>
              <w:rPr>
                <w:b/>
              </w:rPr>
              <w:t>Dataset Dimensions</w:t>
            </w:r>
          </w:p>
        </w:tc>
        <w:tc>
          <w:tcPr>
            <w:tcW w:type="dxa" w:w="4680"/>
          </w:tcPr>
          <w:p>
            <w:r>
              <w:t>1,615 rows x 144 features</w:t>
            </w:r>
          </w:p>
        </w:tc>
      </w:tr>
      <w:tr>
        <w:tc>
          <w:tcPr>
            <w:tcW w:type="dxa" w:w="4680"/>
          </w:tcPr>
          <w:p>
            <w:r>
              <w:rPr>
                <w:b/>
              </w:rPr>
              <w:t>Timeframe &amp; Resolution</w:t>
            </w:r>
          </w:p>
        </w:tc>
        <w:tc>
          <w:tcPr>
            <w:tcW w:type="dxa" w:w="4680"/>
          </w:tcPr>
          <w:p>
            <w:r>
              <w:t>2022-2025 Multi-Year Aggregates</w:t>
            </w:r>
          </w:p>
        </w:tc>
      </w:tr>
      <w:tr>
        <w:tc>
          <w:tcPr>
            <w:tcW w:type="dxa" w:w="4680"/>
          </w:tcPr>
          <w:p>
            <w:r>
              <w:rPr>
                <w:b/>
              </w:rPr>
              <w:t>Satellite Sensors Fused</w:t>
            </w:r>
          </w:p>
        </w:tc>
        <w:tc>
          <w:tcPr>
            <w:tcW w:type="dxa" w:w="4680"/>
          </w:tcPr>
          <w:p>
            <w:r>
              <w:t>Sentinel-2 MSI, Sentinel-5P TROPOMI, MODIS Terra/Aqua</w:t>
            </w:r>
          </w:p>
        </w:tc>
      </w:tr>
      <w:tr>
        <w:tc>
          <w:tcPr>
            <w:tcW w:type="dxa" w:w="4680"/>
          </w:tcPr>
          <w:p>
            <w:r>
              <w:rPr>
                <w:b/>
              </w:rPr>
              <w:t>Spatial Buffer Radii</w:t>
            </w:r>
          </w:p>
        </w:tc>
        <w:tc>
          <w:tcPr>
            <w:tcW w:type="dxa" w:w="4680"/>
          </w:tcPr>
          <w:p>
            <w:r>
              <w:t>100m, 250m, 500m, 1000m Concentric Buffers</w:t>
            </w:r>
          </w:p>
        </w:tc>
      </w:tr>
      <w:tr>
        <w:tc>
          <w:tcPr>
            <w:tcW w:type="dxa" w:w="4680"/>
          </w:tcPr>
          <w:p>
            <w:r>
              <w:rPr>
                <w:b/>
              </w:rPr>
              <w:t>Primary Target Variable</w:t>
            </w:r>
          </w:p>
        </w:tc>
        <w:tc>
          <w:tcPr>
            <w:tcW w:type="dxa" w:w="4680"/>
          </w:tcPr>
          <w:p>
            <w:r>
              <w:t>CPCB Ground PM2.5 Concentration (ug/m3)</w:t>
            </w:r>
          </w:p>
        </w:tc>
      </w:tr>
    </w:tbl>
    <w:p>
      <w:pPr>
        <w:spacing w:after="240"/>
      </w:pPr>
    </w:p>
    <w:p>
      <w:pPr>
        <w:pStyle w:val="Heading1"/>
      </w:pPr>
      <w:r>
        <w:t>3. Comprehensive Visual Analytics Suite</w:t>
      </w:r>
    </w:p>
    <w:p>
      <w:pPr>
        <w:pStyle w:val="Heading2"/>
      </w:pPr>
      <w:r>
        <w:t>3.1 CPCB Station Network Spatial Distribution (GeoMap)</w:t>
      </w:r>
    </w:p>
    <w:p>
      <w:r>
        <w:drawing>
          <wp:inline xmlns:a="http://schemas.openxmlformats.org/drawingml/2006/main" xmlns:pic="http://schemas.openxmlformats.org/drawingml/2006/picture">
            <wp:extent cx="5303520" cy="4714240"/>
            <wp:docPr id="1" name="Picture 1"/>
            <wp:cNvGraphicFramePr>
              <a:graphicFrameLocks noChangeAspect="1"/>
            </wp:cNvGraphicFramePr>
            <a:graphic>
              <a:graphicData uri="http://schemas.openxmlformats.org/drawingml/2006/picture">
                <pic:pic>
                  <pic:nvPicPr>
                    <pic:cNvPr id="0" name="fig1_spatial_geomap_pm25.png"/>
                    <pic:cNvPicPr/>
                  </pic:nvPicPr>
                  <pic:blipFill>
                    <a:blip r:embed="rId9"/>
                    <a:stretch>
                      <a:fillRect/>
                    </a:stretch>
                  </pic:blipFill>
                  <pic:spPr>
                    <a:xfrm>
                      <a:off x="0" y="0"/>
                      <a:ext cx="5303520" cy="4714240"/>
                    </a:xfrm>
                    <a:prstGeom prst="rect"/>
                  </pic:spPr>
                </pic:pic>
              </a:graphicData>
            </a:graphic>
          </wp:inline>
        </w:drawing>
      </w:r>
    </w:p>
    <w:p>
      <w:r>
        <w:rPr>
          <w:i/>
          <w:sz w:val="19"/>
        </w:rPr>
        <w:t>Figure 1: GeoMap displaying spatial coordinates of CPCB stations in Delhi NCR. Bubble size and color map to mean PM2.5 concentration levels.</w:t>
      </w:r>
    </w:p>
    <w:p>
      <w:pPr>
        <w:pStyle w:val="Heading2"/>
      </w:pPr>
      <w:r>
        <w:t>3.2 Temporal Synchrony &amp; Seasonal Winter Peaks</w:t>
      </w:r>
    </w:p>
    <w:p>
      <w:r>
        <w:drawing>
          <wp:inline xmlns:a="http://schemas.openxmlformats.org/drawingml/2006/main" xmlns:pic="http://schemas.openxmlformats.org/drawingml/2006/picture">
            <wp:extent cx="5669280" cy="3607724"/>
            <wp:docPr id="2" name="Picture 2"/>
            <wp:cNvGraphicFramePr>
              <a:graphicFrameLocks noChangeAspect="1"/>
            </wp:cNvGraphicFramePr>
            <a:graphic>
              <a:graphicData uri="http://schemas.openxmlformats.org/drawingml/2006/picture">
                <pic:pic>
                  <pic:nvPicPr>
                    <pic:cNvPr id="0" name="fig2_pm25_spatial_temporal_heatmap.png"/>
                    <pic:cNvPicPr/>
                  </pic:nvPicPr>
                  <pic:blipFill>
                    <a:blip r:embed="rId10"/>
                    <a:stretch>
                      <a:fillRect/>
                    </a:stretch>
                  </pic:blipFill>
                  <pic:spPr>
                    <a:xfrm>
                      <a:off x="0" y="0"/>
                      <a:ext cx="5669280" cy="3607724"/>
                    </a:xfrm>
                    <a:prstGeom prst="rect"/>
                  </pic:spPr>
                </pic:pic>
              </a:graphicData>
            </a:graphic>
          </wp:inline>
        </w:drawing>
      </w:r>
    </w:p>
    <w:p>
      <w:r>
        <w:rPr>
          <w:i/>
          <w:sz w:val="19"/>
        </w:rPr>
        <w:t>Figure 2: Spatial-temporal heatmap of monthly PM2.5 across CPCB stations. Highlights systemic winter pollution surges (Nov-Jan) across all monitoring zones.</w:t>
      </w:r>
    </w:p>
    <w:p>
      <w:pPr>
        <w:pStyle w:val="Heading2"/>
      </w:pPr>
      <w:r>
        <w:t>3.3 Multimodal Feature Correlations</w:t>
      </w:r>
    </w:p>
    <w:p>
      <w:r>
        <w:drawing>
          <wp:inline xmlns:a="http://schemas.openxmlformats.org/drawingml/2006/main" xmlns:pic="http://schemas.openxmlformats.org/drawingml/2006/picture">
            <wp:extent cx="5029200" cy="4141694"/>
            <wp:docPr id="3" name="Picture 3"/>
            <wp:cNvGraphicFramePr>
              <a:graphicFrameLocks noChangeAspect="1"/>
            </wp:cNvGraphicFramePr>
            <a:graphic>
              <a:graphicData uri="http://schemas.openxmlformats.org/drawingml/2006/picture">
                <pic:pic>
                  <pic:nvPicPr>
                    <pic:cNvPr id="0" name="fig3_multimodal_correlation_matrix.png"/>
                    <pic:cNvPicPr/>
                  </pic:nvPicPr>
                  <pic:blipFill>
                    <a:blip r:embed="rId11"/>
                    <a:stretch>
                      <a:fillRect/>
                    </a:stretch>
                  </pic:blipFill>
                  <pic:spPr>
                    <a:xfrm>
                      <a:off x="0" y="0"/>
                      <a:ext cx="5029200" cy="4141694"/>
                    </a:xfrm>
                    <a:prstGeom prst="rect"/>
                  </pic:spPr>
                </pic:pic>
              </a:graphicData>
            </a:graphic>
          </wp:inline>
        </w:drawing>
      </w:r>
    </w:p>
    <w:p>
      <w:r>
        <w:rPr>
          <w:i/>
          <w:sz w:val="19"/>
        </w:rPr>
        <w:t>Figure 3: Spearman rank correlation matrix linking ground PM2.5 with Sentinel-2 greenness indices, Sentinel-5P NO2, and MODIS LST.</w:t>
      </w:r>
    </w:p>
    <w:p>
      <w:pPr>
        <w:pStyle w:val="Heading2"/>
      </w:pPr>
      <w:r>
        <w:t>3.4 Vegetation Canopy Buffer Scale Coherence</w:t>
      </w:r>
    </w:p>
    <w:p>
      <w:r>
        <w:drawing>
          <wp:inline xmlns:a="http://schemas.openxmlformats.org/drawingml/2006/main" xmlns:pic="http://schemas.openxmlformats.org/drawingml/2006/picture">
            <wp:extent cx="5486400" cy="3048000"/>
            <wp:docPr id="4" name="Picture 4"/>
            <wp:cNvGraphicFramePr>
              <a:graphicFrameLocks noChangeAspect="1"/>
            </wp:cNvGraphicFramePr>
            <a:graphic>
              <a:graphicData uri="http://schemas.openxmlformats.org/drawingml/2006/picture">
                <pic:pic>
                  <pic:nvPicPr>
                    <pic:cNvPr id="0" name="fig4_buffer_scale_coherence.png"/>
                    <pic:cNvPicPr/>
                  </pic:nvPicPr>
                  <pic:blipFill>
                    <a:blip r:embed="rId12"/>
                    <a:stretch>
                      <a:fillRect/>
                    </a:stretch>
                  </pic:blipFill>
                  <pic:spPr>
                    <a:xfrm>
                      <a:off x="0" y="0"/>
                      <a:ext cx="5486400" cy="3048000"/>
                    </a:xfrm>
                    <a:prstGeom prst="rect"/>
                  </pic:spPr>
                </pic:pic>
              </a:graphicData>
            </a:graphic>
          </wp:inline>
        </w:drawing>
      </w:r>
    </w:p>
    <w:p>
      <w:r>
        <w:rPr>
          <w:i/>
          <w:sz w:val="19"/>
        </w:rPr>
        <w:t>Figure 4: Comparative scatter plot analyzing macro-buffer vs micro-buffer greenness indicators against station PM2.5 levels.</w:t>
      </w:r>
    </w:p>
    <w:p>
      <w:pPr>
        <w:pStyle w:val="Heading2"/>
      </w:pPr>
      <w:r>
        <w:t>3.5 Environmental Driver Bivariate Regressions</w:t>
      </w:r>
    </w:p>
    <w:p>
      <w:r>
        <w:drawing>
          <wp:inline xmlns:a="http://schemas.openxmlformats.org/drawingml/2006/main" xmlns:pic="http://schemas.openxmlformats.org/drawingml/2006/picture">
            <wp:extent cx="5669280" cy="4535424"/>
            <wp:docPr id="5" name="Picture 5"/>
            <wp:cNvGraphicFramePr>
              <a:graphicFrameLocks noChangeAspect="1"/>
            </wp:cNvGraphicFramePr>
            <a:graphic>
              <a:graphicData uri="http://schemas.openxmlformats.org/drawingml/2006/picture">
                <pic:pic>
                  <pic:nvPicPr>
                    <pic:cNvPr id="0" name="fig5_bivariate_driver_grid.png"/>
                    <pic:cNvPicPr/>
                  </pic:nvPicPr>
                  <pic:blipFill>
                    <a:blip r:embed="rId13"/>
                    <a:stretch>
                      <a:fillRect/>
                    </a:stretch>
                  </pic:blipFill>
                  <pic:spPr>
                    <a:xfrm>
                      <a:off x="0" y="0"/>
                      <a:ext cx="5669280" cy="4535424"/>
                    </a:xfrm>
                    <a:prstGeom prst="rect"/>
                  </pic:spPr>
                </pic:pic>
              </a:graphicData>
            </a:graphic>
          </wp:inline>
        </w:drawing>
      </w:r>
    </w:p>
    <w:p>
      <w:r>
        <w:rPr>
          <w:i/>
          <w:sz w:val="19"/>
        </w:rPr>
        <w:t>Figure 5: Bivariate regressions with confidence intervals showing PM2.5 responses to NDVI, NO2, Land Surface Temperature, and EVI.</w:t>
      </w:r>
    </w:p>
    <w:p>
      <w:pPr>
        <w:pStyle w:val="Heading2"/>
      </w:pPr>
      <w:r>
        <w:t>3.6 Station Pollution Ranking &amp; Canopy Contrast</w:t>
      </w:r>
    </w:p>
    <w:p>
      <w:r>
        <w:drawing>
          <wp:inline xmlns:a="http://schemas.openxmlformats.org/drawingml/2006/main" xmlns:pic="http://schemas.openxmlformats.org/drawingml/2006/picture">
            <wp:extent cx="5669280" cy="3092335"/>
            <wp:docPr id="6" name="Picture 6"/>
            <wp:cNvGraphicFramePr>
              <a:graphicFrameLocks noChangeAspect="1"/>
            </wp:cNvGraphicFramePr>
            <a:graphic>
              <a:graphicData uri="http://schemas.openxmlformats.org/drawingml/2006/picture">
                <pic:pic>
                  <pic:nvPicPr>
                    <pic:cNvPr id="0" name="fig6_station_ranking_contrast.png"/>
                    <pic:cNvPicPr/>
                  </pic:nvPicPr>
                  <pic:blipFill>
                    <a:blip r:embed="rId14"/>
                    <a:stretch>
                      <a:fillRect/>
                    </a:stretch>
                  </pic:blipFill>
                  <pic:spPr>
                    <a:xfrm>
                      <a:off x="0" y="0"/>
                      <a:ext cx="5669280" cy="3092335"/>
                    </a:xfrm>
                    <a:prstGeom prst="rect"/>
                  </pic:spPr>
                </pic:pic>
              </a:graphicData>
            </a:graphic>
          </wp:inline>
        </w:drawing>
      </w:r>
    </w:p>
    <w:p>
      <w:r>
        <w:rPr>
          <w:i/>
          <w:sz w:val="19"/>
        </w:rPr>
        <w:t>Figure 6: Dual-axis station ranking contrasting annual PM2.5 concentrations against surrounding green canopy density.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