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74E"/>
          <w:sz w:val="42"/>
        </w:rPr>
        <w:t>Urban Green Cover Thresholds for PM₂.₅ Mitigation: A Spatial Causal Machine Learning Framework for Delhi NCR</w:t>
      </w:r>
    </w:p>
    <w:p>
      <w:pPr>
        <w:jc w:val="center"/>
      </w:pPr>
      <w:r>
        <w:rPr>
          <w:b/>
          <w:color w:val="3F5E74"/>
          <w:sz w:val="30"/>
        </w:rPr>
        <w:t>Update 2 — Baseline Modelling and Resplitting of Data</w:t>
      </w:r>
    </w:p>
    <w:p>
      <w:pPr>
        <w:jc w:val="center"/>
      </w:pPr>
      <w:r>
        <w:rPr>
          <w:color w:val="5A5A5A"/>
          <w:sz w:val="22"/>
        </w:rPr>
        <w:t>Research progress report | Reproducible baseline predictive analysis</w:t>
      </w:r>
    </w:p>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243447"/>
          </w:tcPr>
          <w:p>
            <w:pPr>
              <w:jc w:val="center"/>
            </w:pPr>
            <w:r>
              <w:rPr>
                <w:b/>
                <w:color w:val="FFFFFF"/>
                <w:sz w:val="17"/>
              </w:rPr>
            </w:r>
            <w:r>
              <w:rPr>
                <w:b/>
                <w:color w:val="FFFFFF"/>
                <w:sz w:val="17"/>
              </w:rPr>
              <w:t>Item</w:t>
            </w:r>
          </w:p>
        </w:tc>
        <w:tc>
          <w:tcPr>
            <w:tcW w:type="dxa" w:w="5040"/>
            <w:vAlign w:val="center"/>
            <w:shd w:fill="243447"/>
          </w:tcPr>
          <w:p>
            <w:pPr>
              <w:jc w:val="center"/>
            </w:pPr>
            <w:r>
              <w:rPr>
                <w:b/>
                <w:color w:val="FFFFFF"/>
                <w:sz w:val="17"/>
              </w:rPr>
            </w:r>
            <w:r>
              <w:rPr>
                <w:b/>
                <w:color w:val="FFFFFF"/>
                <w:sz w:val="17"/>
              </w:rPr>
              <w:t>Current state</w:t>
            </w:r>
          </w:p>
        </w:tc>
      </w:tr>
      <w:tr>
        <w:tc>
          <w:tcPr>
            <w:tcW w:type="dxa" w:w="5040"/>
            <w:vAlign w:val="center"/>
          </w:tcPr>
          <w:p>
            <w:pPr>
              <w:jc w:val="center"/>
            </w:pPr>
            <w:r>
              <w:rPr>
                <w:sz w:val="17"/>
              </w:rPr>
            </w:r>
            <w:r>
              <w:rPr>
                <w:b w:val="0"/>
                <w:color w:val="000000"/>
                <w:sz w:val="17"/>
              </w:rPr>
              <w:t>Analytical period</w:t>
            </w:r>
          </w:p>
        </w:tc>
        <w:tc>
          <w:tcPr>
            <w:tcW w:type="dxa" w:w="5040"/>
            <w:vAlign w:val="center"/>
          </w:tcPr>
          <w:p>
            <w:pPr>
              <w:jc w:val="center"/>
            </w:pPr>
            <w:r>
              <w:rPr>
                <w:sz w:val="17"/>
              </w:rPr>
            </w:r>
            <w:r>
              <w:rPr>
                <w:b w:val="0"/>
                <w:color w:val="000000"/>
                <w:sz w:val="17"/>
              </w:rPr>
              <w:t>2022–2025</w:t>
            </w:r>
          </w:p>
        </w:tc>
      </w:tr>
      <w:tr>
        <w:tc>
          <w:tcPr>
            <w:tcW w:type="dxa" w:w="5040"/>
            <w:vAlign w:val="center"/>
          </w:tcPr>
          <w:p>
            <w:pPr>
              <w:jc w:val="center"/>
            </w:pPr>
            <w:r>
              <w:rPr>
                <w:sz w:val="17"/>
              </w:rPr>
            </w:r>
            <w:r>
              <w:rPr>
                <w:b w:val="0"/>
                <w:color w:val="000000"/>
                <w:sz w:val="17"/>
              </w:rPr>
              <w:t>Final V2 panel</w:t>
            </w:r>
          </w:p>
        </w:tc>
        <w:tc>
          <w:tcPr>
            <w:tcW w:type="dxa" w:w="5040"/>
            <w:vAlign w:val="center"/>
          </w:tcPr>
          <w:p>
            <w:pPr>
              <w:jc w:val="center"/>
            </w:pPr>
            <w:r>
              <w:rPr>
                <w:sz w:val="17"/>
              </w:rPr>
            </w:r>
            <w:r>
              <w:rPr>
                <w:b w:val="0"/>
                <w:color w:val="000000"/>
                <w:sz w:val="17"/>
              </w:rPr>
              <w:t>1,615 station-month observations</w:t>
            </w:r>
          </w:p>
        </w:tc>
      </w:tr>
      <w:tr>
        <w:tc>
          <w:tcPr>
            <w:tcW w:type="dxa" w:w="5040"/>
            <w:vAlign w:val="center"/>
          </w:tcPr>
          <w:p>
            <w:pPr>
              <w:jc w:val="center"/>
            </w:pPr>
            <w:r>
              <w:rPr>
                <w:sz w:val="17"/>
              </w:rPr>
            </w:r>
            <w:r>
              <w:rPr>
                <w:b w:val="0"/>
                <w:color w:val="000000"/>
                <w:sz w:val="17"/>
              </w:rPr>
              <w:t>Stations</w:t>
            </w:r>
          </w:p>
        </w:tc>
        <w:tc>
          <w:tcPr>
            <w:tcW w:type="dxa" w:w="5040"/>
            <w:vAlign w:val="center"/>
          </w:tcPr>
          <w:p>
            <w:pPr>
              <w:jc w:val="center"/>
            </w:pPr>
            <w:r>
              <w:rPr>
                <w:sz w:val="17"/>
              </w:rPr>
            </w:r>
            <w:r>
              <w:rPr>
                <w:b w:val="0"/>
                <w:color w:val="000000"/>
                <w:sz w:val="17"/>
              </w:rPr>
              <w:t>35</w:t>
            </w:r>
          </w:p>
        </w:tc>
      </w:tr>
      <w:tr>
        <w:tc>
          <w:tcPr>
            <w:tcW w:type="dxa" w:w="5040"/>
            <w:vAlign w:val="center"/>
          </w:tcPr>
          <w:p>
            <w:pPr>
              <w:jc w:val="center"/>
            </w:pPr>
            <w:r>
              <w:rPr>
                <w:sz w:val="17"/>
              </w:rPr>
            </w:r>
            <w:r>
              <w:rPr>
                <w:b w:val="0"/>
                <w:color w:val="000000"/>
                <w:sz w:val="17"/>
              </w:rPr>
              <w:t>Primary target</w:t>
            </w:r>
          </w:p>
        </w:tc>
        <w:tc>
          <w:tcPr>
            <w:tcW w:type="dxa" w:w="5040"/>
            <w:vAlign w:val="center"/>
          </w:tcPr>
          <w:p>
            <w:pPr>
              <w:jc w:val="center"/>
            </w:pPr>
            <w:r>
              <w:rPr>
                <w:sz w:val="17"/>
              </w:rPr>
            </w:r>
            <w:r>
              <w:rPr>
                <w:b w:val="0"/>
                <w:color w:val="000000"/>
                <w:sz w:val="17"/>
              </w:rPr>
              <w:t>CPCB PM₂.₅ monthly outcome</w:t>
            </w:r>
          </w:p>
        </w:tc>
      </w:tr>
      <w:tr>
        <w:tc>
          <w:tcPr>
            <w:tcW w:type="dxa" w:w="5040"/>
            <w:vAlign w:val="center"/>
          </w:tcPr>
          <w:p>
            <w:pPr>
              <w:jc w:val="center"/>
            </w:pPr>
            <w:r>
              <w:rPr>
                <w:sz w:val="17"/>
              </w:rPr>
            </w:r>
            <w:r>
              <w:rPr>
                <w:b w:val="0"/>
                <w:color w:val="000000"/>
                <w:sz w:val="17"/>
              </w:rPr>
              <w:t>Primary split</w:t>
            </w:r>
          </w:p>
        </w:tc>
        <w:tc>
          <w:tcPr>
            <w:tcW w:type="dxa" w:w="5040"/>
            <w:vAlign w:val="center"/>
          </w:tcPr>
          <w:p>
            <w:pPr>
              <w:jc w:val="center"/>
            </w:pPr>
            <w:r>
              <w:rPr>
                <w:sz w:val="17"/>
              </w:rPr>
            </w:r>
            <w:r>
              <w:rPr>
                <w:b w:val="0"/>
                <w:color w:val="000000"/>
                <w:sz w:val="17"/>
              </w:rPr>
              <w:t>Year × Month stratified 80:20 holdout</w:t>
            </w:r>
          </w:p>
        </w:tc>
      </w:tr>
      <w:tr>
        <w:tc>
          <w:tcPr>
            <w:tcW w:type="dxa" w:w="5040"/>
            <w:vAlign w:val="center"/>
          </w:tcPr>
          <w:p>
            <w:pPr>
              <w:jc w:val="center"/>
            </w:pPr>
            <w:r>
              <w:rPr>
                <w:sz w:val="17"/>
              </w:rPr>
            </w:r>
            <w:r>
              <w:rPr>
                <w:b w:val="0"/>
                <w:color w:val="000000"/>
                <w:sz w:val="17"/>
              </w:rPr>
              <w:t>Random seed</w:t>
            </w:r>
          </w:p>
        </w:tc>
        <w:tc>
          <w:tcPr>
            <w:tcW w:type="dxa" w:w="5040"/>
            <w:vAlign w:val="center"/>
          </w:tcPr>
          <w:p>
            <w:pPr>
              <w:jc w:val="center"/>
            </w:pPr>
            <w:r>
              <w:rPr>
                <w:sz w:val="17"/>
              </w:rPr>
            </w:r>
            <w:r>
              <w:rPr>
                <w:b w:val="0"/>
                <w:color w:val="000000"/>
                <w:sz w:val="17"/>
              </w:rPr>
              <w:t>42</w:t>
            </w:r>
          </w:p>
        </w:tc>
      </w:tr>
      <w:tr>
        <w:tc>
          <w:tcPr>
            <w:tcW w:type="dxa" w:w="5040"/>
            <w:vAlign w:val="center"/>
          </w:tcPr>
          <w:p>
            <w:pPr>
              <w:jc w:val="center"/>
            </w:pPr>
            <w:r>
              <w:rPr>
                <w:sz w:val="17"/>
              </w:rPr>
            </w:r>
            <w:r>
              <w:rPr>
                <w:b w:val="0"/>
                <w:color w:val="000000"/>
                <w:sz w:val="17"/>
              </w:rPr>
              <w:t>Primary baseline</w:t>
            </w:r>
          </w:p>
        </w:tc>
        <w:tc>
          <w:tcPr>
            <w:tcW w:type="dxa" w:w="5040"/>
            <w:vAlign w:val="center"/>
          </w:tcPr>
          <w:p>
            <w:pPr>
              <w:jc w:val="center"/>
            </w:pPr>
            <w:r>
              <w:rPr>
                <w:sz w:val="17"/>
              </w:rPr>
            </w:r>
            <w:r>
              <w:rPr>
                <w:b w:val="0"/>
                <w:color w:val="000000"/>
                <w:sz w:val="17"/>
              </w:rPr>
              <w:t>LightGBM</w:t>
            </w:r>
          </w:p>
        </w:tc>
      </w:tr>
    </w:tbl>
    <w:p/>
    <w:p>
      <w:r>
        <w:br w:type="page"/>
      </w:r>
    </w:p>
    <w:p>
      <w:pPr>
        <w:pStyle w:val="Heading1"/>
      </w:pPr>
      <w:r>
        <w:t>Executive Summary</w:t>
      </w:r>
    </w:p>
    <w:p>
      <w:r>
        <w:t>This update documents the transition from the initial ML-ready station-month dataset to a frozen multimodal V2 modeling panel, the diagnosis of the first two train/test designs, and the current baseline predictive results. The aim at this stage is deliberately limited: establish a defensible predictive baseline and a reproducible evaluation design before the later causal analysis.</w:t>
      </w:r>
    </w:p>
    <w:p>
      <w:r>
        <w:t>The final V2 panel contains 1,615 station-month observations from 35 stations over 2022–2025. The dataset combines the existing satellite-derived vegetation, land-surface and atmospheric features with ERA5 meteorology, WorldPop population-density features, OpenStreetMap road-infrastructure features, and a 2021 ESA WorldCover structural land-cover baseline.</w:t>
      </w:r>
    </w:p>
    <w:p>
      <w:r>
        <w:t>Three broad lessons emerge. First, the original holdout design was not suitable for publication-quality test evaluation because its test partition was heavily concentrated in October and November and had a very different PM₂.₅ distribution from training. Second, the data integration itself was internally consistent: row counts, keys and feature completeness were preserved. Third, after redesigning the primary split around Year × Month strata, the nonlinear tree models became the strongest baselines.</w:t>
      </w:r>
    </w:p>
    <w:p>
      <w:pPr>
        <w:pStyle w:val="ListBullet"/>
        <w:spacing w:after="40"/>
      </w:pPr>
      <w:r>
        <w:t>LightGBM achieved test R² = 0.8975, RMSE = 20.38 and MAE = 10.46.</w:t>
      </w:r>
    </w:p>
    <w:p>
      <w:pPr>
        <w:pStyle w:val="ListBullet"/>
        <w:spacing w:after="40"/>
      </w:pPr>
      <w:r>
        <w:t>Random Forest achieved test R² = 0.8759, RMSE = 22.42 and MAE = 12.24.</w:t>
      </w:r>
    </w:p>
    <w:p>
      <w:pPr>
        <w:pStyle w:val="ListBullet"/>
        <w:spacing w:after="40"/>
      </w:pPr>
      <w:r>
        <w:t>Linear Regression and Ridge produced negative held-out R² and remain useful as diagnostic linear benchmarks.</w:t>
      </w:r>
    </w:p>
    <w:p>
      <w:pPr>
        <w:pStyle w:val="ListBullet"/>
        <w:spacing w:after="40"/>
      </w:pPr>
      <w:r>
        <w:t>The baseline results are predictive rather than causal; feature importance is not a treatment effect.</w:t>
      </w:r>
    </w:p>
    <w:p>
      <w:pPr>
        <w:pStyle w:val="Heading1"/>
      </w:pPr>
      <w:r>
        <w:t>1. Research Context and Scope of Update</w:t>
      </w:r>
    </w:p>
    <w:p>
      <w:r>
        <w:t>The broader research question is whether urban green cover is associated with meaningful reductions in PM₂.₅ across Delhi NCR and whether those relationships exhibit spatial heterogeneity or thresholds. The project is designed as a multimodal spatial causal framework. This update covers only the predictive foundation needed before the causal stage.</w:t>
      </w:r>
    </w:p>
    <w:p>
      <w:pPr>
        <w:pStyle w:val="ListBullet"/>
        <w:spacing w:after="40"/>
      </w:pPr>
      <w:r>
        <w:t>Freeze and audit the multimodal V2 station-month panel without altering the original V1 dataset.</w:t>
      </w:r>
    </w:p>
    <w:p>
      <w:pPr>
        <w:pStyle w:val="ListBullet"/>
        <w:spacing w:after="40"/>
      </w:pPr>
      <w:r>
        <w:t>Document the nine CPCB stations present in the hourly master but absent from the ML-ready panel.</w:t>
      </w:r>
    </w:p>
    <w:p>
      <w:pPr>
        <w:pStyle w:val="ListBullet"/>
        <w:spacing w:after="40"/>
      </w:pPr>
      <w:r>
        <w:t>Integrate and validate meteorological, population, road-network and structural land-cover features.</w:t>
      </w:r>
    </w:p>
    <w:p>
      <w:pPr>
        <w:pStyle w:val="ListBullet"/>
        <w:spacing w:after="40"/>
      </w:pPr>
      <w:r>
        <w:t>Compare the split/modeling attempts and diagnose why the first holdout failed as a representative test design.</w:t>
      </w:r>
    </w:p>
    <w:p>
      <w:pPr>
        <w:pStyle w:val="ListBullet"/>
        <w:spacing w:after="40"/>
      </w:pPr>
      <w:r>
        <w:t>Establish a reproducible Year × Month stratified 80:20 holdout and evaluate four baseline regressors.</w:t>
      </w:r>
    </w:p>
    <w:p>
      <w:pPr>
        <w:pStyle w:val="ListBullet"/>
        <w:spacing w:after="40"/>
      </w:pPr>
      <w:r>
        <w:t>Report year-wise, season-wise, spatial-grouped and temporal-grouped diagnostics without conflating their estimands.</w:t>
      </w:r>
    </w:p>
    <w:p>
      <w:r>
        <w:t>This update does not claim a causal effect of vegetation. Feature importance is treated as predictive attribution, not a treatment effect. Likewise, the primary holdout is a within-domain interpolation-style evaluation because the same stations may contribute observations to both train and test. Spatial transferability is assessed separately through grouped validation.</w:t>
      </w:r>
    </w:p>
    <w:p>
      <w:pPr>
        <w:pStyle w:val="Heading1"/>
      </w:pPr>
      <w:r>
        <w:t>2. Data Construction and Station Audit</w:t>
      </w:r>
    </w:p>
    <w:p>
      <w:pPr>
        <w:pStyle w:val="Heading2"/>
      </w:pPr>
      <w:r>
        <w:t>2.1 CPCB source and panel formation</w:t>
      </w:r>
    </w:p>
    <w:p>
      <w:r>
        <w:t>The CPCB hourly master used in the audit contains 1,377,696 hourly records across 44 stations. Duplicate checks reported zero exact duplicate rows, zero duplicate station–Timestamp combinations and zero duplicate station–year–Timestamp combinations. The ML-ready panel subsequently contains 1,615 station-month observations across 35 stations.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vAlign w:val="center"/>
            <w:shd w:fill="243447"/>
          </w:tcPr>
          <w:p>
            <w:pPr>
              <w:jc w:val="center"/>
            </w:pPr>
            <w:r>
              <w:rPr>
                <w:b/>
                <w:color w:val="FFFFFF"/>
                <w:sz w:val="17"/>
              </w:rPr>
            </w:r>
            <w:r>
              <w:rPr>
                <w:b/>
                <w:color w:val="FFFFFF"/>
                <w:sz w:val="17"/>
              </w:rPr>
              <w:t>Stage</w:t>
            </w:r>
          </w:p>
        </w:tc>
        <w:tc>
          <w:tcPr>
            <w:tcW w:type="dxa" w:w="2520"/>
            <w:vAlign w:val="center"/>
            <w:shd w:fill="243447"/>
          </w:tcPr>
          <w:p>
            <w:pPr>
              <w:jc w:val="center"/>
            </w:pPr>
            <w:r>
              <w:rPr>
                <w:b/>
                <w:color w:val="FFFFFF"/>
                <w:sz w:val="17"/>
              </w:rPr>
            </w:r>
            <w:r>
              <w:rPr>
                <w:b/>
                <w:color w:val="FFFFFF"/>
                <w:sz w:val="17"/>
              </w:rPr>
              <w:t>Rows</w:t>
            </w:r>
          </w:p>
        </w:tc>
        <w:tc>
          <w:tcPr>
            <w:tcW w:type="dxa" w:w="2520"/>
            <w:vAlign w:val="center"/>
            <w:shd w:fill="243447"/>
          </w:tcPr>
          <w:p>
            <w:pPr>
              <w:jc w:val="center"/>
            </w:pPr>
            <w:r>
              <w:rPr>
                <w:b/>
                <w:color w:val="FFFFFF"/>
                <w:sz w:val="17"/>
              </w:rPr>
            </w:r>
            <w:r>
              <w:rPr>
                <w:b/>
                <w:color w:val="FFFFFF"/>
                <w:sz w:val="17"/>
              </w:rPr>
              <w:t>Stations</w:t>
            </w:r>
          </w:p>
        </w:tc>
        <w:tc>
          <w:tcPr>
            <w:tcW w:type="dxa" w:w="2520"/>
            <w:vAlign w:val="center"/>
            <w:shd w:fill="243447"/>
          </w:tcPr>
          <w:p>
            <w:pPr>
              <w:jc w:val="center"/>
            </w:pPr>
            <w:r>
              <w:rPr>
                <w:b/>
                <w:color w:val="FFFFFF"/>
                <w:sz w:val="17"/>
              </w:rPr>
            </w:r>
            <w:r>
              <w:rPr>
                <w:b/>
                <w:color w:val="FFFFFF"/>
                <w:sz w:val="17"/>
              </w:rPr>
              <w:t>Interpretation</w:t>
            </w:r>
          </w:p>
        </w:tc>
      </w:tr>
      <w:tr>
        <w:tc>
          <w:tcPr>
            <w:tcW w:type="dxa" w:w="2520"/>
            <w:vAlign w:val="center"/>
          </w:tcPr>
          <w:p>
            <w:pPr>
              <w:jc w:val="center"/>
            </w:pPr>
            <w:r>
              <w:rPr>
                <w:sz w:val="17"/>
              </w:rPr>
            </w:r>
            <w:r>
              <w:rPr>
                <w:b w:val="0"/>
                <w:color w:val="000000"/>
                <w:sz w:val="17"/>
              </w:rPr>
              <w:t>CPCB hourly master</w:t>
            </w:r>
          </w:p>
        </w:tc>
        <w:tc>
          <w:tcPr>
            <w:tcW w:type="dxa" w:w="2520"/>
            <w:vAlign w:val="center"/>
          </w:tcPr>
          <w:p>
            <w:pPr>
              <w:jc w:val="center"/>
            </w:pPr>
            <w:r>
              <w:rPr>
                <w:sz w:val="17"/>
              </w:rPr>
            </w:r>
            <w:r>
              <w:rPr>
                <w:b w:val="0"/>
                <w:color w:val="000000"/>
                <w:sz w:val="17"/>
              </w:rPr>
              <w:t>1,377,696</w:t>
            </w:r>
          </w:p>
        </w:tc>
        <w:tc>
          <w:tcPr>
            <w:tcW w:type="dxa" w:w="2520"/>
            <w:vAlign w:val="center"/>
          </w:tcPr>
          <w:p>
            <w:pPr>
              <w:jc w:val="center"/>
            </w:pPr>
            <w:r>
              <w:rPr>
                <w:sz w:val="17"/>
              </w:rPr>
            </w:r>
            <w:r>
              <w:rPr>
                <w:b w:val="0"/>
                <w:color w:val="000000"/>
                <w:sz w:val="17"/>
              </w:rPr>
              <w:t>44</w:t>
            </w:r>
          </w:p>
        </w:tc>
        <w:tc>
          <w:tcPr>
            <w:tcW w:type="dxa" w:w="2520"/>
            <w:vAlign w:val="center"/>
          </w:tcPr>
          <w:p>
            <w:pPr>
              <w:jc w:val="center"/>
            </w:pPr>
            <w:r>
              <w:rPr>
                <w:sz w:val="17"/>
              </w:rPr>
            </w:r>
            <w:r>
              <w:rPr>
                <w:b w:val="0"/>
                <w:color w:val="000000"/>
                <w:sz w:val="17"/>
              </w:rPr>
              <w:t>Source-level hourly observations after duplicate checks</w:t>
            </w:r>
          </w:p>
        </w:tc>
      </w:tr>
      <w:tr>
        <w:tc>
          <w:tcPr>
            <w:tcW w:type="dxa" w:w="2520"/>
            <w:vAlign w:val="center"/>
          </w:tcPr>
          <w:p>
            <w:pPr>
              <w:jc w:val="center"/>
            </w:pPr>
            <w:r>
              <w:rPr>
                <w:sz w:val="17"/>
              </w:rPr>
            </w:r>
            <w:r>
              <w:rPr>
                <w:b w:val="0"/>
                <w:color w:val="000000"/>
                <w:sz w:val="17"/>
              </w:rPr>
              <w:t>ML-ready V1</w:t>
            </w:r>
          </w:p>
        </w:tc>
        <w:tc>
          <w:tcPr>
            <w:tcW w:type="dxa" w:w="2520"/>
            <w:vAlign w:val="center"/>
          </w:tcPr>
          <w:p>
            <w:pPr>
              <w:jc w:val="center"/>
            </w:pPr>
            <w:r>
              <w:rPr>
                <w:sz w:val="17"/>
              </w:rPr>
            </w:r>
            <w:r>
              <w:rPr>
                <w:b w:val="0"/>
                <w:color w:val="000000"/>
                <w:sz w:val="17"/>
              </w:rPr>
              <w:t>1,615</w:t>
            </w:r>
          </w:p>
        </w:tc>
        <w:tc>
          <w:tcPr>
            <w:tcW w:type="dxa" w:w="2520"/>
            <w:vAlign w:val="center"/>
          </w:tcPr>
          <w:p>
            <w:pPr>
              <w:jc w:val="center"/>
            </w:pPr>
            <w:r>
              <w:rPr>
                <w:sz w:val="17"/>
              </w:rPr>
            </w:r>
            <w:r>
              <w:rPr>
                <w:b w:val="0"/>
                <w:color w:val="000000"/>
                <w:sz w:val="17"/>
              </w:rPr>
              <w:t>35</w:t>
            </w:r>
          </w:p>
        </w:tc>
        <w:tc>
          <w:tcPr>
            <w:tcW w:type="dxa" w:w="2520"/>
            <w:vAlign w:val="center"/>
          </w:tcPr>
          <w:p>
            <w:pPr>
              <w:jc w:val="center"/>
            </w:pPr>
            <w:r>
              <w:rPr>
                <w:sz w:val="17"/>
              </w:rPr>
            </w:r>
            <w:r>
              <w:rPr>
                <w:b w:val="0"/>
                <w:color w:val="000000"/>
                <w:sz w:val="17"/>
              </w:rPr>
              <w:t>Station-month analytical panel used as the base for V2</w:t>
            </w:r>
          </w:p>
        </w:tc>
      </w:tr>
      <w:tr>
        <w:tc>
          <w:tcPr>
            <w:tcW w:type="dxa" w:w="2520"/>
            <w:vAlign w:val="center"/>
          </w:tcPr>
          <w:p>
            <w:pPr>
              <w:jc w:val="center"/>
            </w:pPr>
            <w:r>
              <w:rPr>
                <w:sz w:val="17"/>
              </w:rPr>
            </w:r>
            <w:r>
              <w:rPr>
                <w:b w:val="0"/>
                <w:color w:val="000000"/>
                <w:sz w:val="17"/>
              </w:rPr>
              <w:t>V2 integrated panel</w:t>
            </w:r>
          </w:p>
        </w:tc>
        <w:tc>
          <w:tcPr>
            <w:tcW w:type="dxa" w:w="2520"/>
            <w:vAlign w:val="center"/>
          </w:tcPr>
          <w:p>
            <w:pPr>
              <w:jc w:val="center"/>
            </w:pPr>
            <w:r>
              <w:rPr>
                <w:sz w:val="17"/>
              </w:rPr>
            </w:r>
            <w:r>
              <w:rPr>
                <w:b w:val="0"/>
                <w:color w:val="000000"/>
                <w:sz w:val="17"/>
              </w:rPr>
              <w:t>1,615</w:t>
            </w:r>
          </w:p>
        </w:tc>
        <w:tc>
          <w:tcPr>
            <w:tcW w:type="dxa" w:w="2520"/>
            <w:vAlign w:val="center"/>
          </w:tcPr>
          <w:p>
            <w:pPr>
              <w:jc w:val="center"/>
            </w:pPr>
            <w:r>
              <w:rPr>
                <w:sz w:val="17"/>
              </w:rPr>
            </w:r>
            <w:r>
              <w:rPr>
                <w:b w:val="0"/>
                <w:color w:val="000000"/>
                <w:sz w:val="17"/>
              </w:rPr>
              <w:t>35</w:t>
            </w:r>
          </w:p>
        </w:tc>
        <w:tc>
          <w:tcPr>
            <w:tcW w:type="dxa" w:w="2520"/>
            <w:vAlign w:val="center"/>
          </w:tcPr>
          <w:p>
            <w:pPr>
              <w:jc w:val="center"/>
            </w:pPr>
            <w:r>
              <w:rPr>
                <w:sz w:val="17"/>
              </w:rPr>
            </w:r>
            <w:r>
              <w:rPr>
                <w:b w:val="0"/>
                <w:color w:val="000000"/>
                <w:sz w:val="17"/>
              </w:rPr>
              <w:t>V1 plus multimodal environmental and urban covariates</w:t>
            </w:r>
          </w:p>
        </w:tc>
      </w:tr>
    </w:tbl>
    <w:p/>
    <w:p>
      <w:pPr>
        <w:jc w:val="center"/>
      </w:pPr>
      <w:r>
        <w:rPr>
          <w:i/>
        </w:rPr>
        <w:t>[Data-volume transition figure would be inserted here when present in reports/figures/modeling/]</w:t>
      </w:r>
    </w:p>
    <w:p>
      <w:pPr>
        <w:spacing w:before="40" w:after="180"/>
        <w:jc w:val="center"/>
      </w:pPr>
      <w:r>
        <w:rPr>
          <w:i/>
          <w:color w:val="5A5A5A"/>
          <w:sz w:val="18"/>
        </w:rPr>
        <w:t>Figure 1. Data-volume transition from the hourly CPCB source to the final station-month analytical panel. (figure not found at generation time)</w:t>
      </w:r>
    </w:p>
    <w:p>
      <w:pPr>
        <w:pStyle w:val="Heading2"/>
      </w:pPr>
      <w:r>
        <w:t>2.2 Stations excluded before final ML-ready panel</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243447"/>
          </w:tcPr>
          <w:p>
            <w:pPr>
              <w:jc w:val="center"/>
            </w:pPr>
            <w:r>
              <w:rPr>
                <w:b/>
                <w:color w:val="FFFFFF"/>
                <w:sz w:val="17"/>
              </w:rPr>
            </w:r>
            <w:r>
              <w:rPr>
                <w:b/>
                <w:color w:val="FFFFFF"/>
                <w:sz w:val="17"/>
              </w:rPr>
              <w:t>Category</w:t>
            </w:r>
          </w:p>
        </w:tc>
        <w:tc>
          <w:tcPr>
            <w:tcW w:type="dxa" w:w="3360"/>
            <w:vAlign w:val="center"/>
            <w:shd w:fill="243447"/>
          </w:tcPr>
          <w:p>
            <w:pPr>
              <w:jc w:val="center"/>
            </w:pPr>
            <w:r>
              <w:rPr>
                <w:b/>
                <w:color w:val="FFFFFF"/>
                <w:sz w:val="17"/>
              </w:rPr>
            </w:r>
            <w:r>
              <w:rPr>
                <w:b/>
                <w:color w:val="FFFFFF"/>
                <w:sz w:val="17"/>
              </w:rPr>
              <w:t>Stations</w:t>
            </w:r>
          </w:p>
        </w:tc>
        <w:tc>
          <w:tcPr>
            <w:tcW w:type="dxa" w:w="3360"/>
            <w:vAlign w:val="center"/>
            <w:shd w:fill="243447"/>
          </w:tcPr>
          <w:p>
            <w:pPr>
              <w:jc w:val="center"/>
            </w:pPr>
            <w:r>
              <w:rPr>
                <w:b/>
                <w:color w:val="FFFFFF"/>
                <w:sz w:val="17"/>
              </w:rPr>
            </w:r>
            <w:r>
              <w:rPr>
                <w:b/>
                <w:color w:val="FFFFFF"/>
                <w:sz w:val="17"/>
              </w:rPr>
              <w:t>Decision</w:t>
            </w:r>
          </w:p>
        </w:tc>
      </w:tr>
      <w:tr>
        <w:tc>
          <w:tcPr>
            <w:tcW w:type="dxa" w:w="3360"/>
            <w:vAlign w:val="center"/>
          </w:tcPr>
          <w:p>
            <w:pPr>
              <w:jc w:val="center"/>
            </w:pPr>
            <w:r>
              <w:rPr>
                <w:sz w:val="17"/>
              </w:rPr>
            </w:r>
            <w:r>
              <w:rPr>
                <w:b w:val="0"/>
                <w:color w:val="000000"/>
                <w:sz w:val="17"/>
              </w:rPr>
              <w:t>Strong CPCB coverage; candidate recovery</w:t>
            </w:r>
          </w:p>
        </w:tc>
        <w:tc>
          <w:tcPr>
            <w:tcW w:type="dxa" w:w="3360"/>
            <w:vAlign w:val="center"/>
          </w:tcPr>
          <w:p>
            <w:pPr>
              <w:jc w:val="center"/>
            </w:pPr>
            <w:r>
              <w:rPr>
                <w:sz w:val="17"/>
              </w:rPr>
            </w:r>
            <w:r>
              <w:rPr>
                <w:b w:val="0"/>
                <w:color w:val="000000"/>
                <w:sz w:val="17"/>
              </w:rPr>
              <w:t>CPRI_Mathura_Road; NSIT_Dwarka; Pusa</w:t>
            </w:r>
          </w:p>
        </w:tc>
        <w:tc>
          <w:tcPr>
            <w:tcW w:type="dxa" w:w="3360"/>
            <w:vAlign w:val="center"/>
          </w:tcPr>
          <w:p>
            <w:pPr>
              <w:jc w:val="center"/>
            </w:pPr>
            <w:r>
              <w:rPr>
                <w:sz w:val="17"/>
              </w:rPr>
            </w:r>
            <w:r>
              <w:rPr>
                <w:b w:val="0"/>
                <w:color w:val="000000"/>
                <w:sz w:val="17"/>
              </w:rPr>
              <w:t>Investigate only if the complete Sentinel-2 / Sentinel-5P / MODIS stack can be regenerated using the same methodology.</w:t>
            </w:r>
          </w:p>
        </w:tc>
      </w:tr>
      <w:tr>
        <w:tc>
          <w:tcPr>
            <w:tcW w:type="dxa" w:w="3360"/>
            <w:vAlign w:val="center"/>
          </w:tcPr>
          <w:p>
            <w:pPr>
              <w:jc w:val="center"/>
            </w:pPr>
            <w:r>
              <w:rPr>
                <w:sz w:val="17"/>
              </w:rPr>
            </w:r>
            <w:r>
              <w:rPr>
                <w:b w:val="0"/>
                <w:color w:val="000000"/>
                <w:sz w:val="17"/>
              </w:rPr>
              <w:t>Weak/irregular coverage</w:t>
            </w:r>
          </w:p>
        </w:tc>
        <w:tc>
          <w:tcPr>
            <w:tcW w:type="dxa" w:w="3360"/>
            <w:vAlign w:val="center"/>
          </w:tcPr>
          <w:p>
            <w:pPr>
              <w:jc w:val="center"/>
            </w:pPr>
            <w:r>
              <w:rPr>
                <w:sz w:val="17"/>
              </w:rPr>
            </w:r>
            <w:r>
              <w:rPr>
                <w:b w:val="0"/>
                <w:color w:val="000000"/>
                <w:sz w:val="17"/>
              </w:rPr>
              <w:t>Lodhi_Road</w:t>
            </w:r>
          </w:p>
        </w:tc>
        <w:tc>
          <w:tcPr>
            <w:tcW w:type="dxa" w:w="3360"/>
            <w:vAlign w:val="center"/>
          </w:tcPr>
          <w:p>
            <w:pPr>
              <w:jc w:val="center"/>
            </w:pPr>
            <w:r>
              <w:rPr>
                <w:sz w:val="17"/>
              </w:rPr>
            </w:r>
            <w:r>
              <w:rPr>
                <w:b w:val="0"/>
                <w:color w:val="000000"/>
                <w:sz w:val="17"/>
              </w:rPr>
              <w:t>Exclude from primary V2; possible future sensitivity analysis under an explicit quality rule.</w:t>
            </w:r>
          </w:p>
        </w:tc>
      </w:tr>
      <w:tr>
        <w:tc>
          <w:tcPr>
            <w:tcW w:type="dxa" w:w="3360"/>
            <w:vAlign w:val="center"/>
          </w:tcPr>
          <w:p>
            <w:pPr>
              <w:jc w:val="center"/>
            </w:pPr>
            <w:r>
              <w:rPr>
                <w:sz w:val="17"/>
              </w:rPr>
            </w:r>
            <w:r>
              <w:rPr>
                <w:b w:val="0"/>
                <w:color w:val="000000"/>
                <w:sz w:val="17"/>
              </w:rPr>
              <w:t>No usable PM₂.₅ outcome</w:t>
            </w:r>
          </w:p>
        </w:tc>
        <w:tc>
          <w:tcPr>
            <w:tcW w:type="dxa" w:w="3360"/>
            <w:vAlign w:val="center"/>
          </w:tcPr>
          <w:p>
            <w:pPr>
              <w:jc w:val="center"/>
            </w:pPr>
            <w:r>
              <w:rPr>
                <w:sz w:val="17"/>
              </w:rPr>
            </w:r>
            <w:r>
              <w:rPr>
                <w:b w:val="0"/>
                <w:color w:val="000000"/>
                <w:sz w:val="17"/>
              </w:rPr>
              <w:t>Commonwealth_Sports_Complex; IGNOU_Maidan_Garhi; JNU; NSUT_Jaffarpur; Talkatora_Garden</w:t>
            </w:r>
          </w:p>
        </w:tc>
        <w:tc>
          <w:tcPr>
            <w:tcW w:type="dxa" w:w="3360"/>
            <w:vAlign w:val="center"/>
          </w:tcPr>
          <w:p>
            <w:pPr>
              <w:jc w:val="center"/>
            </w:pPr>
            <w:r>
              <w:rPr>
                <w:sz w:val="17"/>
              </w:rPr>
            </w:r>
            <w:r>
              <w:rPr>
                <w:b w:val="0"/>
                <w:color w:val="000000"/>
                <w:sz w:val="17"/>
              </w:rPr>
              <w:t>Exclude. The audited 2025 records had zero valid PM₂.₅.</w:t>
            </w:r>
          </w:p>
        </w:tc>
      </w:tr>
    </w:tbl>
    <w:p/>
    <w:p>
      <w:r>
        <w:t>The conservative choice was to keep the existing 35-station panel rather than expand it midstream. This preserves methodological consistency and avoids introducing station-specific feature-generation decisions after the satellite/urban feature architecture was already frozen. The three stations with strong CPCB coverage remain candidates for later recovery, but were not retroactively inserted into V2.</w:t>
      </w:r>
    </w:p>
    <w:p>
      <w:pPr>
        <w:pStyle w:val="Heading2"/>
      </w:pPr>
      <w:r>
        <w:t>2.3 IIT Delhi singleton</w:t>
      </w:r>
    </w:p>
    <w:p>
      <w:r>
        <w:t>IIT_Delhi contributes one valid station-month observation (2025-12) in the current V2 panel. It was retained because V2 was frozen, but assigned train-only in the primary split because a single observation cannot be meaningfully partitioned between training and testing. It is not used as an independent test location and should not drive claims of station-level generalization.</w:t>
      </w:r>
    </w:p>
    <w:p>
      <w:pPr>
        <w:pStyle w:val="Heading1"/>
      </w:pPr>
      <w:r>
        <w:t>3. Multimodal Feature Integration</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vAlign w:val="center"/>
            <w:shd w:fill="243447"/>
          </w:tcPr>
          <w:p>
            <w:pPr>
              <w:jc w:val="center"/>
            </w:pPr>
            <w:r>
              <w:rPr>
                <w:b/>
                <w:color w:val="FFFFFF"/>
                <w:sz w:val="17"/>
              </w:rPr>
            </w:r>
            <w:r>
              <w:rPr>
                <w:b/>
                <w:color w:val="FFFFFF"/>
                <w:sz w:val="17"/>
              </w:rPr>
              <w:t>Feature layer</w:t>
            </w:r>
          </w:p>
        </w:tc>
        <w:tc>
          <w:tcPr>
            <w:tcW w:type="dxa" w:w="2520"/>
            <w:vAlign w:val="center"/>
            <w:shd w:fill="243447"/>
          </w:tcPr>
          <w:p>
            <w:pPr>
              <w:jc w:val="center"/>
            </w:pPr>
            <w:r>
              <w:rPr>
                <w:b/>
                <w:color w:val="FFFFFF"/>
                <w:sz w:val="17"/>
              </w:rPr>
            </w:r>
            <w:r>
              <w:rPr>
                <w:b/>
                <w:color w:val="FFFFFF"/>
                <w:sz w:val="17"/>
              </w:rPr>
              <w:t>Source / method</w:t>
            </w:r>
          </w:p>
        </w:tc>
        <w:tc>
          <w:tcPr>
            <w:tcW w:type="dxa" w:w="2520"/>
            <w:vAlign w:val="center"/>
            <w:shd w:fill="243447"/>
          </w:tcPr>
          <w:p>
            <w:pPr>
              <w:jc w:val="center"/>
            </w:pPr>
            <w:r>
              <w:rPr>
                <w:b/>
                <w:color w:val="FFFFFF"/>
                <w:sz w:val="17"/>
              </w:rPr>
            </w:r>
            <w:r>
              <w:rPr>
                <w:b/>
                <w:color w:val="FFFFFF"/>
                <w:sz w:val="17"/>
              </w:rPr>
              <w:t>Role in V2</w:t>
            </w:r>
          </w:p>
        </w:tc>
        <w:tc>
          <w:tcPr>
            <w:tcW w:type="dxa" w:w="2520"/>
            <w:vAlign w:val="center"/>
            <w:shd w:fill="243447"/>
          </w:tcPr>
          <w:p>
            <w:pPr>
              <w:jc w:val="center"/>
            </w:pPr>
            <w:r>
              <w:rPr>
                <w:b/>
                <w:color w:val="FFFFFF"/>
                <w:sz w:val="17"/>
              </w:rPr>
            </w:r>
            <w:r>
              <w:rPr>
                <w:b/>
                <w:color w:val="FFFFFF"/>
                <w:sz w:val="17"/>
              </w:rPr>
              <w:t>Key limitation</w:t>
            </w:r>
          </w:p>
        </w:tc>
      </w:tr>
      <w:tr>
        <w:tc>
          <w:tcPr>
            <w:tcW w:type="dxa" w:w="2520"/>
            <w:vAlign w:val="center"/>
          </w:tcPr>
          <w:p>
            <w:pPr>
              <w:jc w:val="center"/>
            </w:pPr>
            <w:r>
              <w:rPr>
                <w:sz w:val="17"/>
              </w:rPr>
            </w:r>
            <w:r>
              <w:rPr>
                <w:b w:val="0"/>
                <w:color w:val="000000"/>
                <w:sz w:val="17"/>
              </w:rPr>
              <w:t>Vegetation / optical</w:t>
            </w:r>
          </w:p>
        </w:tc>
        <w:tc>
          <w:tcPr>
            <w:tcW w:type="dxa" w:w="2520"/>
            <w:vAlign w:val="center"/>
          </w:tcPr>
          <w:p>
            <w:pPr>
              <w:jc w:val="center"/>
            </w:pPr>
            <w:r>
              <w:rPr>
                <w:sz w:val="17"/>
              </w:rPr>
            </w:r>
            <w:r>
              <w:rPr>
                <w:b w:val="0"/>
                <w:color w:val="000000"/>
                <w:sz w:val="17"/>
              </w:rPr>
              <w:t>Sentinel-2 indices and multi-scale summaries</w:t>
            </w:r>
          </w:p>
        </w:tc>
        <w:tc>
          <w:tcPr>
            <w:tcW w:type="dxa" w:w="2520"/>
            <w:vAlign w:val="center"/>
          </w:tcPr>
          <w:p>
            <w:pPr>
              <w:jc w:val="center"/>
            </w:pPr>
            <w:r>
              <w:rPr>
                <w:sz w:val="17"/>
              </w:rPr>
            </w:r>
            <w:r>
              <w:rPr>
                <w:b w:val="0"/>
                <w:color w:val="000000"/>
                <w:sz w:val="17"/>
              </w:rPr>
              <w:t>Dynamic vegetation / surface-condition observations</w:t>
            </w:r>
          </w:p>
        </w:tc>
        <w:tc>
          <w:tcPr>
            <w:tcW w:type="dxa" w:w="2520"/>
            <w:vAlign w:val="center"/>
          </w:tcPr>
          <w:p>
            <w:pPr>
              <w:jc w:val="center"/>
            </w:pPr>
            <w:r>
              <w:rPr>
                <w:sz w:val="17"/>
              </w:rPr>
            </w:r>
            <w:r>
              <w:rPr>
                <w:b w:val="0"/>
                <w:color w:val="000000"/>
                <w:sz w:val="17"/>
              </w:rPr>
              <w:t>Dependent on valid observations and cloud filtering</w:t>
            </w:r>
          </w:p>
        </w:tc>
      </w:tr>
      <w:tr>
        <w:tc>
          <w:tcPr>
            <w:tcW w:type="dxa" w:w="2520"/>
            <w:vAlign w:val="center"/>
          </w:tcPr>
          <w:p>
            <w:pPr>
              <w:jc w:val="center"/>
            </w:pPr>
            <w:r>
              <w:rPr>
                <w:sz w:val="17"/>
              </w:rPr>
            </w:r>
            <w:r>
              <w:rPr>
                <w:b w:val="0"/>
                <w:color w:val="000000"/>
                <w:sz w:val="17"/>
              </w:rPr>
              <w:t>Atmospheric composition proxy</w:t>
            </w:r>
          </w:p>
        </w:tc>
        <w:tc>
          <w:tcPr>
            <w:tcW w:type="dxa" w:w="2520"/>
            <w:vAlign w:val="center"/>
          </w:tcPr>
          <w:p>
            <w:pPr>
              <w:jc w:val="center"/>
            </w:pPr>
            <w:r>
              <w:rPr>
                <w:sz w:val="17"/>
              </w:rPr>
            </w:r>
            <w:r>
              <w:rPr>
                <w:b w:val="0"/>
                <w:color w:val="000000"/>
                <w:sz w:val="17"/>
              </w:rPr>
              <w:t>Sentinel-5P NO₂</w:t>
            </w:r>
          </w:p>
        </w:tc>
        <w:tc>
          <w:tcPr>
            <w:tcW w:type="dxa" w:w="2520"/>
            <w:vAlign w:val="center"/>
          </w:tcPr>
          <w:p>
            <w:pPr>
              <w:jc w:val="center"/>
            </w:pPr>
            <w:r>
              <w:rPr>
                <w:sz w:val="17"/>
              </w:rPr>
            </w:r>
            <w:r>
              <w:rPr>
                <w:b w:val="0"/>
                <w:color w:val="000000"/>
                <w:sz w:val="17"/>
              </w:rPr>
              <w:t>Anthropogenic atmospheric context</w:t>
            </w:r>
          </w:p>
        </w:tc>
        <w:tc>
          <w:tcPr>
            <w:tcW w:type="dxa" w:w="2520"/>
            <w:vAlign w:val="center"/>
          </w:tcPr>
          <w:p>
            <w:pPr>
              <w:jc w:val="center"/>
            </w:pPr>
            <w:r>
              <w:rPr>
                <w:sz w:val="17"/>
              </w:rPr>
            </w:r>
            <w:r>
              <w:rPr>
                <w:b w:val="0"/>
                <w:color w:val="000000"/>
                <w:sz w:val="17"/>
              </w:rPr>
              <w:t>NO₂ is a proxy for source activity, not a direct PM₂.₅ measurement</w:t>
            </w:r>
          </w:p>
        </w:tc>
      </w:tr>
      <w:tr>
        <w:tc>
          <w:tcPr>
            <w:tcW w:type="dxa" w:w="2520"/>
            <w:vAlign w:val="center"/>
          </w:tcPr>
          <w:p>
            <w:pPr>
              <w:jc w:val="center"/>
            </w:pPr>
            <w:r>
              <w:rPr>
                <w:sz w:val="17"/>
              </w:rPr>
            </w:r>
            <w:r>
              <w:rPr>
                <w:b w:val="0"/>
                <w:color w:val="000000"/>
                <w:sz w:val="17"/>
              </w:rPr>
              <w:t>MODIS summaries</w:t>
            </w:r>
          </w:p>
        </w:tc>
        <w:tc>
          <w:tcPr>
            <w:tcW w:type="dxa" w:w="2520"/>
            <w:vAlign w:val="center"/>
          </w:tcPr>
          <w:p>
            <w:pPr>
              <w:jc w:val="center"/>
            </w:pPr>
            <w:r>
              <w:rPr>
                <w:sz w:val="17"/>
              </w:rPr>
            </w:r>
            <w:r>
              <w:rPr>
                <w:b w:val="0"/>
                <w:color w:val="000000"/>
                <w:sz w:val="17"/>
              </w:rPr>
              <w:t>MODIS NDVI, EVI and LST</w:t>
            </w:r>
          </w:p>
        </w:tc>
        <w:tc>
          <w:tcPr>
            <w:tcW w:type="dxa" w:w="2520"/>
            <w:vAlign w:val="center"/>
          </w:tcPr>
          <w:p>
            <w:pPr>
              <w:jc w:val="center"/>
            </w:pPr>
            <w:r>
              <w:rPr>
                <w:sz w:val="17"/>
              </w:rPr>
            </w:r>
            <w:r>
              <w:rPr>
                <w:b w:val="0"/>
                <w:color w:val="000000"/>
                <w:sz w:val="17"/>
              </w:rPr>
              <w:t>Multi-scale vegetation and thermal context</w:t>
            </w:r>
          </w:p>
        </w:tc>
        <w:tc>
          <w:tcPr>
            <w:tcW w:type="dxa" w:w="2520"/>
            <w:vAlign w:val="center"/>
          </w:tcPr>
          <w:p>
            <w:pPr>
              <w:jc w:val="center"/>
            </w:pPr>
            <w:r>
              <w:rPr>
                <w:sz w:val="17"/>
              </w:rPr>
            </w:r>
            <w:r>
              <w:rPr>
                <w:b w:val="0"/>
                <w:color w:val="000000"/>
                <w:sz w:val="17"/>
              </w:rPr>
              <w:t>Coarser spatial scale than Sentinel-2</w:t>
            </w:r>
          </w:p>
        </w:tc>
      </w:tr>
      <w:tr>
        <w:tc>
          <w:tcPr>
            <w:tcW w:type="dxa" w:w="2520"/>
            <w:vAlign w:val="center"/>
          </w:tcPr>
          <w:p>
            <w:pPr>
              <w:jc w:val="center"/>
            </w:pPr>
            <w:r>
              <w:rPr>
                <w:sz w:val="17"/>
              </w:rPr>
            </w:r>
            <w:r>
              <w:rPr>
                <w:b w:val="0"/>
                <w:color w:val="000000"/>
                <w:sz w:val="17"/>
              </w:rPr>
              <w:t>Meteorology</w:t>
            </w:r>
          </w:p>
        </w:tc>
        <w:tc>
          <w:tcPr>
            <w:tcW w:type="dxa" w:w="2520"/>
            <w:vAlign w:val="center"/>
          </w:tcPr>
          <w:p>
            <w:pPr>
              <w:jc w:val="center"/>
            </w:pPr>
            <w:r>
              <w:rPr>
                <w:sz w:val="17"/>
              </w:rPr>
            </w:r>
            <w:r>
              <w:rPr>
                <w:b w:val="0"/>
                <w:color w:val="000000"/>
                <w:sz w:val="17"/>
              </w:rPr>
              <w:t>ERA5-Land + ERA5 boundary-layer height</w:t>
            </w:r>
          </w:p>
        </w:tc>
        <w:tc>
          <w:tcPr>
            <w:tcW w:type="dxa" w:w="2520"/>
            <w:vAlign w:val="center"/>
          </w:tcPr>
          <w:p>
            <w:pPr>
              <w:jc w:val="center"/>
            </w:pPr>
            <w:r>
              <w:rPr>
                <w:sz w:val="17"/>
              </w:rPr>
            </w:r>
            <w:r>
              <w:rPr>
                <w:b w:val="0"/>
                <w:color w:val="000000"/>
                <w:sz w:val="17"/>
              </w:rPr>
              <w:t>Short-term physical drivers of PM₂.₅</w:t>
            </w:r>
          </w:p>
        </w:tc>
        <w:tc>
          <w:tcPr>
            <w:tcW w:type="dxa" w:w="2520"/>
            <w:vAlign w:val="center"/>
          </w:tcPr>
          <w:p>
            <w:pPr>
              <w:jc w:val="center"/>
            </w:pPr>
            <w:r>
              <w:rPr>
                <w:sz w:val="17"/>
              </w:rPr>
            </w:r>
            <w:r>
              <w:rPr>
                <w:b w:val="0"/>
                <w:color w:val="000000"/>
                <w:sz w:val="17"/>
              </w:rPr>
              <w:t>Reanalysis rather than local station observations</w:t>
            </w:r>
          </w:p>
        </w:tc>
      </w:tr>
      <w:tr>
        <w:tc>
          <w:tcPr>
            <w:tcW w:type="dxa" w:w="2520"/>
            <w:vAlign w:val="center"/>
          </w:tcPr>
          <w:p>
            <w:pPr>
              <w:jc w:val="center"/>
            </w:pPr>
            <w:r>
              <w:rPr>
                <w:sz w:val="17"/>
              </w:rPr>
            </w:r>
            <w:r>
              <w:rPr>
                <w:b w:val="0"/>
                <w:color w:val="000000"/>
                <w:sz w:val="17"/>
              </w:rPr>
              <w:t>Population</w:t>
            </w:r>
          </w:p>
        </w:tc>
        <w:tc>
          <w:tcPr>
            <w:tcW w:type="dxa" w:w="2520"/>
            <w:vAlign w:val="center"/>
          </w:tcPr>
          <w:p>
            <w:pPr>
              <w:jc w:val="center"/>
            </w:pPr>
            <w:r>
              <w:rPr>
                <w:sz w:val="17"/>
              </w:rPr>
            </w:r>
            <w:r>
              <w:rPr>
                <w:b w:val="0"/>
                <w:color w:val="000000"/>
                <w:sz w:val="17"/>
              </w:rPr>
              <w:t>WorldPop density summaries</w:t>
            </w:r>
          </w:p>
        </w:tc>
        <w:tc>
          <w:tcPr>
            <w:tcW w:type="dxa" w:w="2520"/>
            <w:vAlign w:val="center"/>
          </w:tcPr>
          <w:p>
            <w:pPr>
              <w:jc w:val="center"/>
            </w:pPr>
            <w:r>
              <w:rPr>
                <w:sz w:val="17"/>
              </w:rPr>
            </w:r>
            <w:r>
              <w:rPr>
                <w:b w:val="0"/>
                <w:color w:val="000000"/>
                <w:sz w:val="17"/>
              </w:rPr>
              <w:t>Urban intensity / exposure context</w:t>
            </w:r>
          </w:p>
        </w:tc>
        <w:tc>
          <w:tcPr>
            <w:tcW w:type="dxa" w:w="2520"/>
            <w:vAlign w:val="center"/>
          </w:tcPr>
          <w:p>
            <w:pPr>
              <w:jc w:val="center"/>
            </w:pPr>
            <w:r>
              <w:rPr>
                <w:sz w:val="17"/>
              </w:rPr>
            </w:r>
            <w:r>
              <w:rPr>
                <w:b w:val="0"/>
                <w:color w:val="000000"/>
                <w:sz w:val="17"/>
              </w:rPr>
              <w:t>Static population representation in the extracted panel</w:t>
            </w:r>
          </w:p>
        </w:tc>
      </w:tr>
      <w:tr>
        <w:tc>
          <w:tcPr>
            <w:tcW w:type="dxa" w:w="2520"/>
            <w:vAlign w:val="center"/>
          </w:tcPr>
          <w:p>
            <w:pPr>
              <w:jc w:val="center"/>
            </w:pPr>
            <w:r>
              <w:rPr>
                <w:sz w:val="17"/>
              </w:rPr>
            </w:r>
            <w:r>
              <w:rPr>
                <w:b w:val="0"/>
                <w:color w:val="000000"/>
                <w:sz w:val="17"/>
              </w:rPr>
              <w:t>Road infrastructure</w:t>
            </w:r>
          </w:p>
        </w:tc>
        <w:tc>
          <w:tcPr>
            <w:tcW w:type="dxa" w:w="2520"/>
            <w:vAlign w:val="center"/>
          </w:tcPr>
          <w:p>
            <w:pPr>
              <w:jc w:val="center"/>
            </w:pPr>
            <w:r>
              <w:rPr>
                <w:sz w:val="17"/>
              </w:rPr>
            </w:r>
            <w:r>
              <w:rPr>
                <w:b w:val="0"/>
                <w:color w:val="000000"/>
                <w:sz w:val="17"/>
              </w:rPr>
              <w:t>OSM density at 100/250/500/1000 m + major-road density</w:t>
            </w:r>
          </w:p>
        </w:tc>
        <w:tc>
          <w:tcPr>
            <w:tcW w:type="dxa" w:w="2520"/>
            <w:vAlign w:val="center"/>
          </w:tcPr>
          <w:p>
            <w:pPr>
              <w:jc w:val="center"/>
            </w:pPr>
            <w:r>
              <w:rPr>
                <w:sz w:val="17"/>
              </w:rPr>
            </w:r>
            <w:r>
              <w:rPr>
                <w:b w:val="0"/>
                <w:color w:val="000000"/>
                <w:sz w:val="17"/>
              </w:rPr>
              <w:t>Structural transport intensity</w:t>
            </w:r>
          </w:p>
        </w:tc>
        <w:tc>
          <w:tcPr>
            <w:tcW w:type="dxa" w:w="2520"/>
            <w:vAlign w:val="center"/>
          </w:tcPr>
          <w:p>
            <w:pPr>
              <w:jc w:val="center"/>
            </w:pPr>
            <w:r>
              <w:rPr>
                <w:sz w:val="17"/>
              </w:rPr>
            </w:r>
            <w:r>
              <w:rPr>
                <w:b w:val="0"/>
                <w:color w:val="000000"/>
                <w:sz w:val="17"/>
              </w:rPr>
              <w:t>January 2025 snapshot used as a static infrastructure proxy</w:t>
            </w:r>
          </w:p>
        </w:tc>
      </w:tr>
      <w:tr>
        <w:tc>
          <w:tcPr>
            <w:tcW w:type="dxa" w:w="2520"/>
            <w:vAlign w:val="center"/>
          </w:tcPr>
          <w:p>
            <w:pPr>
              <w:jc w:val="center"/>
            </w:pPr>
            <w:r>
              <w:rPr>
                <w:sz w:val="17"/>
              </w:rPr>
            </w:r>
            <w:r>
              <w:rPr>
                <w:b w:val="0"/>
                <w:color w:val="000000"/>
                <w:sz w:val="17"/>
              </w:rPr>
              <w:t>Structural land cover</w:t>
            </w:r>
          </w:p>
        </w:tc>
        <w:tc>
          <w:tcPr>
            <w:tcW w:type="dxa" w:w="2520"/>
            <w:vAlign w:val="center"/>
          </w:tcPr>
          <w:p>
            <w:pPr>
              <w:jc w:val="center"/>
            </w:pPr>
            <w:r>
              <w:rPr>
                <w:sz w:val="17"/>
              </w:rPr>
            </w:r>
            <w:r>
              <w:rPr>
                <w:b w:val="0"/>
                <w:color w:val="000000"/>
                <w:sz w:val="17"/>
              </w:rPr>
              <w:t>ESA WorldCover 2021 fractional composition</w:t>
            </w:r>
          </w:p>
        </w:tc>
        <w:tc>
          <w:tcPr>
            <w:tcW w:type="dxa" w:w="2520"/>
            <w:vAlign w:val="center"/>
          </w:tcPr>
          <w:p>
            <w:pPr>
              <w:jc w:val="center"/>
            </w:pPr>
            <w:r>
              <w:rPr>
                <w:sz w:val="17"/>
              </w:rPr>
            </w:r>
            <w:r>
              <w:rPr>
                <w:b w:val="0"/>
                <w:color w:val="000000"/>
                <w:sz w:val="17"/>
              </w:rPr>
              <w:t>Pre-study contextual land-use baseline</w:t>
            </w:r>
          </w:p>
        </w:tc>
        <w:tc>
          <w:tcPr>
            <w:tcW w:type="dxa" w:w="2520"/>
            <w:vAlign w:val="center"/>
          </w:tcPr>
          <w:p>
            <w:pPr>
              <w:jc w:val="center"/>
            </w:pPr>
            <w:r>
              <w:rPr>
                <w:sz w:val="17"/>
              </w:rPr>
            </w:r>
            <w:r>
              <w:rPr>
                <w:b w:val="0"/>
                <w:color w:val="000000"/>
                <w:sz w:val="17"/>
              </w:rPr>
              <w:t>Does not represent 2022–2025 land-cover change</w:t>
            </w:r>
          </w:p>
        </w:tc>
      </w:tr>
    </w:tbl>
    <w:p/>
    <w:p>
      <w:pPr>
        <w:pStyle w:val="Heading2"/>
      </w:pPr>
      <w:r>
        <w:t>3.1 OpenStreetMap audit</w:t>
      </w:r>
    </w:p>
    <w:p>
      <w:r>
        <w:t>The OSM extraction was technically successful after moving away from station-by-station Overpass queries to a local PBF workflow using PyOsmium. The validated feature table contains 1,615 rows, 35 stations, zero missing feature values and zero duplicate station-month keys. The extraction reported 1,600,339 highway geometries and 58,713 major-road geometries, with metric calculations performed in EPSG:32643.</w:t>
      </w:r>
    </w:p>
    <w:p>
      <w:r>
        <w:t>The main limitation is interpretive rather than computational: the road layer is a January 2025 OSM snapshot applied across a 2022–2025 panel. It should therefore be described as a static structural infrastructure proxy, not as year-specific traffic intensity.</w:t>
      </w:r>
    </w:p>
    <w:p>
      <w:pPr>
        <w:jc w:val="center"/>
      </w:pPr>
      <w:r>
        <w:rPr>
          <w:i/>
        </w:rPr>
        <w:t>[Feature-group contribution figure would be inserted here when present in reports/figures/modeling/]</w:t>
      </w:r>
    </w:p>
    <w:p>
      <w:pPr>
        <w:spacing w:before="40" w:after="180"/>
        <w:jc w:val="center"/>
      </w:pPr>
      <w:r>
        <w:rPr>
          <w:i/>
          <w:color w:val="5A5A5A"/>
          <w:sz w:val="18"/>
        </w:rPr>
        <w:t>Figure 2. Feature-group contribution reported by the modeling workflow. These values are predictive importance shares, not causal effects. (figure not found at generation time)</w:t>
      </w:r>
    </w:p>
    <w:p>
      <w:pPr>
        <w:pStyle w:val="Heading2"/>
      </w:pPr>
      <w:r>
        <w:t>3.2 WorldCover static baseline</w:t>
      </w:r>
    </w:p>
    <w:p>
      <w:r>
        <w:t>ESA WorldCover v200 (2021) was incorporated as a categorical land-cover baseline using class fractions rather than arithmetic raster averages. The extracted features were fractional composition measures such as built, grass, cropland and water within the specified buffers. Validation reported 1,615 rows, 35 stations and no missing values.</w:t>
      </w:r>
    </w:p>
    <w:p>
      <w:r>
        <w:t>The scientific rationale for using a 2021 static map is that it represents a pre-study structural context rather than a time-varying vegetation exposure. This is useful when the later causal design must distinguish background land-use structure from the dynamic green-cover treatment.</w:t>
      </w:r>
    </w:p>
    <w:p>
      <w:r>
        <w:t>The limitation is explicit: land-cover changes after 2021 are not represented.</w:t>
      </w:r>
    </w:p>
    <w:p>
      <w:pPr>
        <w:pStyle w:val="Heading1"/>
      </w:pPr>
      <w:r>
        <w:t>4. Split Design: Three Attempts and Why the First Two Were Reconsidered</w:t>
      </w:r>
    </w:p>
    <w:p>
      <w:pPr>
        <w:pStyle w:val="Heading2"/>
      </w:pPr>
      <w:r>
        <w:t>4.1 Attempt 1 — initial holdout</w:t>
      </w:r>
    </w:p>
    <w:p>
      <w:r>
        <w:t>The first modeling split produced 1,344 training observations and 271 test observations. Although several hard integrity checks passed, the test set was heavily concentrated in October and November. The test set contained 261 post-monsoon observations and 56 winter observations, whereas training contained only six post-monsoon observations and 349 winter observations. This produced a large target-distribution shift: training mean PM₂.₅ was approximately 85.21 while test mean PM₂.₅ was approximately 164.67. LightGBM had very high training fit but negative held-out R².</w:t>
      </w:r>
    </w:p>
    <w:p>
      <w:r>
        <w:t>The main interpretation was not that the algorithm was inherently incapable of modeling PM₂.₅, but that the evaluation design exposed the model to a test regime scarcely represented in training.</w:t>
      </w:r>
    </w:p>
    <w:p>
      <w:pPr>
        <w:jc w:val="center"/>
      </w:pPr>
      <w:r>
        <w:drawing>
          <wp:inline xmlns:a="http://schemas.openxmlformats.org/drawingml/2006/main" xmlns:pic="http://schemas.openxmlformats.org/drawingml/2006/picture">
            <wp:extent cx="5852160" cy="3724102"/>
            <wp:docPr id="1" name="Picture 1"/>
            <wp:cNvGraphicFramePr>
              <a:graphicFrameLocks noChangeAspect="1"/>
            </wp:cNvGraphicFramePr>
            <a:graphic>
              <a:graphicData uri="http://schemas.openxmlformats.org/drawingml/2006/picture">
                <pic:pic>
                  <pic:nvPicPr>
                    <pic:cNvPr id="0" name="fig1_pm25_spatial_temporal_heatmap.png"/>
                    <pic:cNvPicPr/>
                  </pic:nvPicPr>
                  <pic:blipFill>
                    <a:blip r:embed="rId11"/>
                    <a:stretch>
                      <a:fillRect/>
                    </a:stretch>
                  </pic:blipFill>
                  <pic:spPr>
                    <a:xfrm>
                      <a:off x="0" y="0"/>
                      <a:ext cx="5852160" cy="3724102"/>
                    </a:xfrm>
                    <a:prstGeom prst="rect"/>
                  </pic:spPr>
                </pic:pic>
              </a:graphicData>
            </a:graphic>
          </wp:inline>
        </w:drawing>
      </w:r>
    </w:p>
    <w:p>
      <w:pPr>
        <w:spacing w:before="40" w:after="180"/>
        <w:jc w:val="center"/>
      </w:pPr>
      <w:r>
        <w:rPr>
          <w:i/>
          <w:color w:val="5A5A5A"/>
          <w:sz w:val="18"/>
        </w:rPr>
        <w:t>Figure 3. Month-wise preservation of temporal structure in the redesigned primary split.</w:t>
      </w:r>
    </w:p>
    <w:p>
      <w:pPr>
        <w:pStyle w:val="Heading2"/>
      </w:pPr>
      <w:r>
        <w:t>4.2 Attempt 2 — independent audit and alternative month/year split</w:t>
      </w:r>
    </w:p>
    <w:p>
      <w:r>
        <w:t>The independent audit shared for this work confirmed the above diagnosis and evaluated an alternative month/year-aware split without overwriting the locked initial outputs. That experiment produced a train/test target-mean difference of only about 2.26 PM₂.₅ units and reported LightGBM test R² ≈ 0.958 and Random Forest test R² ≈ 0.920. The result was useful as a methodological check because it demonstrated that the initial negative R² values were strongly affected by split composition.</w:t>
      </w:r>
    </w:p>
    <w:p>
      <w:r>
        <w:t>Those alternative results were not simply adopted as the final published numbers. Instead, they informed the independently generated V2 split so that the final modeling workflow remained reproducible from the canonical V2 dataset.</w:t>
      </w:r>
    </w:p>
    <w:p>
      <w:pPr>
        <w:pStyle w:val="Heading2"/>
      </w:pPr>
      <w:r>
        <w:t>4.3 Attempt 3 — current primary split</w:t>
      </w:r>
    </w:p>
    <w:p>
      <w:r>
        <w:t>The present split uses an exact 80:20 test fraction (1,292 train; 323 test) with Year × Month stratification and largest-remainder allocation. The singleton IIT_Delhi observation is fixed in training. The V2 dataset itself is treated as read-only and the split is validated both in memory and after writing to disk.</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243447"/>
          </w:tcPr>
          <w:p>
            <w:pPr>
              <w:jc w:val="center"/>
            </w:pPr>
            <w:r>
              <w:rPr>
                <w:b/>
                <w:color w:val="FFFFFF"/>
                <w:sz w:val="17"/>
              </w:rPr>
            </w:r>
            <w:r>
              <w:rPr>
                <w:b/>
                <w:color w:val="FFFFFF"/>
                <w:sz w:val="17"/>
              </w:rPr>
              <w:t>Constraint</w:t>
            </w:r>
          </w:p>
        </w:tc>
        <w:tc>
          <w:tcPr>
            <w:tcW w:type="dxa" w:w="5040"/>
            <w:vAlign w:val="center"/>
            <w:shd w:fill="243447"/>
          </w:tcPr>
          <w:p>
            <w:pPr>
              <w:jc w:val="center"/>
            </w:pPr>
            <w:r>
              <w:rPr>
                <w:b/>
                <w:color w:val="FFFFFF"/>
                <w:sz w:val="17"/>
              </w:rPr>
            </w:r>
            <w:r>
              <w:rPr>
                <w:b/>
                <w:color w:val="FFFFFF"/>
                <w:sz w:val="17"/>
              </w:rPr>
              <w:t>Current status</w:t>
            </w:r>
          </w:p>
        </w:tc>
      </w:tr>
      <w:tr>
        <w:tc>
          <w:tcPr>
            <w:tcW w:type="dxa" w:w="5040"/>
            <w:vAlign w:val="center"/>
          </w:tcPr>
          <w:p>
            <w:pPr>
              <w:jc w:val="center"/>
            </w:pPr>
            <w:r>
              <w:rPr>
                <w:sz w:val="17"/>
              </w:rPr>
            </w:r>
            <w:r>
              <w:rPr>
                <w:b w:val="0"/>
                <w:color w:val="000000"/>
                <w:sz w:val="17"/>
              </w:rPr>
              <w:t>Total observations</w:t>
            </w:r>
          </w:p>
        </w:tc>
        <w:tc>
          <w:tcPr>
            <w:tcW w:type="dxa" w:w="5040"/>
            <w:vAlign w:val="center"/>
          </w:tcPr>
          <w:p>
            <w:pPr>
              <w:jc w:val="center"/>
            </w:pPr>
            <w:r>
              <w:rPr>
                <w:sz w:val="17"/>
              </w:rPr>
            </w:r>
            <w:r>
              <w:rPr>
                <w:b w:val="0"/>
                <w:color w:val="000000"/>
                <w:sz w:val="17"/>
              </w:rPr>
              <w:t>1,615</w:t>
            </w:r>
          </w:p>
        </w:tc>
      </w:tr>
      <w:tr>
        <w:tc>
          <w:tcPr>
            <w:tcW w:type="dxa" w:w="5040"/>
            <w:vAlign w:val="center"/>
          </w:tcPr>
          <w:p>
            <w:pPr>
              <w:jc w:val="center"/>
            </w:pPr>
            <w:r>
              <w:rPr>
                <w:sz w:val="17"/>
              </w:rPr>
            </w:r>
            <w:r>
              <w:rPr>
                <w:b w:val="0"/>
                <w:color w:val="000000"/>
                <w:sz w:val="17"/>
              </w:rPr>
              <w:t>Training / testing</w:t>
            </w:r>
          </w:p>
        </w:tc>
        <w:tc>
          <w:tcPr>
            <w:tcW w:type="dxa" w:w="5040"/>
            <w:vAlign w:val="center"/>
          </w:tcPr>
          <w:p>
            <w:pPr>
              <w:jc w:val="center"/>
            </w:pPr>
            <w:r>
              <w:rPr>
                <w:sz w:val="17"/>
              </w:rPr>
            </w:r>
            <w:r>
              <w:rPr>
                <w:b w:val="0"/>
                <w:color w:val="000000"/>
                <w:sz w:val="17"/>
              </w:rPr>
              <w:t>1,292 / 323</w:t>
            </w:r>
          </w:p>
        </w:tc>
      </w:tr>
      <w:tr>
        <w:tc>
          <w:tcPr>
            <w:tcW w:type="dxa" w:w="5040"/>
            <w:vAlign w:val="center"/>
          </w:tcPr>
          <w:p>
            <w:pPr>
              <w:jc w:val="center"/>
            </w:pPr>
            <w:r>
              <w:rPr>
                <w:sz w:val="17"/>
              </w:rPr>
            </w:r>
            <w:r>
              <w:rPr>
                <w:b w:val="0"/>
                <w:color w:val="000000"/>
                <w:sz w:val="17"/>
              </w:rPr>
              <w:t>Exact ratio</w:t>
            </w:r>
          </w:p>
        </w:tc>
        <w:tc>
          <w:tcPr>
            <w:tcW w:type="dxa" w:w="5040"/>
            <w:vAlign w:val="center"/>
          </w:tcPr>
          <w:p>
            <w:pPr>
              <w:jc w:val="center"/>
            </w:pPr>
            <w:r>
              <w:rPr>
                <w:sz w:val="17"/>
              </w:rPr>
            </w:r>
            <w:r>
              <w:rPr>
                <w:b w:val="0"/>
                <w:color w:val="000000"/>
                <w:sz w:val="17"/>
              </w:rPr>
              <w:t>80.0% / 20.0%</w:t>
            </w:r>
          </w:p>
        </w:tc>
      </w:tr>
      <w:tr>
        <w:tc>
          <w:tcPr>
            <w:tcW w:type="dxa" w:w="5040"/>
            <w:vAlign w:val="center"/>
          </w:tcPr>
          <w:p>
            <w:pPr>
              <w:jc w:val="center"/>
            </w:pPr>
            <w:r>
              <w:rPr>
                <w:sz w:val="17"/>
              </w:rPr>
            </w:r>
            <w:r>
              <w:rPr>
                <w:b w:val="0"/>
                <w:color w:val="000000"/>
                <w:sz w:val="17"/>
              </w:rPr>
              <w:t>Years represented in both sets</w:t>
            </w:r>
          </w:p>
        </w:tc>
        <w:tc>
          <w:tcPr>
            <w:tcW w:type="dxa" w:w="5040"/>
            <w:vAlign w:val="center"/>
          </w:tcPr>
          <w:p>
            <w:pPr>
              <w:jc w:val="center"/>
            </w:pPr>
            <w:r>
              <w:rPr>
                <w:sz w:val="17"/>
              </w:rPr>
            </w:r>
            <w:r>
              <w:rPr>
                <w:b w:val="0"/>
                <w:color w:val="000000"/>
                <w:sz w:val="17"/>
              </w:rPr>
              <w:t>2022, 2023, 2024, 2025</w:t>
            </w:r>
          </w:p>
        </w:tc>
      </w:tr>
      <w:tr>
        <w:tc>
          <w:tcPr>
            <w:tcW w:type="dxa" w:w="5040"/>
            <w:vAlign w:val="center"/>
          </w:tcPr>
          <w:p>
            <w:pPr>
              <w:jc w:val="center"/>
            </w:pPr>
            <w:r>
              <w:rPr>
                <w:sz w:val="17"/>
              </w:rPr>
            </w:r>
            <w:r>
              <w:rPr>
                <w:b w:val="0"/>
                <w:color w:val="000000"/>
                <w:sz w:val="17"/>
              </w:rPr>
              <w:t>Every eligible year-month stratum has test coverage</w:t>
            </w:r>
          </w:p>
        </w:tc>
        <w:tc>
          <w:tcPr>
            <w:tcW w:type="dxa" w:w="5040"/>
            <w:vAlign w:val="center"/>
          </w:tcPr>
          <w:p>
            <w:pPr>
              <w:jc w:val="center"/>
            </w:pPr>
            <w:r>
              <w:rPr>
                <w:sz w:val="17"/>
              </w:rPr>
            </w:r>
            <w:r>
              <w:rPr>
                <w:b w:val="0"/>
                <w:color w:val="000000"/>
                <w:sz w:val="17"/>
              </w:rPr>
              <w:t>Yes</w:t>
            </w:r>
          </w:p>
        </w:tc>
      </w:tr>
      <w:tr>
        <w:tc>
          <w:tcPr>
            <w:tcW w:type="dxa" w:w="5040"/>
            <w:vAlign w:val="center"/>
          </w:tcPr>
          <w:p>
            <w:pPr>
              <w:jc w:val="center"/>
            </w:pPr>
            <w:r>
              <w:rPr>
                <w:sz w:val="17"/>
              </w:rPr>
            </w:r>
            <w:r>
              <w:rPr>
                <w:b w:val="0"/>
                <w:color w:val="000000"/>
                <w:sz w:val="17"/>
              </w:rPr>
              <w:t>Train/test key overlap</w:t>
            </w:r>
          </w:p>
        </w:tc>
        <w:tc>
          <w:tcPr>
            <w:tcW w:type="dxa" w:w="5040"/>
            <w:vAlign w:val="center"/>
          </w:tcPr>
          <w:p>
            <w:pPr>
              <w:jc w:val="center"/>
            </w:pPr>
            <w:r>
              <w:rPr>
                <w:sz w:val="17"/>
              </w:rPr>
            </w:r>
            <w:r>
              <w:rPr>
                <w:b w:val="0"/>
                <w:color w:val="000000"/>
                <w:sz w:val="17"/>
              </w:rPr>
              <w:t>0</w:t>
            </w:r>
          </w:p>
        </w:tc>
      </w:tr>
      <w:tr>
        <w:tc>
          <w:tcPr>
            <w:tcW w:type="dxa" w:w="5040"/>
            <w:vAlign w:val="center"/>
          </w:tcPr>
          <w:p>
            <w:pPr>
              <w:jc w:val="center"/>
            </w:pPr>
            <w:r>
              <w:rPr>
                <w:sz w:val="17"/>
              </w:rPr>
            </w:r>
            <w:r>
              <w:rPr>
                <w:b w:val="0"/>
                <w:color w:val="000000"/>
                <w:sz w:val="17"/>
              </w:rPr>
              <w:t>Row universe preserved</w:t>
            </w:r>
          </w:p>
        </w:tc>
        <w:tc>
          <w:tcPr>
            <w:tcW w:type="dxa" w:w="5040"/>
            <w:vAlign w:val="center"/>
          </w:tcPr>
          <w:p>
            <w:pPr>
              <w:jc w:val="center"/>
            </w:pPr>
            <w:r>
              <w:rPr>
                <w:sz w:val="17"/>
              </w:rPr>
            </w:r>
            <w:r>
              <w:rPr>
                <w:b w:val="0"/>
                <w:color w:val="000000"/>
                <w:sz w:val="17"/>
              </w:rPr>
              <w:t>Yes</w:t>
            </w:r>
          </w:p>
        </w:tc>
      </w:tr>
      <w:tr>
        <w:tc>
          <w:tcPr>
            <w:tcW w:type="dxa" w:w="5040"/>
            <w:vAlign w:val="center"/>
          </w:tcPr>
          <w:p>
            <w:pPr>
              <w:jc w:val="center"/>
            </w:pPr>
            <w:r>
              <w:rPr>
                <w:sz w:val="17"/>
              </w:rPr>
            </w:r>
            <w:r>
              <w:rPr>
                <w:b w:val="0"/>
                <w:color w:val="000000"/>
                <w:sz w:val="17"/>
              </w:rPr>
              <w:t>IIT_Delhi</w:t>
            </w:r>
          </w:p>
        </w:tc>
        <w:tc>
          <w:tcPr>
            <w:tcW w:type="dxa" w:w="5040"/>
            <w:vAlign w:val="center"/>
          </w:tcPr>
          <w:p>
            <w:pPr>
              <w:jc w:val="center"/>
            </w:pPr>
            <w:r>
              <w:rPr>
                <w:sz w:val="17"/>
              </w:rPr>
            </w:r>
            <w:r>
              <w:rPr>
                <w:b w:val="0"/>
                <w:color w:val="000000"/>
                <w:sz w:val="17"/>
              </w:rPr>
              <w:t>Train-only; n=1</w:t>
            </w:r>
          </w:p>
        </w:tc>
      </w:tr>
    </w:tbl>
    <w:p/>
    <w:p>
      <w:pPr>
        <w:jc w:val="center"/>
      </w:pPr>
      <w:r>
        <w:rPr>
          <w:i/>
        </w:rPr>
        <w:t>[Final holdout-size figure would be inserted here when present in reports/figures/modeling/]</w:t>
      </w:r>
    </w:p>
    <w:p>
      <w:pPr>
        <w:spacing w:before="40" w:after="180"/>
        <w:jc w:val="center"/>
      </w:pPr>
      <w:r>
        <w:rPr>
          <w:i/>
          <w:color w:val="5A5A5A"/>
          <w:sz w:val="18"/>
        </w:rPr>
        <w:t>Figure 4. Final primary holdout size: exact 80:20 split. (figure not found at generation time)</w:t>
      </w:r>
    </w:p>
    <w:p>
      <w:pPr>
        <w:pStyle w:val="Heading1"/>
      </w:pPr>
      <w:r>
        <w:t>5. Baseline Modeling Results</w:t>
      </w:r>
    </w:p>
    <w:p>
      <w:r>
        <w:t>Four regressors were evaluated: Linear Regression, Ridge Regression, Random Forest and LightGBM. The reported cross-validation scores were computed on the training partition only. The held-out test set was kept separate for final evaluation.</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1008"/>
            <w:vAlign w:val="center"/>
            <w:shd w:fill="243447"/>
          </w:tcPr>
          <w:p>
            <w:pPr>
              <w:jc w:val="center"/>
            </w:pPr>
            <w:r>
              <w:rPr>
                <w:b/>
                <w:color w:val="FFFFFF"/>
                <w:sz w:val="17"/>
              </w:rPr>
            </w:r>
            <w:r>
              <w:rPr>
                <w:b/>
                <w:color w:val="FFFFFF"/>
                <w:sz w:val="17"/>
              </w:rPr>
              <w:t>Model</w:t>
            </w:r>
          </w:p>
        </w:tc>
        <w:tc>
          <w:tcPr>
            <w:tcW w:type="dxa" w:w="1008"/>
            <w:vAlign w:val="center"/>
            <w:shd w:fill="243447"/>
          </w:tcPr>
          <w:p>
            <w:pPr>
              <w:jc w:val="center"/>
            </w:pPr>
            <w:r>
              <w:rPr>
                <w:b/>
                <w:color w:val="FFFFFF"/>
                <w:sz w:val="17"/>
              </w:rPr>
            </w:r>
            <w:r>
              <w:rPr>
                <w:b/>
                <w:color w:val="FFFFFF"/>
                <w:sz w:val="17"/>
              </w:rPr>
              <w:t>Train R²</w:t>
            </w:r>
          </w:p>
        </w:tc>
        <w:tc>
          <w:tcPr>
            <w:tcW w:type="dxa" w:w="1008"/>
            <w:vAlign w:val="center"/>
            <w:shd w:fill="243447"/>
          </w:tcPr>
          <w:p>
            <w:pPr>
              <w:jc w:val="center"/>
            </w:pPr>
            <w:r>
              <w:rPr>
                <w:b/>
                <w:color w:val="FFFFFF"/>
                <w:sz w:val="17"/>
              </w:rPr>
            </w:r>
            <w:r>
              <w:rPr>
                <w:b/>
                <w:color w:val="FFFFFF"/>
                <w:sz w:val="17"/>
              </w:rPr>
              <w:t>Test R²</w:t>
            </w:r>
          </w:p>
        </w:tc>
        <w:tc>
          <w:tcPr>
            <w:tcW w:type="dxa" w:w="1008"/>
            <w:vAlign w:val="center"/>
            <w:shd w:fill="243447"/>
          </w:tcPr>
          <w:p>
            <w:pPr>
              <w:jc w:val="center"/>
            </w:pPr>
            <w:r>
              <w:rPr>
                <w:b/>
                <w:color w:val="FFFFFF"/>
                <w:sz w:val="17"/>
              </w:rPr>
            </w:r>
            <w:r>
              <w:rPr>
                <w:b/>
                <w:color w:val="FFFFFF"/>
                <w:sz w:val="17"/>
              </w:rPr>
              <w:t>Test RMSE</w:t>
            </w:r>
          </w:p>
        </w:tc>
        <w:tc>
          <w:tcPr>
            <w:tcW w:type="dxa" w:w="1008"/>
            <w:vAlign w:val="center"/>
            <w:shd w:fill="243447"/>
          </w:tcPr>
          <w:p>
            <w:pPr>
              <w:jc w:val="center"/>
            </w:pPr>
            <w:r>
              <w:rPr>
                <w:b/>
                <w:color w:val="FFFFFF"/>
                <w:sz w:val="17"/>
              </w:rPr>
            </w:r>
            <w:r>
              <w:rPr>
                <w:b/>
                <w:color w:val="FFFFFF"/>
                <w:sz w:val="17"/>
              </w:rPr>
              <w:t>Test MAE</w:t>
            </w:r>
          </w:p>
        </w:tc>
        <w:tc>
          <w:tcPr>
            <w:tcW w:type="dxa" w:w="1008"/>
            <w:vAlign w:val="center"/>
            <w:shd w:fill="243447"/>
          </w:tcPr>
          <w:p>
            <w:pPr>
              <w:jc w:val="center"/>
            </w:pPr>
            <w:r>
              <w:rPr>
                <w:b/>
                <w:color w:val="FFFFFF"/>
                <w:sz w:val="17"/>
              </w:rPr>
            </w:r>
            <w:r>
              <w:rPr>
                <w:b/>
                <w:color w:val="FFFFFF"/>
                <w:sz w:val="17"/>
              </w:rPr>
              <w:t>Median AE</w:t>
            </w:r>
          </w:p>
        </w:tc>
        <w:tc>
          <w:tcPr>
            <w:tcW w:type="dxa" w:w="1008"/>
            <w:vAlign w:val="center"/>
            <w:shd w:fill="243447"/>
          </w:tcPr>
          <w:p>
            <w:pPr>
              <w:jc w:val="center"/>
            </w:pPr>
            <w:r>
              <w:rPr>
                <w:b/>
                <w:color w:val="FFFFFF"/>
                <w:sz w:val="17"/>
              </w:rPr>
            </w:r>
            <w:r>
              <w:rPr>
                <w:b/>
                <w:color w:val="FFFFFF"/>
                <w:sz w:val="17"/>
              </w:rPr>
              <w:t>CV R² mean</w:t>
            </w:r>
          </w:p>
        </w:tc>
        <w:tc>
          <w:tcPr>
            <w:tcW w:type="dxa" w:w="1008"/>
            <w:vAlign w:val="center"/>
            <w:shd w:fill="243447"/>
          </w:tcPr>
          <w:p>
            <w:pPr>
              <w:jc w:val="center"/>
            </w:pPr>
            <w:r>
              <w:rPr>
                <w:b/>
                <w:color w:val="FFFFFF"/>
                <w:sz w:val="17"/>
              </w:rPr>
            </w:r>
            <w:r>
              <w:rPr>
                <w:b/>
                <w:color w:val="FFFFFF"/>
                <w:sz w:val="17"/>
              </w:rPr>
              <w:t>CV R² SD</w:t>
            </w:r>
          </w:p>
        </w:tc>
        <w:tc>
          <w:tcPr>
            <w:tcW w:type="dxa" w:w="1008"/>
            <w:vAlign w:val="center"/>
            <w:shd w:fill="243447"/>
          </w:tcPr>
          <w:p>
            <w:pPr>
              <w:jc w:val="center"/>
            </w:pPr>
            <w:r>
              <w:rPr>
                <w:b/>
                <w:color w:val="FFFFFF"/>
                <w:sz w:val="17"/>
              </w:rPr>
            </w:r>
            <w:r>
              <w:rPr>
                <w:b/>
                <w:color w:val="FFFFFF"/>
                <w:sz w:val="17"/>
              </w:rPr>
              <w:t>CV RMSE</w:t>
            </w:r>
          </w:p>
        </w:tc>
        <w:tc>
          <w:tcPr>
            <w:tcW w:type="dxa" w:w="1008"/>
            <w:vAlign w:val="center"/>
            <w:shd w:fill="243447"/>
          </w:tcPr>
          <w:p>
            <w:pPr>
              <w:jc w:val="center"/>
            </w:pPr>
            <w:r>
              <w:rPr>
                <w:b/>
                <w:color w:val="FFFFFF"/>
                <w:sz w:val="17"/>
              </w:rPr>
            </w:r>
            <w:r>
              <w:rPr>
                <w:b/>
                <w:color w:val="FFFFFF"/>
                <w:sz w:val="17"/>
              </w:rPr>
              <w:t>R² gap</w:t>
            </w:r>
          </w:p>
        </w:tc>
      </w:tr>
      <w:tr>
        <w:tc>
          <w:tcPr>
            <w:tcW w:type="dxa" w:w="1008"/>
            <w:vAlign w:val="center"/>
          </w:tcPr>
          <w:p>
            <w:pPr>
              <w:jc w:val="center"/>
            </w:pPr>
            <w:r>
              <w:rPr>
                <w:sz w:val="17"/>
              </w:rPr>
            </w:r>
            <w:r>
              <w:rPr>
                <w:b w:val="0"/>
                <w:color w:val="000000"/>
                <w:sz w:val="17"/>
              </w:rPr>
              <w:t>LightGBM</w:t>
            </w:r>
          </w:p>
        </w:tc>
        <w:tc>
          <w:tcPr>
            <w:tcW w:type="dxa" w:w="1008"/>
            <w:vAlign w:val="center"/>
          </w:tcPr>
          <w:p>
            <w:pPr>
              <w:jc w:val="center"/>
            </w:pPr>
            <w:r>
              <w:rPr>
                <w:sz w:val="17"/>
              </w:rPr>
            </w:r>
            <w:r>
              <w:rPr>
                <w:b w:val="0"/>
                <w:color w:val="000000"/>
                <w:sz w:val="17"/>
              </w:rPr>
              <w:t>0.999</w:t>
            </w:r>
          </w:p>
        </w:tc>
        <w:tc>
          <w:tcPr>
            <w:tcW w:type="dxa" w:w="1008"/>
            <w:vAlign w:val="center"/>
          </w:tcPr>
          <w:p>
            <w:pPr>
              <w:jc w:val="center"/>
            </w:pPr>
            <w:r>
              <w:rPr>
                <w:sz w:val="17"/>
              </w:rPr>
            </w:r>
            <w:r>
              <w:rPr>
                <w:b w:val="0"/>
                <w:color w:val="000000"/>
                <w:sz w:val="17"/>
              </w:rPr>
              <w:t>0.897</w:t>
            </w:r>
          </w:p>
        </w:tc>
        <w:tc>
          <w:tcPr>
            <w:tcW w:type="dxa" w:w="1008"/>
            <w:vAlign w:val="center"/>
          </w:tcPr>
          <w:p>
            <w:pPr>
              <w:jc w:val="center"/>
            </w:pPr>
            <w:r>
              <w:rPr>
                <w:sz w:val="17"/>
              </w:rPr>
            </w:r>
            <w:r>
              <w:rPr>
                <w:b w:val="0"/>
                <w:color w:val="000000"/>
                <w:sz w:val="17"/>
              </w:rPr>
              <w:t>20.378</w:t>
            </w:r>
          </w:p>
        </w:tc>
        <w:tc>
          <w:tcPr>
            <w:tcW w:type="dxa" w:w="1008"/>
            <w:vAlign w:val="center"/>
          </w:tcPr>
          <w:p>
            <w:pPr>
              <w:jc w:val="center"/>
            </w:pPr>
            <w:r>
              <w:rPr>
                <w:sz w:val="17"/>
              </w:rPr>
            </w:r>
            <w:r>
              <w:rPr>
                <w:b w:val="0"/>
                <w:color w:val="000000"/>
                <w:sz w:val="17"/>
              </w:rPr>
              <w:t>10.460</w:t>
            </w:r>
          </w:p>
        </w:tc>
        <w:tc>
          <w:tcPr>
            <w:tcW w:type="dxa" w:w="1008"/>
            <w:vAlign w:val="center"/>
          </w:tcPr>
          <w:p>
            <w:pPr>
              <w:jc w:val="center"/>
            </w:pPr>
            <w:r>
              <w:rPr>
                <w:sz w:val="17"/>
              </w:rPr>
            </w:r>
            <w:r>
              <w:rPr>
                <w:b w:val="0"/>
                <w:color w:val="000000"/>
                <w:sz w:val="17"/>
              </w:rPr>
              <w:t>6.513</w:t>
            </w:r>
          </w:p>
        </w:tc>
        <w:tc>
          <w:tcPr>
            <w:tcW w:type="dxa" w:w="1008"/>
            <w:vAlign w:val="center"/>
          </w:tcPr>
          <w:p>
            <w:pPr>
              <w:jc w:val="center"/>
            </w:pPr>
            <w:r>
              <w:rPr>
                <w:sz w:val="17"/>
              </w:rPr>
            </w:r>
            <w:r>
              <w:rPr>
                <w:b w:val="0"/>
                <w:color w:val="000000"/>
                <w:sz w:val="17"/>
              </w:rPr>
              <w:t>0.947</w:t>
            </w:r>
          </w:p>
        </w:tc>
        <w:tc>
          <w:tcPr>
            <w:tcW w:type="dxa" w:w="1008"/>
            <w:vAlign w:val="center"/>
          </w:tcPr>
          <w:p>
            <w:pPr>
              <w:jc w:val="center"/>
            </w:pPr>
            <w:r>
              <w:rPr>
                <w:sz w:val="17"/>
              </w:rPr>
            </w:r>
            <w:r>
              <w:rPr>
                <w:b w:val="0"/>
                <w:color w:val="000000"/>
                <w:sz w:val="17"/>
              </w:rPr>
              <w:t>0.0054</w:t>
            </w:r>
          </w:p>
        </w:tc>
        <w:tc>
          <w:tcPr>
            <w:tcW w:type="dxa" w:w="1008"/>
            <w:vAlign w:val="center"/>
          </w:tcPr>
          <w:p>
            <w:pPr>
              <w:jc w:val="center"/>
            </w:pPr>
            <w:r>
              <w:rPr>
                <w:sz w:val="17"/>
              </w:rPr>
            </w:r>
            <w:r>
              <w:rPr>
                <w:b w:val="0"/>
                <w:color w:val="000000"/>
                <w:sz w:val="17"/>
              </w:rPr>
              <w:t>15.634</w:t>
            </w:r>
          </w:p>
        </w:tc>
        <w:tc>
          <w:tcPr>
            <w:tcW w:type="dxa" w:w="1008"/>
            <w:vAlign w:val="center"/>
          </w:tcPr>
          <w:p>
            <w:pPr>
              <w:jc w:val="center"/>
            </w:pPr>
            <w:r>
              <w:rPr>
                <w:sz w:val="17"/>
              </w:rPr>
            </w:r>
            <w:r>
              <w:rPr>
                <w:b w:val="0"/>
                <w:color w:val="000000"/>
                <w:sz w:val="17"/>
              </w:rPr>
              <w:t>0.101</w:t>
            </w:r>
          </w:p>
        </w:tc>
      </w:tr>
      <w:tr>
        <w:tc>
          <w:tcPr>
            <w:tcW w:type="dxa" w:w="1008"/>
            <w:vAlign w:val="center"/>
          </w:tcPr>
          <w:p>
            <w:pPr>
              <w:jc w:val="center"/>
            </w:pPr>
            <w:r>
              <w:rPr>
                <w:sz w:val="17"/>
              </w:rPr>
            </w:r>
            <w:r>
              <w:rPr>
                <w:b w:val="0"/>
                <w:color w:val="000000"/>
                <w:sz w:val="17"/>
              </w:rPr>
              <w:t>Random Forest</w:t>
            </w:r>
          </w:p>
        </w:tc>
        <w:tc>
          <w:tcPr>
            <w:tcW w:type="dxa" w:w="1008"/>
            <w:vAlign w:val="center"/>
          </w:tcPr>
          <w:p>
            <w:pPr>
              <w:jc w:val="center"/>
            </w:pPr>
            <w:r>
              <w:rPr>
                <w:sz w:val="17"/>
              </w:rPr>
            </w:r>
            <w:r>
              <w:rPr>
                <w:b w:val="0"/>
                <w:color w:val="000000"/>
                <w:sz w:val="17"/>
              </w:rPr>
              <w:t>0.991</w:t>
            </w:r>
          </w:p>
        </w:tc>
        <w:tc>
          <w:tcPr>
            <w:tcW w:type="dxa" w:w="1008"/>
            <w:vAlign w:val="center"/>
          </w:tcPr>
          <w:p>
            <w:pPr>
              <w:jc w:val="center"/>
            </w:pPr>
            <w:r>
              <w:rPr>
                <w:sz w:val="17"/>
              </w:rPr>
            </w:r>
            <w:r>
              <w:rPr>
                <w:b w:val="0"/>
                <w:color w:val="000000"/>
                <w:sz w:val="17"/>
              </w:rPr>
              <w:t>0.876</w:t>
            </w:r>
          </w:p>
        </w:tc>
        <w:tc>
          <w:tcPr>
            <w:tcW w:type="dxa" w:w="1008"/>
            <w:vAlign w:val="center"/>
          </w:tcPr>
          <w:p>
            <w:pPr>
              <w:jc w:val="center"/>
            </w:pPr>
            <w:r>
              <w:rPr>
                <w:sz w:val="17"/>
              </w:rPr>
            </w:r>
            <w:r>
              <w:rPr>
                <w:b w:val="0"/>
                <w:color w:val="000000"/>
                <w:sz w:val="17"/>
              </w:rPr>
              <w:t>22.420</w:t>
            </w:r>
          </w:p>
        </w:tc>
        <w:tc>
          <w:tcPr>
            <w:tcW w:type="dxa" w:w="1008"/>
            <w:vAlign w:val="center"/>
          </w:tcPr>
          <w:p>
            <w:pPr>
              <w:jc w:val="center"/>
            </w:pPr>
            <w:r>
              <w:rPr>
                <w:sz w:val="17"/>
              </w:rPr>
            </w:r>
            <w:r>
              <w:rPr>
                <w:b w:val="0"/>
                <w:color w:val="000000"/>
                <w:sz w:val="17"/>
              </w:rPr>
              <w:t>12.243</w:t>
            </w:r>
          </w:p>
        </w:tc>
        <w:tc>
          <w:tcPr>
            <w:tcW w:type="dxa" w:w="1008"/>
            <w:vAlign w:val="center"/>
          </w:tcPr>
          <w:p>
            <w:pPr>
              <w:jc w:val="center"/>
            </w:pPr>
            <w:r>
              <w:rPr>
                <w:sz w:val="17"/>
              </w:rPr>
            </w:r>
            <w:r>
              <w:rPr>
                <w:b w:val="0"/>
                <w:color w:val="000000"/>
                <w:sz w:val="17"/>
              </w:rPr>
              <w:t>7.500</w:t>
            </w:r>
          </w:p>
        </w:tc>
        <w:tc>
          <w:tcPr>
            <w:tcW w:type="dxa" w:w="1008"/>
            <w:vAlign w:val="center"/>
          </w:tcPr>
          <w:p>
            <w:pPr>
              <w:jc w:val="center"/>
            </w:pPr>
            <w:r>
              <w:rPr>
                <w:sz w:val="17"/>
              </w:rPr>
            </w:r>
            <w:r>
              <w:rPr>
                <w:b w:val="0"/>
                <w:color w:val="000000"/>
                <w:sz w:val="17"/>
              </w:rPr>
              <w:t>0.924</w:t>
            </w:r>
          </w:p>
        </w:tc>
        <w:tc>
          <w:tcPr>
            <w:tcW w:type="dxa" w:w="1008"/>
            <w:vAlign w:val="center"/>
          </w:tcPr>
          <w:p>
            <w:pPr>
              <w:jc w:val="center"/>
            </w:pPr>
            <w:r>
              <w:rPr>
                <w:sz w:val="17"/>
              </w:rPr>
            </w:r>
            <w:r>
              <w:rPr>
                <w:b w:val="0"/>
                <w:color w:val="000000"/>
                <w:sz w:val="17"/>
              </w:rPr>
              <w:t>0.0080</w:t>
            </w:r>
          </w:p>
        </w:tc>
        <w:tc>
          <w:tcPr>
            <w:tcW w:type="dxa" w:w="1008"/>
            <w:vAlign w:val="center"/>
          </w:tcPr>
          <w:p>
            <w:pPr>
              <w:jc w:val="center"/>
            </w:pPr>
            <w:r>
              <w:rPr>
                <w:sz w:val="17"/>
              </w:rPr>
            </w:r>
            <w:r>
              <w:rPr>
                <w:b w:val="0"/>
                <w:color w:val="000000"/>
                <w:sz w:val="17"/>
              </w:rPr>
              <w:t>18.692</w:t>
            </w:r>
          </w:p>
        </w:tc>
        <w:tc>
          <w:tcPr>
            <w:tcW w:type="dxa" w:w="1008"/>
            <w:vAlign w:val="center"/>
          </w:tcPr>
          <w:p>
            <w:pPr>
              <w:jc w:val="center"/>
            </w:pPr>
            <w:r>
              <w:rPr>
                <w:sz w:val="17"/>
              </w:rPr>
            </w:r>
            <w:r>
              <w:rPr>
                <w:b w:val="0"/>
                <w:color w:val="000000"/>
                <w:sz w:val="17"/>
              </w:rPr>
              <w:t>0.115</w:t>
            </w:r>
          </w:p>
        </w:tc>
      </w:tr>
      <w:tr>
        <w:tc>
          <w:tcPr>
            <w:tcW w:type="dxa" w:w="1008"/>
            <w:vAlign w:val="center"/>
          </w:tcPr>
          <w:p>
            <w:pPr>
              <w:jc w:val="center"/>
            </w:pPr>
            <w:r>
              <w:rPr>
                <w:sz w:val="17"/>
              </w:rPr>
            </w:r>
            <w:r>
              <w:rPr>
                <w:b w:val="0"/>
                <w:color w:val="000000"/>
                <w:sz w:val="17"/>
              </w:rPr>
              <w:t>Linear Regression</w:t>
            </w:r>
          </w:p>
        </w:tc>
        <w:tc>
          <w:tcPr>
            <w:tcW w:type="dxa" w:w="1008"/>
            <w:vAlign w:val="center"/>
          </w:tcPr>
          <w:p>
            <w:pPr>
              <w:jc w:val="center"/>
            </w:pPr>
            <w:r>
              <w:rPr>
                <w:sz w:val="17"/>
              </w:rPr>
            </w:r>
            <w:r>
              <w:rPr>
                <w:b w:val="0"/>
                <w:color w:val="000000"/>
                <w:sz w:val="17"/>
              </w:rPr>
              <w:t>0.877</w:t>
            </w:r>
          </w:p>
        </w:tc>
        <w:tc>
          <w:tcPr>
            <w:tcW w:type="dxa" w:w="1008"/>
            <w:vAlign w:val="center"/>
          </w:tcPr>
          <w:p>
            <w:pPr>
              <w:jc w:val="center"/>
            </w:pPr>
            <w:r>
              <w:rPr>
                <w:sz w:val="17"/>
              </w:rPr>
            </w:r>
            <w:r>
              <w:rPr>
                <w:b w:val="0"/>
                <w:color w:val="000000"/>
                <w:sz w:val="17"/>
              </w:rPr>
              <w:t>-1.715</w:t>
            </w:r>
          </w:p>
        </w:tc>
        <w:tc>
          <w:tcPr>
            <w:tcW w:type="dxa" w:w="1008"/>
            <w:vAlign w:val="center"/>
          </w:tcPr>
          <w:p>
            <w:pPr>
              <w:jc w:val="center"/>
            </w:pPr>
            <w:r>
              <w:rPr>
                <w:sz w:val="17"/>
              </w:rPr>
            </w:r>
            <w:r>
              <w:rPr>
                <w:b w:val="0"/>
                <w:color w:val="000000"/>
                <w:sz w:val="17"/>
              </w:rPr>
              <w:t>104.862</w:t>
            </w:r>
          </w:p>
        </w:tc>
        <w:tc>
          <w:tcPr>
            <w:tcW w:type="dxa" w:w="1008"/>
            <w:vAlign w:val="center"/>
          </w:tcPr>
          <w:p>
            <w:pPr>
              <w:jc w:val="center"/>
            </w:pPr>
            <w:r>
              <w:rPr>
                <w:sz w:val="17"/>
              </w:rPr>
            </w:r>
            <w:r>
              <w:rPr>
                <w:b w:val="0"/>
                <w:color w:val="000000"/>
                <w:sz w:val="17"/>
              </w:rPr>
              <w:t>26.276</w:t>
            </w:r>
          </w:p>
        </w:tc>
        <w:tc>
          <w:tcPr>
            <w:tcW w:type="dxa" w:w="1008"/>
            <w:vAlign w:val="center"/>
          </w:tcPr>
          <w:p>
            <w:pPr>
              <w:jc w:val="center"/>
            </w:pPr>
            <w:r>
              <w:rPr>
                <w:sz w:val="17"/>
              </w:rPr>
            </w:r>
            <w:r>
              <w:rPr>
                <w:b w:val="0"/>
                <w:color w:val="000000"/>
                <w:sz w:val="17"/>
              </w:rPr>
              <w:t>16.135</w:t>
            </w:r>
          </w:p>
        </w:tc>
        <w:tc>
          <w:tcPr>
            <w:tcW w:type="dxa" w:w="1008"/>
            <w:vAlign w:val="center"/>
          </w:tcPr>
          <w:p>
            <w:pPr>
              <w:jc w:val="center"/>
            </w:pPr>
            <w:r>
              <w:rPr>
                <w:sz w:val="17"/>
              </w:rPr>
            </w:r>
            <w:r>
              <w:rPr>
                <w:b w:val="0"/>
                <w:color w:val="000000"/>
                <w:sz w:val="17"/>
              </w:rPr>
              <w:t>0.815</w:t>
            </w:r>
          </w:p>
        </w:tc>
        <w:tc>
          <w:tcPr>
            <w:tcW w:type="dxa" w:w="1008"/>
            <w:vAlign w:val="center"/>
          </w:tcPr>
          <w:p>
            <w:pPr>
              <w:jc w:val="center"/>
            </w:pPr>
            <w:r>
              <w:rPr>
                <w:sz w:val="17"/>
              </w:rPr>
            </w:r>
            <w:r>
              <w:rPr>
                <w:b w:val="0"/>
                <w:color w:val="000000"/>
                <w:sz w:val="17"/>
              </w:rPr>
              <w:t>0.0295</w:t>
            </w:r>
          </w:p>
        </w:tc>
        <w:tc>
          <w:tcPr>
            <w:tcW w:type="dxa" w:w="1008"/>
            <w:vAlign w:val="center"/>
          </w:tcPr>
          <w:p>
            <w:pPr>
              <w:jc w:val="center"/>
            </w:pPr>
            <w:r>
              <w:rPr>
                <w:sz w:val="17"/>
              </w:rPr>
            </w:r>
            <w:r>
              <w:rPr>
                <w:b w:val="0"/>
                <w:color w:val="000000"/>
                <w:sz w:val="17"/>
              </w:rPr>
              <w:t>29.069</w:t>
            </w:r>
          </w:p>
        </w:tc>
        <w:tc>
          <w:tcPr>
            <w:tcW w:type="dxa" w:w="1008"/>
            <w:vAlign w:val="center"/>
          </w:tcPr>
          <w:p>
            <w:pPr>
              <w:jc w:val="center"/>
            </w:pPr>
            <w:r>
              <w:rPr>
                <w:sz w:val="17"/>
              </w:rPr>
            </w:r>
            <w:r>
              <w:rPr>
                <w:b w:val="0"/>
                <w:color w:val="000000"/>
                <w:sz w:val="17"/>
              </w:rPr>
              <w:t>2.591</w:t>
            </w:r>
          </w:p>
        </w:tc>
      </w:tr>
      <w:tr>
        <w:tc>
          <w:tcPr>
            <w:tcW w:type="dxa" w:w="1008"/>
            <w:vAlign w:val="center"/>
          </w:tcPr>
          <w:p>
            <w:pPr>
              <w:jc w:val="center"/>
            </w:pPr>
            <w:r>
              <w:rPr>
                <w:sz w:val="17"/>
              </w:rPr>
            </w:r>
            <w:r>
              <w:rPr>
                <w:b w:val="0"/>
                <w:color w:val="000000"/>
                <w:sz w:val="17"/>
              </w:rPr>
              <w:t>Ridge Regression</w:t>
            </w:r>
          </w:p>
        </w:tc>
        <w:tc>
          <w:tcPr>
            <w:tcW w:type="dxa" w:w="1008"/>
            <w:vAlign w:val="center"/>
          </w:tcPr>
          <w:p>
            <w:pPr>
              <w:jc w:val="center"/>
            </w:pPr>
            <w:r>
              <w:rPr>
                <w:sz w:val="17"/>
              </w:rPr>
            </w:r>
            <w:r>
              <w:rPr>
                <w:b w:val="0"/>
                <w:color w:val="000000"/>
                <w:sz w:val="17"/>
              </w:rPr>
              <w:t>0.871</w:t>
            </w:r>
          </w:p>
        </w:tc>
        <w:tc>
          <w:tcPr>
            <w:tcW w:type="dxa" w:w="1008"/>
            <w:vAlign w:val="center"/>
          </w:tcPr>
          <w:p>
            <w:pPr>
              <w:jc w:val="center"/>
            </w:pPr>
            <w:r>
              <w:rPr>
                <w:sz w:val="17"/>
              </w:rPr>
            </w:r>
            <w:r>
              <w:rPr>
                <w:b w:val="0"/>
                <w:color w:val="000000"/>
                <w:sz w:val="17"/>
              </w:rPr>
              <w:t>-2.129</w:t>
            </w:r>
          </w:p>
        </w:tc>
        <w:tc>
          <w:tcPr>
            <w:tcW w:type="dxa" w:w="1008"/>
            <w:vAlign w:val="center"/>
          </w:tcPr>
          <w:p>
            <w:pPr>
              <w:jc w:val="center"/>
            </w:pPr>
            <w:r>
              <w:rPr>
                <w:sz w:val="17"/>
              </w:rPr>
            </w:r>
            <w:r>
              <w:rPr>
                <w:b w:val="0"/>
                <w:color w:val="000000"/>
                <w:sz w:val="17"/>
              </w:rPr>
              <w:t>112.586</w:t>
            </w:r>
          </w:p>
        </w:tc>
        <w:tc>
          <w:tcPr>
            <w:tcW w:type="dxa" w:w="1008"/>
            <w:vAlign w:val="center"/>
          </w:tcPr>
          <w:p>
            <w:pPr>
              <w:jc w:val="center"/>
            </w:pPr>
            <w:r>
              <w:rPr>
                <w:sz w:val="17"/>
              </w:rPr>
            </w:r>
            <w:r>
              <w:rPr>
                <w:b w:val="0"/>
                <w:color w:val="000000"/>
                <w:sz w:val="17"/>
              </w:rPr>
              <w:t>26.756</w:t>
            </w:r>
          </w:p>
        </w:tc>
        <w:tc>
          <w:tcPr>
            <w:tcW w:type="dxa" w:w="1008"/>
            <w:vAlign w:val="center"/>
          </w:tcPr>
          <w:p>
            <w:pPr>
              <w:jc w:val="center"/>
            </w:pPr>
            <w:r>
              <w:rPr>
                <w:sz w:val="17"/>
              </w:rPr>
            </w:r>
            <w:r>
              <w:rPr>
                <w:b w:val="0"/>
                <w:color w:val="000000"/>
                <w:sz w:val="17"/>
              </w:rPr>
              <w:t>15.665</w:t>
            </w:r>
          </w:p>
        </w:tc>
        <w:tc>
          <w:tcPr>
            <w:tcW w:type="dxa" w:w="1008"/>
            <w:vAlign w:val="center"/>
          </w:tcPr>
          <w:p>
            <w:pPr>
              <w:jc w:val="center"/>
            </w:pPr>
            <w:r>
              <w:rPr>
                <w:sz w:val="17"/>
              </w:rPr>
            </w:r>
            <w:r>
              <w:rPr>
                <w:b w:val="0"/>
                <w:color w:val="000000"/>
                <w:sz w:val="17"/>
              </w:rPr>
              <w:t>0.820</w:t>
            </w:r>
          </w:p>
        </w:tc>
        <w:tc>
          <w:tcPr>
            <w:tcW w:type="dxa" w:w="1008"/>
            <w:vAlign w:val="center"/>
          </w:tcPr>
          <w:p>
            <w:pPr>
              <w:jc w:val="center"/>
            </w:pPr>
            <w:r>
              <w:rPr>
                <w:sz w:val="17"/>
              </w:rPr>
            </w:r>
            <w:r>
              <w:rPr>
                <w:b w:val="0"/>
                <w:color w:val="000000"/>
                <w:sz w:val="17"/>
              </w:rPr>
              <w:t>0.0192</w:t>
            </w:r>
          </w:p>
        </w:tc>
        <w:tc>
          <w:tcPr>
            <w:tcW w:type="dxa" w:w="1008"/>
            <w:vAlign w:val="center"/>
          </w:tcPr>
          <w:p>
            <w:pPr>
              <w:jc w:val="center"/>
            </w:pPr>
            <w:r>
              <w:rPr>
                <w:sz w:val="17"/>
              </w:rPr>
            </w:r>
            <w:r>
              <w:rPr>
                <w:b w:val="0"/>
                <w:color w:val="000000"/>
                <w:sz w:val="17"/>
              </w:rPr>
              <w:t>28.737</w:t>
            </w:r>
          </w:p>
        </w:tc>
        <w:tc>
          <w:tcPr>
            <w:tcW w:type="dxa" w:w="1008"/>
            <w:vAlign w:val="center"/>
          </w:tcPr>
          <w:p>
            <w:pPr>
              <w:jc w:val="center"/>
            </w:pPr>
            <w:r>
              <w:rPr>
                <w:sz w:val="17"/>
              </w:rPr>
            </w:r>
            <w:r>
              <w:rPr>
                <w:b w:val="0"/>
                <w:color w:val="000000"/>
                <w:sz w:val="17"/>
              </w:rPr>
              <w:t>3.000</w:t>
            </w:r>
          </w:p>
        </w:tc>
      </w:tr>
    </w:tbl>
    <w:p/>
    <w:p>
      <w:pPr>
        <w:jc w:val="center"/>
      </w:pPr>
      <w:r>
        <w:rPr>
          <w:i/>
        </w:rPr>
        <w:t>[Model-comparison figure would be inserted here when present in reports/figures/modeling/]</w:t>
      </w:r>
    </w:p>
    <w:p>
      <w:pPr>
        <w:spacing w:before="40" w:after="180"/>
        <w:jc w:val="center"/>
      </w:pPr>
      <w:r>
        <w:rPr>
          <w:i/>
          <w:color w:val="5A5A5A"/>
          <w:sz w:val="18"/>
        </w:rPr>
        <w:t>Figure 5. Held-out test comparison across the four baseline regressors. (figure not found at generation time)</w:t>
      </w:r>
    </w:p>
    <w:p>
      <w:pPr>
        <w:pStyle w:val="Heading2"/>
      </w:pPr>
      <w:r>
        <w:t>5.1 Best baseline model: LightGBM</w:t>
      </w:r>
    </w:p>
    <w:p>
      <w:r>
        <w:t>LightGBM is the most suitable primary baseline among the four models. The reason is not only its highest test R². It also has the lowest test RMSE and MAE, the strongest cross-validation mean R², a very small CV standard deviation, and a substantially smaller train-to-test R² gap than the linear models. Its test R² of 0.8975 remains reasonably close to its training-only CV R² mean of 0.9470.</w:t>
      </w:r>
    </w:p>
    <w:p>
      <w:r>
        <w:t>Random Forest is a strong secondary baseline. Its test R² of 0.8759 and MAE of 12.24 remain good, and its train/test gap is only slightly larger than LightGBM. Keeping both tree ensembles provides robustness evidence that the nonlinear result is not dependent on a single boosting implementation.</w:t>
      </w:r>
    </w:p>
    <w:p>
      <w:r>
        <w:t>Linear Regression and Ridge are retained as benchmark models rather than discarded. Their negative held-out R² values indicate that the current multimodal predictor space is not adequately represented by a simple linear specification under the current split.</w:t>
      </w:r>
    </w:p>
    <w:p>
      <w:pPr>
        <w:jc w:val="center"/>
      </w:pPr>
      <w:r>
        <w:rPr>
          <w:i/>
        </w:rPr>
        <w:t>[CV versus test figure would be inserted here when present in reports/figures/modeling/]</w:t>
      </w:r>
    </w:p>
    <w:p>
      <w:pPr>
        <w:spacing w:before="40" w:after="180"/>
        <w:jc w:val="center"/>
      </w:pPr>
      <w:r>
        <w:rPr>
          <w:i/>
          <w:color w:val="5A5A5A"/>
          <w:sz w:val="18"/>
        </w:rPr>
        <w:t>Figure 6. Relationship between five-fold training CV R² and held-out test R². (figure not found at generation time)</w:t>
      </w:r>
    </w:p>
    <w:p>
      <w:pPr>
        <w:pStyle w:val="Heading2"/>
      </w:pPr>
      <w:r>
        <w:t>5.2 Year-wise behavior</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243447"/>
          </w:tcPr>
          <w:p>
            <w:pPr>
              <w:jc w:val="center"/>
            </w:pPr>
            <w:r>
              <w:rPr>
                <w:b/>
                <w:color w:val="FFFFFF"/>
                <w:sz w:val="17"/>
              </w:rPr>
            </w:r>
            <w:r>
              <w:rPr>
                <w:b/>
                <w:color w:val="FFFFFF"/>
                <w:sz w:val="17"/>
              </w:rPr>
              <w:t>Model</w:t>
            </w:r>
          </w:p>
        </w:tc>
        <w:tc>
          <w:tcPr>
            <w:tcW w:type="dxa" w:w="2016"/>
            <w:vAlign w:val="center"/>
            <w:shd w:fill="243447"/>
          </w:tcPr>
          <w:p>
            <w:pPr>
              <w:jc w:val="center"/>
            </w:pPr>
            <w:r>
              <w:rPr>
                <w:b/>
                <w:color w:val="FFFFFF"/>
                <w:sz w:val="17"/>
              </w:rPr>
            </w:r>
            <w:r>
              <w:rPr>
                <w:b/>
                <w:color w:val="FFFFFF"/>
                <w:sz w:val="17"/>
              </w:rPr>
              <w:t>2022 R²</w:t>
            </w:r>
          </w:p>
        </w:tc>
        <w:tc>
          <w:tcPr>
            <w:tcW w:type="dxa" w:w="2016"/>
            <w:vAlign w:val="center"/>
            <w:shd w:fill="243447"/>
          </w:tcPr>
          <w:p>
            <w:pPr>
              <w:jc w:val="center"/>
            </w:pPr>
            <w:r>
              <w:rPr>
                <w:b/>
                <w:color w:val="FFFFFF"/>
                <w:sz w:val="17"/>
              </w:rPr>
            </w:r>
            <w:r>
              <w:rPr>
                <w:b/>
                <w:color w:val="FFFFFF"/>
                <w:sz w:val="17"/>
              </w:rPr>
              <w:t>2023 R²</w:t>
            </w:r>
          </w:p>
        </w:tc>
        <w:tc>
          <w:tcPr>
            <w:tcW w:type="dxa" w:w="2016"/>
            <w:vAlign w:val="center"/>
            <w:shd w:fill="243447"/>
          </w:tcPr>
          <w:p>
            <w:pPr>
              <w:jc w:val="center"/>
            </w:pPr>
            <w:r>
              <w:rPr>
                <w:b/>
                <w:color w:val="FFFFFF"/>
                <w:sz w:val="17"/>
              </w:rPr>
            </w:r>
            <w:r>
              <w:rPr>
                <w:b/>
                <w:color w:val="FFFFFF"/>
                <w:sz w:val="17"/>
              </w:rPr>
              <w:t>2024 R²</w:t>
            </w:r>
          </w:p>
        </w:tc>
        <w:tc>
          <w:tcPr>
            <w:tcW w:type="dxa" w:w="2016"/>
            <w:vAlign w:val="center"/>
            <w:shd w:fill="243447"/>
          </w:tcPr>
          <w:p>
            <w:pPr>
              <w:jc w:val="center"/>
            </w:pPr>
            <w:r>
              <w:rPr>
                <w:b/>
                <w:color w:val="FFFFFF"/>
                <w:sz w:val="17"/>
              </w:rPr>
            </w:r>
            <w:r>
              <w:rPr>
                <w:b/>
                <w:color w:val="FFFFFF"/>
                <w:sz w:val="17"/>
              </w:rPr>
              <w:t>2025 R²</w:t>
            </w:r>
          </w:p>
        </w:tc>
      </w:tr>
      <w:tr>
        <w:tc>
          <w:tcPr>
            <w:tcW w:type="dxa" w:w="2016"/>
            <w:vAlign w:val="center"/>
          </w:tcPr>
          <w:p>
            <w:pPr>
              <w:jc w:val="center"/>
            </w:pPr>
            <w:r>
              <w:rPr>
                <w:sz w:val="17"/>
              </w:rPr>
            </w:r>
            <w:r>
              <w:rPr>
                <w:b w:val="0"/>
                <w:color w:val="000000"/>
                <w:sz w:val="17"/>
              </w:rPr>
              <w:t>Linear Regression</w:t>
            </w:r>
          </w:p>
        </w:tc>
        <w:tc>
          <w:tcPr>
            <w:tcW w:type="dxa" w:w="2016"/>
            <w:vAlign w:val="center"/>
          </w:tcPr>
          <w:p>
            <w:pPr>
              <w:jc w:val="center"/>
            </w:pPr>
            <w:r>
              <w:rPr>
                <w:sz w:val="17"/>
              </w:rPr>
            </w:r>
            <w:r>
              <w:rPr>
                <w:b w:val="0"/>
                <w:color w:val="000000"/>
                <w:sz w:val="17"/>
              </w:rPr>
              <w:t>-12.855</w:t>
            </w:r>
          </w:p>
        </w:tc>
        <w:tc>
          <w:tcPr>
            <w:tcW w:type="dxa" w:w="2016"/>
            <w:vAlign w:val="center"/>
          </w:tcPr>
          <w:p>
            <w:pPr>
              <w:jc w:val="center"/>
            </w:pPr>
            <w:r>
              <w:rPr>
                <w:sz w:val="17"/>
              </w:rPr>
            </w:r>
            <w:r>
              <w:rPr>
                <w:b w:val="0"/>
                <w:color w:val="000000"/>
                <w:sz w:val="17"/>
              </w:rPr>
              <w:t>0.903</w:t>
            </w:r>
          </w:p>
        </w:tc>
        <w:tc>
          <w:tcPr>
            <w:tcW w:type="dxa" w:w="2016"/>
            <w:vAlign w:val="center"/>
          </w:tcPr>
          <w:p>
            <w:pPr>
              <w:jc w:val="center"/>
            </w:pPr>
            <w:r>
              <w:rPr>
                <w:sz w:val="17"/>
              </w:rPr>
            </w:r>
            <w:r>
              <w:rPr>
                <w:b w:val="0"/>
                <w:color w:val="000000"/>
                <w:sz w:val="17"/>
              </w:rPr>
              <w:t>0.680</w:t>
            </w:r>
          </w:p>
        </w:tc>
        <w:tc>
          <w:tcPr>
            <w:tcW w:type="dxa" w:w="2016"/>
            <w:vAlign w:val="center"/>
          </w:tcPr>
          <w:p>
            <w:pPr>
              <w:jc w:val="center"/>
            </w:pPr>
            <w:r>
              <w:rPr>
                <w:sz w:val="17"/>
              </w:rPr>
            </w:r>
            <w:r>
              <w:rPr>
                <w:b w:val="0"/>
                <w:color w:val="000000"/>
                <w:sz w:val="17"/>
              </w:rPr>
              <w:t>0.821</w:t>
            </w:r>
          </w:p>
        </w:tc>
      </w:tr>
      <w:tr>
        <w:tc>
          <w:tcPr>
            <w:tcW w:type="dxa" w:w="2016"/>
            <w:vAlign w:val="center"/>
          </w:tcPr>
          <w:p>
            <w:pPr>
              <w:jc w:val="center"/>
            </w:pPr>
            <w:r>
              <w:rPr>
                <w:sz w:val="17"/>
              </w:rPr>
            </w:r>
            <w:r>
              <w:rPr>
                <w:b w:val="0"/>
                <w:color w:val="000000"/>
                <w:sz w:val="17"/>
              </w:rPr>
              <w:t>Ridge Regression</w:t>
            </w:r>
          </w:p>
        </w:tc>
        <w:tc>
          <w:tcPr>
            <w:tcW w:type="dxa" w:w="2016"/>
            <w:vAlign w:val="center"/>
          </w:tcPr>
          <w:p>
            <w:pPr>
              <w:jc w:val="center"/>
            </w:pPr>
            <w:r>
              <w:rPr>
                <w:sz w:val="17"/>
              </w:rPr>
            </w:r>
            <w:r>
              <w:rPr>
                <w:b w:val="0"/>
                <w:color w:val="000000"/>
                <w:sz w:val="17"/>
              </w:rPr>
              <w:t>-15.055</w:t>
            </w:r>
          </w:p>
        </w:tc>
        <w:tc>
          <w:tcPr>
            <w:tcW w:type="dxa" w:w="2016"/>
            <w:vAlign w:val="center"/>
          </w:tcPr>
          <w:p>
            <w:pPr>
              <w:jc w:val="center"/>
            </w:pPr>
            <w:r>
              <w:rPr>
                <w:sz w:val="17"/>
              </w:rPr>
            </w:r>
            <w:r>
              <w:rPr>
                <w:b w:val="0"/>
                <w:color w:val="000000"/>
                <w:sz w:val="17"/>
              </w:rPr>
              <w:t>0.894</w:t>
            </w:r>
          </w:p>
        </w:tc>
        <w:tc>
          <w:tcPr>
            <w:tcW w:type="dxa" w:w="2016"/>
            <w:vAlign w:val="center"/>
          </w:tcPr>
          <w:p>
            <w:pPr>
              <w:jc w:val="center"/>
            </w:pPr>
            <w:r>
              <w:rPr>
                <w:sz w:val="17"/>
              </w:rPr>
            </w:r>
            <w:r>
              <w:rPr>
                <w:b w:val="0"/>
                <w:color w:val="000000"/>
                <w:sz w:val="17"/>
              </w:rPr>
              <w:t>0.650</w:t>
            </w:r>
          </w:p>
        </w:tc>
        <w:tc>
          <w:tcPr>
            <w:tcW w:type="dxa" w:w="2016"/>
            <w:vAlign w:val="center"/>
          </w:tcPr>
          <w:p>
            <w:pPr>
              <w:jc w:val="center"/>
            </w:pPr>
            <w:r>
              <w:rPr>
                <w:sz w:val="17"/>
              </w:rPr>
            </w:r>
            <w:r>
              <w:rPr>
                <w:b w:val="0"/>
                <w:color w:val="000000"/>
                <w:sz w:val="17"/>
              </w:rPr>
              <w:t>0.826</w:t>
            </w:r>
          </w:p>
        </w:tc>
      </w:tr>
      <w:tr>
        <w:tc>
          <w:tcPr>
            <w:tcW w:type="dxa" w:w="2016"/>
            <w:vAlign w:val="center"/>
          </w:tcPr>
          <w:p>
            <w:pPr>
              <w:jc w:val="center"/>
            </w:pPr>
            <w:r>
              <w:rPr>
                <w:sz w:val="17"/>
              </w:rPr>
            </w:r>
            <w:r>
              <w:rPr>
                <w:b w:val="0"/>
                <w:color w:val="000000"/>
                <w:sz w:val="17"/>
              </w:rPr>
              <w:t>Random Forest</w:t>
            </w:r>
          </w:p>
        </w:tc>
        <w:tc>
          <w:tcPr>
            <w:tcW w:type="dxa" w:w="2016"/>
            <w:vAlign w:val="center"/>
          </w:tcPr>
          <w:p>
            <w:pPr>
              <w:jc w:val="center"/>
            </w:pPr>
            <w:r>
              <w:rPr>
                <w:sz w:val="17"/>
              </w:rPr>
            </w:r>
            <w:r>
              <w:rPr>
                <w:b w:val="0"/>
                <w:color w:val="000000"/>
                <w:sz w:val="17"/>
              </w:rPr>
              <w:t>0.880</w:t>
            </w:r>
          </w:p>
        </w:tc>
        <w:tc>
          <w:tcPr>
            <w:tcW w:type="dxa" w:w="2016"/>
            <w:vAlign w:val="center"/>
          </w:tcPr>
          <w:p>
            <w:pPr>
              <w:jc w:val="center"/>
            </w:pPr>
            <w:r>
              <w:rPr>
                <w:sz w:val="17"/>
              </w:rPr>
            </w:r>
            <w:r>
              <w:rPr>
                <w:b w:val="0"/>
                <w:color w:val="000000"/>
                <w:sz w:val="17"/>
              </w:rPr>
              <w:t>0.948</w:t>
            </w:r>
          </w:p>
        </w:tc>
        <w:tc>
          <w:tcPr>
            <w:tcW w:type="dxa" w:w="2016"/>
            <w:vAlign w:val="center"/>
          </w:tcPr>
          <w:p>
            <w:pPr>
              <w:jc w:val="center"/>
            </w:pPr>
            <w:r>
              <w:rPr>
                <w:sz w:val="17"/>
              </w:rPr>
            </w:r>
            <w:r>
              <w:rPr>
                <w:b w:val="0"/>
                <w:color w:val="000000"/>
                <w:sz w:val="17"/>
              </w:rPr>
              <w:t>0.718</w:t>
            </w:r>
          </w:p>
        </w:tc>
        <w:tc>
          <w:tcPr>
            <w:tcW w:type="dxa" w:w="2016"/>
            <w:vAlign w:val="center"/>
          </w:tcPr>
          <w:p>
            <w:pPr>
              <w:jc w:val="center"/>
            </w:pPr>
            <w:r>
              <w:rPr>
                <w:sz w:val="17"/>
              </w:rPr>
            </w:r>
            <w:r>
              <w:rPr>
                <w:b w:val="0"/>
                <w:color w:val="000000"/>
                <w:sz w:val="17"/>
              </w:rPr>
              <w:t>0.940</w:t>
            </w:r>
          </w:p>
        </w:tc>
      </w:tr>
      <w:tr>
        <w:tc>
          <w:tcPr>
            <w:tcW w:type="dxa" w:w="2016"/>
            <w:vAlign w:val="center"/>
          </w:tcPr>
          <w:p>
            <w:pPr>
              <w:jc w:val="center"/>
            </w:pPr>
            <w:r>
              <w:rPr>
                <w:sz w:val="17"/>
              </w:rPr>
            </w:r>
            <w:r>
              <w:rPr>
                <w:b w:val="0"/>
                <w:color w:val="000000"/>
                <w:sz w:val="17"/>
              </w:rPr>
              <w:t>LightGBM</w:t>
            </w:r>
          </w:p>
        </w:tc>
        <w:tc>
          <w:tcPr>
            <w:tcW w:type="dxa" w:w="2016"/>
            <w:vAlign w:val="center"/>
          </w:tcPr>
          <w:p>
            <w:pPr>
              <w:jc w:val="center"/>
            </w:pPr>
            <w:r>
              <w:rPr>
                <w:sz w:val="17"/>
              </w:rPr>
            </w:r>
            <w:r>
              <w:rPr>
                <w:b w:val="0"/>
                <w:color w:val="000000"/>
                <w:sz w:val="17"/>
              </w:rPr>
              <w:t>0.914</w:t>
            </w:r>
          </w:p>
        </w:tc>
        <w:tc>
          <w:tcPr>
            <w:tcW w:type="dxa" w:w="2016"/>
            <w:vAlign w:val="center"/>
          </w:tcPr>
          <w:p>
            <w:pPr>
              <w:jc w:val="center"/>
            </w:pPr>
            <w:r>
              <w:rPr>
                <w:sz w:val="17"/>
              </w:rPr>
            </w:r>
            <w:r>
              <w:rPr>
                <w:b w:val="0"/>
                <w:color w:val="000000"/>
                <w:sz w:val="17"/>
              </w:rPr>
              <w:t>0.963</w:t>
            </w:r>
          </w:p>
        </w:tc>
        <w:tc>
          <w:tcPr>
            <w:tcW w:type="dxa" w:w="2016"/>
            <w:vAlign w:val="center"/>
          </w:tcPr>
          <w:p>
            <w:pPr>
              <w:jc w:val="center"/>
            </w:pPr>
            <w:r>
              <w:rPr>
                <w:sz w:val="17"/>
              </w:rPr>
            </w:r>
            <w:r>
              <w:rPr>
                <w:b w:val="0"/>
                <w:color w:val="000000"/>
                <w:sz w:val="17"/>
              </w:rPr>
              <w:t>0.740</w:t>
            </w:r>
          </w:p>
        </w:tc>
        <w:tc>
          <w:tcPr>
            <w:tcW w:type="dxa" w:w="2016"/>
            <w:vAlign w:val="center"/>
          </w:tcPr>
          <w:p>
            <w:pPr>
              <w:jc w:val="center"/>
            </w:pPr>
            <w:r>
              <w:rPr>
                <w:sz w:val="17"/>
              </w:rPr>
            </w:r>
            <w:r>
              <w:rPr>
                <w:b w:val="0"/>
                <w:color w:val="000000"/>
                <w:sz w:val="17"/>
              </w:rPr>
              <w:t>0.961</w:t>
            </w:r>
          </w:p>
        </w:tc>
      </w:tr>
    </w:tbl>
    <w:p/>
    <w:p>
      <w:r>
        <w:t>Both nonlinear models remain positive across all four years. The weakest year for both is 2024, which is worth carrying forward into residual and data-quality diagnostics rather than interpreting immediately as a scientific effect. The consistency across 2022, 2023 and 2025 is encouraging, while the 2024 decline suggests a year-specific regime or data characteristic deserves further inspection.</w:t>
      </w:r>
    </w:p>
    <w:p>
      <w:pPr>
        <w:jc w:val="center"/>
      </w:pPr>
      <w:r>
        <w:rPr>
          <w:i/>
        </w:rPr>
        <w:t>[Year-wise performance figure would be inserted here when present in reports/figures/modeling/]</w:t>
      </w:r>
    </w:p>
    <w:p>
      <w:pPr>
        <w:spacing w:before="40" w:after="180"/>
        <w:jc w:val="center"/>
      </w:pPr>
      <w:r>
        <w:rPr>
          <w:i/>
          <w:color w:val="5A5A5A"/>
          <w:sz w:val="18"/>
        </w:rPr>
        <w:t>Figure 7. Year-wise held-out performance for Random Forest and LightGBM. (figure not found at generation time)</w:t>
      </w:r>
    </w:p>
    <w:p>
      <w:pPr>
        <w:pStyle w:val="Heading2"/>
      </w:pPr>
      <w:r>
        <w:t>5.3 Season-wise behavior</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243447"/>
          </w:tcPr>
          <w:p>
            <w:pPr>
              <w:jc w:val="center"/>
            </w:pPr>
            <w:r>
              <w:rPr>
                <w:b/>
                <w:color w:val="FFFFFF"/>
                <w:sz w:val="17"/>
              </w:rPr>
            </w:r>
            <w:r>
              <w:rPr>
                <w:b/>
                <w:color w:val="FFFFFF"/>
                <w:sz w:val="17"/>
              </w:rPr>
              <w:t>Model</w:t>
            </w:r>
          </w:p>
        </w:tc>
        <w:tc>
          <w:tcPr>
            <w:tcW w:type="dxa" w:w="2016"/>
            <w:vAlign w:val="center"/>
            <w:shd w:fill="243447"/>
          </w:tcPr>
          <w:p>
            <w:pPr>
              <w:jc w:val="center"/>
            </w:pPr>
            <w:r>
              <w:rPr>
                <w:b/>
                <w:color w:val="FFFFFF"/>
                <w:sz w:val="17"/>
              </w:rPr>
            </w:r>
            <w:r>
              <w:rPr>
                <w:b/>
                <w:color w:val="FFFFFF"/>
                <w:sz w:val="17"/>
              </w:rPr>
              <w:t>Winter R²</w:t>
            </w:r>
          </w:p>
        </w:tc>
        <w:tc>
          <w:tcPr>
            <w:tcW w:type="dxa" w:w="2016"/>
            <w:vAlign w:val="center"/>
            <w:shd w:fill="243447"/>
          </w:tcPr>
          <w:p>
            <w:pPr>
              <w:jc w:val="center"/>
            </w:pPr>
            <w:r>
              <w:rPr>
                <w:b/>
                <w:color w:val="FFFFFF"/>
                <w:sz w:val="17"/>
              </w:rPr>
            </w:r>
            <w:r>
              <w:rPr>
                <w:b/>
                <w:color w:val="FFFFFF"/>
                <w:sz w:val="17"/>
              </w:rPr>
              <w:t>Summer R²</w:t>
            </w:r>
          </w:p>
        </w:tc>
        <w:tc>
          <w:tcPr>
            <w:tcW w:type="dxa" w:w="2016"/>
            <w:vAlign w:val="center"/>
            <w:shd w:fill="243447"/>
          </w:tcPr>
          <w:p>
            <w:pPr>
              <w:jc w:val="center"/>
            </w:pPr>
            <w:r>
              <w:rPr>
                <w:b/>
                <w:color w:val="FFFFFF"/>
                <w:sz w:val="17"/>
              </w:rPr>
            </w:r>
            <w:r>
              <w:rPr>
                <w:b/>
                <w:color w:val="FFFFFF"/>
                <w:sz w:val="17"/>
              </w:rPr>
              <w:t>Monsoon R²</w:t>
            </w:r>
          </w:p>
        </w:tc>
        <w:tc>
          <w:tcPr>
            <w:tcW w:type="dxa" w:w="2016"/>
            <w:vAlign w:val="center"/>
            <w:shd w:fill="243447"/>
          </w:tcPr>
          <w:p>
            <w:pPr>
              <w:jc w:val="center"/>
            </w:pPr>
            <w:r>
              <w:rPr>
                <w:b/>
                <w:color w:val="FFFFFF"/>
                <w:sz w:val="17"/>
              </w:rPr>
            </w:r>
            <w:r>
              <w:rPr>
                <w:b/>
                <w:color w:val="FFFFFF"/>
                <w:sz w:val="17"/>
              </w:rPr>
              <w:t>Post-monsoon R²</w:t>
            </w:r>
          </w:p>
        </w:tc>
      </w:tr>
      <w:tr>
        <w:tc>
          <w:tcPr>
            <w:tcW w:type="dxa" w:w="2016"/>
            <w:vAlign w:val="center"/>
          </w:tcPr>
          <w:p>
            <w:pPr>
              <w:jc w:val="center"/>
            </w:pPr>
            <w:r>
              <w:rPr>
                <w:sz w:val="17"/>
              </w:rPr>
            </w:r>
            <w:r>
              <w:rPr>
                <w:b w:val="0"/>
                <w:color w:val="000000"/>
                <w:sz w:val="17"/>
              </w:rPr>
              <w:t>LightGBM</w:t>
            </w:r>
          </w:p>
        </w:tc>
        <w:tc>
          <w:tcPr>
            <w:tcW w:type="dxa" w:w="2016"/>
            <w:vAlign w:val="center"/>
          </w:tcPr>
          <w:p>
            <w:pPr>
              <w:jc w:val="center"/>
            </w:pPr>
            <w:r>
              <w:rPr>
                <w:sz w:val="17"/>
              </w:rPr>
            </w:r>
            <w:r>
              <w:rPr>
                <w:b w:val="0"/>
                <w:color w:val="000000"/>
                <w:sz w:val="17"/>
              </w:rPr>
              <w:t>0.874</w:t>
            </w:r>
          </w:p>
        </w:tc>
        <w:tc>
          <w:tcPr>
            <w:tcW w:type="dxa" w:w="2016"/>
            <w:vAlign w:val="center"/>
          </w:tcPr>
          <w:p>
            <w:pPr>
              <w:jc w:val="center"/>
            </w:pPr>
            <w:r>
              <w:rPr>
                <w:sz w:val="17"/>
              </w:rPr>
            </w:r>
            <w:r>
              <w:rPr>
                <w:b w:val="0"/>
                <w:color w:val="000000"/>
                <w:sz w:val="17"/>
              </w:rPr>
              <w:t>0.766</w:t>
            </w:r>
          </w:p>
        </w:tc>
        <w:tc>
          <w:tcPr>
            <w:tcW w:type="dxa" w:w="2016"/>
            <w:vAlign w:val="center"/>
          </w:tcPr>
          <w:p>
            <w:pPr>
              <w:jc w:val="center"/>
            </w:pPr>
            <w:r>
              <w:rPr>
                <w:sz w:val="17"/>
              </w:rPr>
            </w:r>
            <w:r>
              <w:rPr>
                <w:b w:val="0"/>
                <w:color w:val="000000"/>
                <w:sz w:val="17"/>
              </w:rPr>
              <w:t>0.529</w:t>
            </w:r>
          </w:p>
        </w:tc>
        <w:tc>
          <w:tcPr>
            <w:tcW w:type="dxa" w:w="2016"/>
            <w:vAlign w:val="center"/>
          </w:tcPr>
          <w:p>
            <w:pPr>
              <w:jc w:val="center"/>
            </w:pPr>
            <w:r>
              <w:rPr>
                <w:sz w:val="17"/>
              </w:rPr>
            </w:r>
            <w:r>
              <w:rPr>
                <w:b w:val="0"/>
                <w:color w:val="000000"/>
                <w:sz w:val="17"/>
              </w:rPr>
              <w:t>0.620</w:t>
            </w:r>
          </w:p>
        </w:tc>
      </w:tr>
      <w:tr>
        <w:tc>
          <w:tcPr>
            <w:tcW w:type="dxa" w:w="2016"/>
            <w:vAlign w:val="center"/>
          </w:tcPr>
          <w:p>
            <w:pPr>
              <w:jc w:val="center"/>
            </w:pPr>
            <w:r>
              <w:rPr>
                <w:sz w:val="17"/>
              </w:rPr>
            </w:r>
            <w:r>
              <w:rPr>
                <w:b w:val="0"/>
                <w:color w:val="000000"/>
                <w:sz w:val="17"/>
              </w:rPr>
              <w:t>Random Forest</w:t>
            </w:r>
          </w:p>
        </w:tc>
        <w:tc>
          <w:tcPr>
            <w:tcW w:type="dxa" w:w="2016"/>
            <w:vAlign w:val="center"/>
          </w:tcPr>
          <w:p>
            <w:pPr>
              <w:jc w:val="center"/>
            </w:pPr>
            <w:r>
              <w:rPr>
                <w:sz w:val="17"/>
              </w:rPr>
            </w:r>
            <w:r>
              <w:rPr>
                <w:b w:val="0"/>
                <w:color w:val="000000"/>
                <w:sz w:val="17"/>
              </w:rPr>
              <w:t>0.819</w:t>
            </w:r>
          </w:p>
        </w:tc>
        <w:tc>
          <w:tcPr>
            <w:tcW w:type="dxa" w:w="2016"/>
            <w:vAlign w:val="center"/>
          </w:tcPr>
          <w:p>
            <w:pPr>
              <w:jc w:val="center"/>
            </w:pPr>
            <w:r>
              <w:rPr>
                <w:sz w:val="17"/>
              </w:rPr>
            </w:r>
            <w:r>
              <w:rPr>
                <w:b w:val="0"/>
                <w:color w:val="000000"/>
                <w:sz w:val="17"/>
              </w:rPr>
              <w:t>0.677</w:t>
            </w:r>
          </w:p>
        </w:tc>
        <w:tc>
          <w:tcPr>
            <w:tcW w:type="dxa" w:w="2016"/>
            <w:vAlign w:val="center"/>
          </w:tcPr>
          <w:p>
            <w:pPr>
              <w:jc w:val="center"/>
            </w:pPr>
            <w:r>
              <w:rPr>
                <w:sz w:val="17"/>
              </w:rPr>
            </w:r>
            <w:r>
              <w:rPr>
                <w:b w:val="0"/>
                <w:color w:val="000000"/>
                <w:sz w:val="17"/>
              </w:rPr>
              <w:t>0.444</w:t>
            </w:r>
          </w:p>
        </w:tc>
        <w:tc>
          <w:tcPr>
            <w:tcW w:type="dxa" w:w="2016"/>
            <w:vAlign w:val="center"/>
          </w:tcPr>
          <w:p>
            <w:pPr>
              <w:jc w:val="center"/>
            </w:pPr>
            <w:r>
              <w:rPr>
                <w:sz w:val="17"/>
              </w:rPr>
            </w:r>
            <w:r>
              <w:rPr>
                <w:b w:val="0"/>
                <w:color w:val="000000"/>
                <w:sz w:val="17"/>
              </w:rPr>
              <w:t>0.573</w:t>
            </w:r>
          </w:p>
        </w:tc>
      </w:tr>
      <w:tr>
        <w:tc>
          <w:tcPr>
            <w:tcW w:type="dxa" w:w="2016"/>
            <w:vAlign w:val="center"/>
          </w:tcPr>
          <w:p>
            <w:pPr>
              <w:jc w:val="center"/>
            </w:pPr>
            <w:r>
              <w:rPr>
                <w:sz w:val="17"/>
              </w:rPr>
            </w:r>
            <w:r>
              <w:rPr>
                <w:b w:val="0"/>
                <w:color w:val="000000"/>
                <w:sz w:val="17"/>
              </w:rPr>
              <w:t>Linear Regression</w:t>
            </w:r>
          </w:p>
        </w:tc>
        <w:tc>
          <w:tcPr>
            <w:tcW w:type="dxa" w:w="2016"/>
            <w:vAlign w:val="center"/>
          </w:tcPr>
          <w:p>
            <w:pPr>
              <w:jc w:val="center"/>
            </w:pPr>
            <w:r>
              <w:rPr>
                <w:sz w:val="17"/>
              </w:rPr>
            </w:r>
            <w:r>
              <w:rPr>
                <w:b w:val="0"/>
                <w:color w:val="000000"/>
                <w:sz w:val="17"/>
              </w:rPr>
              <w:t>0.685</w:t>
            </w:r>
          </w:p>
        </w:tc>
        <w:tc>
          <w:tcPr>
            <w:tcW w:type="dxa" w:w="2016"/>
            <w:vAlign w:val="center"/>
          </w:tcPr>
          <w:p>
            <w:pPr>
              <w:jc w:val="center"/>
            </w:pPr>
            <w:r>
              <w:rPr>
                <w:sz w:val="17"/>
              </w:rPr>
            </w:r>
            <w:r>
              <w:rPr>
                <w:b w:val="0"/>
                <w:color w:val="000000"/>
                <w:sz w:val="17"/>
              </w:rPr>
              <w:t>0.291</w:t>
            </w:r>
          </w:p>
        </w:tc>
        <w:tc>
          <w:tcPr>
            <w:tcW w:type="dxa" w:w="2016"/>
            <w:vAlign w:val="center"/>
          </w:tcPr>
          <w:p>
            <w:pPr>
              <w:jc w:val="center"/>
            </w:pPr>
            <w:r>
              <w:rPr>
                <w:sz w:val="17"/>
              </w:rPr>
            </w:r>
            <w:r>
              <w:rPr>
                <w:b w:val="0"/>
                <w:color w:val="000000"/>
                <w:sz w:val="17"/>
              </w:rPr>
              <w:t>-309.493</w:t>
            </w:r>
          </w:p>
        </w:tc>
        <w:tc>
          <w:tcPr>
            <w:tcW w:type="dxa" w:w="2016"/>
            <w:vAlign w:val="center"/>
          </w:tcPr>
          <w:p>
            <w:pPr>
              <w:jc w:val="center"/>
            </w:pPr>
            <w:r>
              <w:rPr>
                <w:sz w:val="17"/>
              </w:rPr>
            </w:r>
            <w:r>
              <w:rPr>
                <w:b w:val="0"/>
                <w:color w:val="000000"/>
                <w:sz w:val="17"/>
              </w:rPr>
              <w:t>0.535</w:t>
            </w:r>
          </w:p>
        </w:tc>
      </w:tr>
      <w:tr>
        <w:tc>
          <w:tcPr>
            <w:tcW w:type="dxa" w:w="2016"/>
            <w:vAlign w:val="center"/>
          </w:tcPr>
          <w:p>
            <w:pPr>
              <w:jc w:val="center"/>
            </w:pPr>
            <w:r>
              <w:rPr>
                <w:sz w:val="17"/>
              </w:rPr>
            </w:r>
            <w:r>
              <w:rPr>
                <w:b w:val="0"/>
                <w:color w:val="000000"/>
                <w:sz w:val="17"/>
              </w:rPr>
              <w:t>Ridge Regression</w:t>
            </w:r>
          </w:p>
        </w:tc>
        <w:tc>
          <w:tcPr>
            <w:tcW w:type="dxa" w:w="2016"/>
            <w:vAlign w:val="center"/>
          </w:tcPr>
          <w:p>
            <w:pPr>
              <w:jc w:val="center"/>
            </w:pPr>
            <w:r>
              <w:rPr>
                <w:sz w:val="17"/>
              </w:rPr>
            </w:r>
            <w:r>
              <w:rPr>
                <w:b w:val="0"/>
                <w:color w:val="000000"/>
                <w:sz w:val="17"/>
              </w:rPr>
              <w:t>0.642</w:t>
            </w:r>
          </w:p>
        </w:tc>
        <w:tc>
          <w:tcPr>
            <w:tcW w:type="dxa" w:w="2016"/>
            <w:vAlign w:val="center"/>
          </w:tcPr>
          <w:p>
            <w:pPr>
              <w:jc w:val="center"/>
            </w:pPr>
            <w:r>
              <w:rPr>
                <w:sz w:val="17"/>
              </w:rPr>
            </w:r>
            <w:r>
              <w:rPr>
                <w:b w:val="0"/>
                <w:color w:val="000000"/>
                <w:sz w:val="17"/>
              </w:rPr>
              <w:t>0.304</w:t>
            </w:r>
          </w:p>
        </w:tc>
        <w:tc>
          <w:tcPr>
            <w:tcW w:type="dxa" w:w="2016"/>
            <w:vAlign w:val="center"/>
          </w:tcPr>
          <w:p>
            <w:pPr>
              <w:jc w:val="center"/>
            </w:pPr>
            <w:r>
              <w:rPr>
                <w:sz w:val="17"/>
              </w:rPr>
            </w:r>
            <w:r>
              <w:rPr>
                <w:b w:val="0"/>
                <w:color w:val="000000"/>
                <w:sz w:val="17"/>
              </w:rPr>
              <w:t>-358.458</w:t>
            </w:r>
          </w:p>
        </w:tc>
        <w:tc>
          <w:tcPr>
            <w:tcW w:type="dxa" w:w="2016"/>
            <w:vAlign w:val="center"/>
          </w:tcPr>
          <w:p>
            <w:pPr>
              <w:jc w:val="center"/>
            </w:pPr>
            <w:r>
              <w:rPr>
                <w:sz w:val="17"/>
              </w:rPr>
            </w:r>
            <w:r>
              <w:rPr>
                <w:b w:val="0"/>
                <w:color w:val="000000"/>
                <w:sz w:val="17"/>
              </w:rPr>
              <w:t>0.497</w:t>
            </w:r>
          </w:p>
        </w:tc>
      </w:tr>
    </w:tbl>
    <w:p/>
    <w:p>
      <w:r>
        <w:t>The tree-based models remain positive in all four seasons, with strongest performance in winter and weakest in monsoon. The linear models fail dramatically in monsoon because a relatively small number of extreme residuals makes the squared-error criterion unstable. This seasonal pattern is best treated as a robustness finding and a prompt for residual/meterological inspection, not as proof of a biological or causal mechanism.</w:t>
      </w:r>
    </w:p>
    <w:p>
      <w:pPr>
        <w:jc w:val="center"/>
      </w:pPr>
      <w:r>
        <w:rPr>
          <w:i/>
        </w:rPr>
        <w:t>[Season-wise performance figure would be inserted here when present in reports/figures/modeling/]</w:t>
      </w:r>
    </w:p>
    <w:p>
      <w:pPr>
        <w:spacing w:before="40" w:after="180"/>
        <w:jc w:val="center"/>
      </w:pPr>
      <w:r>
        <w:rPr>
          <w:i/>
          <w:color w:val="5A5A5A"/>
          <w:sz w:val="18"/>
        </w:rPr>
        <w:t>Figure 8. Season-wise held-out performance for Random Forest and LightGBM. (figure not found at generation time)</w:t>
      </w:r>
    </w:p>
    <w:p>
      <w:pPr>
        <w:pStyle w:val="Heading1"/>
      </w:pPr>
      <w:r>
        <w:t>6. Secondary Generalization Checks</w:t>
      </w:r>
    </w:p>
    <w:p>
      <w:r>
        <w:t>The primary holdout is not a spatial generalization test because the same monitoring stations can contribute observations to both train and test. Secondary grouped validation was therefore reported separately. A station-grouped evaluation is closer to the question of transfer to previously unseen monitoring locations, while year-grouped validation is a temporal transfer diagnostic.</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243447"/>
          </w:tcPr>
          <w:p>
            <w:pPr>
              <w:jc w:val="center"/>
            </w:pPr>
            <w:r>
              <w:rPr>
                <w:b/>
                <w:color w:val="FFFFFF"/>
                <w:sz w:val="17"/>
              </w:rPr>
            </w:r>
            <w:r>
              <w:rPr>
                <w:b/>
                <w:color w:val="FFFFFF"/>
                <w:sz w:val="17"/>
              </w:rPr>
              <w:t>Model</w:t>
            </w:r>
          </w:p>
        </w:tc>
        <w:tc>
          <w:tcPr>
            <w:tcW w:type="dxa" w:w="3360"/>
            <w:vAlign w:val="center"/>
            <w:shd w:fill="243447"/>
          </w:tcPr>
          <w:p>
            <w:pPr>
              <w:jc w:val="center"/>
            </w:pPr>
            <w:r>
              <w:rPr>
                <w:b/>
                <w:color w:val="FFFFFF"/>
                <w:sz w:val="17"/>
              </w:rPr>
            </w:r>
            <w:r>
              <w:rPr>
                <w:b/>
                <w:color w:val="FFFFFF"/>
                <w:sz w:val="17"/>
              </w:rPr>
              <w:t>Spatial grouped CV mean R²</w:t>
            </w:r>
          </w:p>
        </w:tc>
        <w:tc>
          <w:tcPr>
            <w:tcW w:type="dxa" w:w="3360"/>
            <w:vAlign w:val="center"/>
            <w:shd w:fill="243447"/>
          </w:tcPr>
          <w:p>
            <w:pPr>
              <w:jc w:val="center"/>
            </w:pPr>
            <w:r>
              <w:rPr>
                <w:b/>
                <w:color w:val="FFFFFF"/>
                <w:sz w:val="17"/>
              </w:rPr>
            </w:r>
            <w:r>
              <w:rPr>
                <w:b/>
                <w:color w:val="FFFFFF"/>
                <w:sz w:val="17"/>
              </w:rPr>
              <w:t>Temporal grouped CV mean R²</w:t>
            </w:r>
          </w:p>
        </w:tc>
      </w:tr>
      <w:tr>
        <w:tc>
          <w:tcPr>
            <w:tcW w:type="dxa" w:w="3360"/>
            <w:vAlign w:val="center"/>
          </w:tcPr>
          <w:p>
            <w:pPr>
              <w:jc w:val="center"/>
            </w:pPr>
            <w:r>
              <w:rPr>
                <w:sz w:val="17"/>
              </w:rPr>
            </w:r>
            <w:r>
              <w:rPr>
                <w:b w:val="0"/>
                <w:color w:val="000000"/>
                <w:sz w:val="17"/>
              </w:rPr>
              <w:t>Linear Regression</w:t>
            </w:r>
          </w:p>
        </w:tc>
        <w:tc>
          <w:tcPr>
            <w:tcW w:type="dxa" w:w="3360"/>
            <w:vAlign w:val="center"/>
          </w:tcPr>
          <w:p>
            <w:pPr>
              <w:jc w:val="center"/>
            </w:pPr>
            <w:r>
              <w:rPr>
                <w:sz w:val="17"/>
              </w:rPr>
            </w:r>
            <w:r>
              <w:rPr>
                <w:b w:val="0"/>
                <w:color w:val="000000"/>
                <w:sz w:val="17"/>
              </w:rPr>
              <w:t>-19.8529</w:t>
            </w:r>
          </w:p>
        </w:tc>
        <w:tc>
          <w:tcPr>
            <w:tcW w:type="dxa" w:w="3360"/>
            <w:vAlign w:val="center"/>
          </w:tcPr>
          <w:p>
            <w:pPr>
              <w:jc w:val="center"/>
            </w:pPr>
            <w:r>
              <w:rPr>
                <w:sz w:val="17"/>
              </w:rPr>
            </w:r>
            <w:r>
              <w:rPr>
                <w:b w:val="0"/>
                <w:color w:val="000000"/>
                <w:sz w:val="17"/>
              </w:rPr>
              <w:t>0.6688</w:t>
            </w:r>
          </w:p>
        </w:tc>
      </w:tr>
      <w:tr>
        <w:tc>
          <w:tcPr>
            <w:tcW w:type="dxa" w:w="3360"/>
            <w:vAlign w:val="center"/>
          </w:tcPr>
          <w:p>
            <w:pPr>
              <w:jc w:val="center"/>
            </w:pPr>
            <w:r>
              <w:rPr>
                <w:sz w:val="17"/>
              </w:rPr>
            </w:r>
            <w:r>
              <w:rPr>
                <w:b w:val="0"/>
                <w:color w:val="000000"/>
                <w:sz w:val="17"/>
              </w:rPr>
              <w:t>Ridge Regression</w:t>
            </w:r>
          </w:p>
        </w:tc>
        <w:tc>
          <w:tcPr>
            <w:tcW w:type="dxa" w:w="3360"/>
            <w:vAlign w:val="center"/>
          </w:tcPr>
          <w:p>
            <w:pPr>
              <w:jc w:val="center"/>
            </w:pPr>
            <w:r>
              <w:rPr>
                <w:sz w:val="17"/>
              </w:rPr>
            </w:r>
            <w:r>
              <w:rPr>
                <w:b w:val="0"/>
                <w:color w:val="000000"/>
                <w:sz w:val="17"/>
              </w:rPr>
              <w:t>-3.0569</w:t>
            </w:r>
          </w:p>
        </w:tc>
        <w:tc>
          <w:tcPr>
            <w:tcW w:type="dxa" w:w="3360"/>
            <w:vAlign w:val="center"/>
          </w:tcPr>
          <w:p>
            <w:pPr>
              <w:jc w:val="center"/>
            </w:pPr>
            <w:r>
              <w:rPr>
                <w:sz w:val="17"/>
              </w:rPr>
            </w:r>
            <w:r>
              <w:rPr>
                <w:b w:val="0"/>
                <w:color w:val="000000"/>
                <w:sz w:val="17"/>
              </w:rPr>
              <w:t>0.7162</w:t>
            </w:r>
          </w:p>
        </w:tc>
      </w:tr>
      <w:tr>
        <w:tc>
          <w:tcPr>
            <w:tcW w:type="dxa" w:w="3360"/>
            <w:vAlign w:val="center"/>
          </w:tcPr>
          <w:p>
            <w:pPr>
              <w:jc w:val="center"/>
            </w:pPr>
            <w:r>
              <w:rPr>
                <w:sz w:val="17"/>
              </w:rPr>
            </w:r>
            <w:r>
              <w:rPr>
                <w:b w:val="0"/>
                <w:color w:val="000000"/>
                <w:sz w:val="17"/>
              </w:rPr>
              <w:t>Random Forest</w:t>
            </w:r>
          </w:p>
        </w:tc>
        <w:tc>
          <w:tcPr>
            <w:tcW w:type="dxa" w:w="3360"/>
            <w:vAlign w:val="center"/>
          </w:tcPr>
          <w:p>
            <w:pPr>
              <w:jc w:val="center"/>
            </w:pPr>
            <w:r>
              <w:rPr>
                <w:sz w:val="17"/>
              </w:rPr>
            </w:r>
            <w:r>
              <w:rPr>
                <w:b w:val="0"/>
                <w:color w:val="000000"/>
                <w:sz w:val="17"/>
              </w:rPr>
              <w:t>0.8672</w:t>
            </w:r>
          </w:p>
        </w:tc>
        <w:tc>
          <w:tcPr>
            <w:tcW w:type="dxa" w:w="3360"/>
            <w:vAlign w:val="center"/>
          </w:tcPr>
          <w:p>
            <w:pPr>
              <w:jc w:val="center"/>
            </w:pPr>
            <w:r>
              <w:rPr>
                <w:sz w:val="17"/>
              </w:rPr>
            </w:r>
            <w:r>
              <w:rPr>
                <w:b w:val="0"/>
                <w:color w:val="000000"/>
                <w:sz w:val="17"/>
              </w:rPr>
              <w:t>0.8564</w:t>
            </w:r>
          </w:p>
        </w:tc>
      </w:tr>
      <w:tr>
        <w:tc>
          <w:tcPr>
            <w:tcW w:type="dxa" w:w="3360"/>
            <w:vAlign w:val="center"/>
          </w:tcPr>
          <w:p>
            <w:pPr>
              <w:jc w:val="center"/>
            </w:pPr>
            <w:r>
              <w:rPr>
                <w:sz w:val="17"/>
              </w:rPr>
            </w:r>
            <w:r>
              <w:rPr>
                <w:b w:val="0"/>
                <w:color w:val="000000"/>
                <w:sz w:val="17"/>
              </w:rPr>
              <w:t>LightGBM</w:t>
            </w:r>
          </w:p>
        </w:tc>
        <w:tc>
          <w:tcPr>
            <w:tcW w:type="dxa" w:w="3360"/>
            <w:vAlign w:val="center"/>
          </w:tcPr>
          <w:p>
            <w:pPr>
              <w:jc w:val="center"/>
            </w:pPr>
            <w:r>
              <w:rPr>
                <w:sz w:val="17"/>
              </w:rPr>
            </w:r>
            <w:r>
              <w:rPr>
                <w:b w:val="0"/>
                <w:color w:val="000000"/>
                <w:sz w:val="17"/>
              </w:rPr>
              <w:t>0.8643</w:t>
            </w:r>
          </w:p>
        </w:tc>
        <w:tc>
          <w:tcPr>
            <w:tcW w:type="dxa" w:w="3360"/>
            <w:vAlign w:val="center"/>
          </w:tcPr>
          <w:p>
            <w:pPr>
              <w:jc w:val="center"/>
            </w:pPr>
            <w:r>
              <w:rPr>
                <w:sz w:val="17"/>
              </w:rPr>
            </w:r>
            <w:r>
              <w:rPr>
                <w:b w:val="0"/>
                <w:color w:val="000000"/>
                <w:sz w:val="17"/>
              </w:rPr>
              <w:t>0.8729</w:t>
            </w:r>
          </w:p>
        </w:tc>
      </w:tr>
    </w:tbl>
    <w:p/>
    <w:p>
      <w:r>
        <w:t>Grouped results support retaining both nonlinear models in the later analysis. LightGBM remains strong under both spatial and temporal grouping, while Random Forest is slightly stronger on the spatial grouped metric. These scores should not be pooled with the primary holdout because they answer different generalization questions.</w:t>
      </w:r>
    </w:p>
    <w:p>
      <w:pPr>
        <w:jc w:val="center"/>
      </w:pPr>
      <w:r>
        <w:drawing>
          <wp:inline xmlns:a="http://schemas.openxmlformats.org/drawingml/2006/main" xmlns:pic="http://schemas.openxmlformats.org/drawingml/2006/picture">
            <wp:extent cx="5852160" cy="3724102"/>
            <wp:docPr id="2" name="Picture 2"/>
            <wp:cNvGraphicFramePr>
              <a:graphicFrameLocks noChangeAspect="1"/>
            </wp:cNvGraphicFramePr>
            <a:graphic>
              <a:graphicData uri="http://schemas.openxmlformats.org/drawingml/2006/picture">
                <pic:pic>
                  <pic:nvPicPr>
                    <pic:cNvPr id="0" name="fig2_pm25_spatial_temporal_heatmap.png"/>
                    <pic:cNvPicPr/>
                  </pic:nvPicPr>
                  <pic:blipFill>
                    <a:blip r:embed="rId12"/>
                    <a:stretch>
                      <a:fillRect/>
                    </a:stretch>
                  </pic:blipFill>
                  <pic:spPr>
                    <a:xfrm>
                      <a:off x="0" y="0"/>
                      <a:ext cx="5852160" cy="3724102"/>
                    </a:xfrm>
                    <a:prstGeom prst="rect"/>
                  </pic:spPr>
                </pic:pic>
              </a:graphicData>
            </a:graphic>
          </wp:inline>
        </w:drawing>
      </w:r>
    </w:p>
    <w:p>
      <w:pPr>
        <w:spacing w:before="40" w:after="180"/>
        <w:jc w:val="center"/>
      </w:pPr>
      <w:r>
        <w:rPr>
          <w:i/>
          <w:color w:val="5A5A5A"/>
          <w:sz w:val="18"/>
        </w:rPr>
        <w:t>Figure 9. Secondary spatial and temporal generalization checks.</w:t>
      </w:r>
    </w:p>
    <w:p>
      <w:pPr>
        <w:pStyle w:val="Heading2"/>
      </w:pPr>
      <w:r>
        <w:t>6.1 Residual diagnostics</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243447"/>
          </w:tcPr>
          <w:p>
            <w:pPr>
              <w:jc w:val="center"/>
            </w:pPr>
            <w:r>
              <w:rPr>
                <w:b/>
                <w:color w:val="FFFFFF"/>
                <w:sz w:val="17"/>
              </w:rPr>
            </w:r>
            <w:r>
              <w:rPr>
                <w:b/>
                <w:color w:val="FFFFFF"/>
                <w:sz w:val="17"/>
              </w:rPr>
              <w:t>Residual statistic</w:t>
            </w:r>
          </w:p>
        </w:tc>
        <w:tc>
          <w:tcPr>
            <w:tcW w:type="dxa" w:w="5040"/>
            <w:vAlign w:val="center"/>
            <w:shd w:fill="243447"/>
          </w:tcPr>
          <w:p>
            <w:pPr>
              <w:jc w:val="center"/>
            </w:pPr>
            <w:r>
              <w:rPr>
                <w:b/>
                <w:color w:val="FFFFFF"/>
                <w:sz w:val="17"/>
              </w:rPr>
            </w:r>
            <w:r>
              <w:rPr>
                <w:b/>
                <w:color w:val="FFFFFF"/>
                <w:sz w:val="17"/>
              </w:rPr>
              <w:t>Value</w:t>
            </w:r>
          </w:p>
        </w:tc>
      </w:tr>
      <w:tr>
        <w:tc>
          <w:tcPr>
            <w:tcW w:type="dxa" w:w="5040"/>
            <w:vAlign w:val="center"/>
          </w:tcPr>
          <w:p>
            <w:pPr>
              <w:jc w:val="center"/>
            </w:pPr>
            <w:r>
              <w:rPr>
                <w:sz w:val="17"/>
              </w:rPr>
            </w:r>
            <w:r>
              <w:rPr>
                <w:b w:val="0"/>
                <w:color w:val="000000"/>
                <w:sz w:val="17"/>
              </w:rPr>
              <w:t>Mean residual</w:t>
            </w:r>
          </w:p>
        </w:tc>
        <w:tc>
          <w:tcPr>
            <w:tcW w:type="dxa" w:w="5040"/>
            <w:vAlign w:val="center"/>
          </w:tcPr>
          <w:p>
            <w:pPr>
              <w:jc w:val="center"/>
            </w:pPr>
            <w:r>
              <w:rPr>
                <w:sz w:val="17"/>
              </w:rPr>
            </w:r>
            <w:r>
              <w:rPr>
                <w:b w:val="0"/>
                <w:color w:val="000000"/>
                <w:sz w:val="17"/>
              </w:rPr>
              <w:t>-1.708</w:t>
            </w:r>
          </w:p>
        </w:tc>
      </w:tr>
      <w:tr>
        <w:tc>
          <w:tcPr>
            <w:tcW w:type="dxa" w:w="5040"/>
            <w:vAlign w:val="center"/>
          </w:tcPr>
          <w:p>
            <w:pPr>
              <w:jc w:val="center"/>
            </w:pPr>
            <w:r>
              <w:rPr>
                <w:sz w:val="17"/>
              </w:rPr>
            </w:r>
            <w:r>
              <w:rPr>
                <w:b w:val="0"/>
                <w:color w:val="000000"/>
                <w:sz w:val="17"/>
              </w:rPr>
              <w:t>Median residual</w:t>
            </w:r>
          </w:p>
        </w:tc>
        <w:tc>
          <w:tcPr>
            <w:tcW w:type="dxa" w:w="5040"/>
            <w:vAlign w:val="center"/>
          </w:tcPr>
          <w:p>
            <w:pPr>
              <w:jc w:val="center"/>
            </w:pPr>
            <w:r>
              <w:rPr>
                <w:sz w:val="17"/>
              </w:rPr>
            </w:r>
            <w:r>
              <w:rPr>
                <w:b w:val="0"/>
                <w:color w:val="000000"/>
                <w:sz w:val="17"/>
              </w:rPr>
              <w:t>-0.361</w:t>
            </w:r>
          </w:p>
        </w:tc>
      </w:tr>
      <w:tr>
        <w:tc>
          <w:tcPr>
            <w:tcW w:type="dxa" w:w="5040"/>
            <w:vAlign w:val="center"/>
          </w:tcPr>
          <w:p>
            <w:pPr>
              <w:jc w:val="center"/>
            </w:pPr>
            <w:r>
              <w:rPr>
                <w:sz w:val="17"/>
              </w:rPr>
            </w:r>
            <w:r>
              <w:rPr>
                <w:b w:val="0"/>
                <w:color w:val="000000"/>
                <w:sz w:val="17"/>
              </w:rPr>
              <w:t>Residual SD</w:t>
            </w:r>
          </w:p>
        </w:tc>
        <w:tc>
          <w:tcPr>
            <w:tcW w:type="dxa" w:w="5040"/>
            <w:vAlign w:val="center"/>
          </w:tcPr>
          <w:p>
            <w:pPr>
              <w:jc w:val="center"/>
            </w:pPr>
            <w:r>
              <w:rPr>
                <w:sz w:val="17"/>
              </w:rPr>
            </w:r>
            <w:r>
              <w:rPr>
                <w:b w:val="0"/>
                <w:color w:val="000000"/>
                <w:sz w:val="17"/>
              </w:rPr>
              <w:t>20.338</w:t>
            </w:r>
          </w:p>
        </w:tc>
      </w:tr>
      <w:tr>
        <w:tc>
          <w:tcPr>
            <w:tcW w:type="dxa" w:w="5040"/>
            <w:vAlign w:val="center"/>
          </w:tcPr>
          <w:p>
            <w:pPr>
              <w:jc w:val="center"/>
            </w:pPr>
            <w:r>
              <w:rPr>
                <w:sz w:val="17"/>
              </w:rPr>
            </w:r>
            <w:r>
              <w:rPr>
                <w:b w:val="0"/>
                <w:color w:val="000000"/>
                <w:sz w:val="17"/>
              </w:rPr>
              <w:t>Residual skewness</w:t>
            </w:r>
          </w:p>
        </w:tc>
        <w:tc>
          <w:tcPr>
            <w:tcW w:type="dxa" w:w="5040"/>
            <w:vAlign w:val="center"/>
          </w:tcPr>
          <w:p>
            <w:pPr>
              <w:jc w:val="center"/>
            </w:pPr>
            <w:r>
              <w:rPr>
                <w:sz w:val="17"/>
              </w:rPr>
            </w:r>
            <w:r>
              <w:rPr>
                <w:b w:val="0"/>
                <w:color w:val="000000"/>
                <w:sz w:val="17"/>
              </w:rPr>
              <w:t>-6.837</w:t>
            </w:r>
          </w:p>
        </w:tc>
      </w:tr>
      <w:tr>
        <w:tc>
          <w:tcPr>
            <w:tcW w:type="dxa" w:w="5040"/>
            <w:vAlign w:val="center"/>
          </w:tcPr>
          <w:p>
            <w:pPr>
              <w:jc w:val="center"/>
            </w:pPr>
            <w:r>
              <w:rPr>
                <w:sz w:val="17"/>
              </w:rPr>
            </w:r>
            <w:r>
              <w:rPr>
                <w:b w:val="0"/>
                <w:color w:val="000000"/>
                <w:sz w:val="17"/>
              </w:rPr>
              <w:t>Maximum underprediction</w:t>
            </w:r>
          </w:p>
        </w:tc>
        <w:tc>
          <w:tcPr>
            <w:tcW w:type="dxa" w:w="5040"/>
            <w:vAlign w:val="center"/>
          </w:tcPr>
          <w:p>
            <w:pPr>
              <w:jc w:val="center"/>
            </w:pPr>
            <w:r>
              <w:rPr>
                <w:sz w:val="17"/>
              </w:rPr>
            </w:r>
            <w:r>
              <w:rPr>
                <w:b w:val="0"/>
                <w:color w:val="000000"/>
                <w:sz w:val="17"/>
              </w:rPr>
              <w:t>44.641</w:t>
            </w:r>
          </w:p>
        </w:tc>
      </w:tr>
      <w:tr>
        <w:tc>
          <w:tcPr>
            <w:tcW w:type="dxa" w:w="5040"/>
            <w:vAlign w:val="center"/>
          </w:tcPr>
          <w:p>
            <w:pPr>
              <w:jc w:val="center"/>
            </w:pPr>
            <w:r>
              <w:rPr>
                <w:sz w:val="17"/>
              </w:rPr>
            </w:r>
            <w:r>
              <w:rPr>
                <w:b w:val="0"/>
                <w:color w:val="000000"/>
                <w:sz w:val="17"/>
              </w:rPr>
              <w:t>Maximum overprediction</w:t>
            </w:r>
          </w:p>
        </w:tc>
        <w:tc>
          <w:tcPr>
            <w:tcW w:type="dxa" w:w="5040"/>
            <w:vAlign w:val="center"/>
          </w:tcPr>
          <w:p>
            <w:pPr>
              <w:jc w:val="center"/>
            </w:pPr>
            <w:r>
              <w:rPr>
                <w:sz w:val="17"/>
              </w:rPr>
            </w:r>
            <w:r>
              <w:rPr>
                <w:b w:val="0"/>
                <w:color w:val="000000"/>
                <w:sz w:val="17"/>
              </w:rPr>
              <w:t>-262.726</w:t>
            </w:r>
          </w:p>
        </w:tc>
      </w:tr>
    </w:tbl>
    <w:p/>
    <w:p>
      <w:r>
        <w:t>The residual summary indicates a near-zero mean residual and median, but strong negative skewness. The maximum reported overprediction of approximately 262.7 PM₂.₅ units is driven by at least one unusual observation/model mismatch. This should be investigated at the original data level before any substantive interpretation.</w:t>
      </w:r>
    </w:p>
    <w:p>
      <w:pPr>
        <w:jc w:val="center"/>
      </w:pPr>
      <w:r>
        <w:rPr>
          <w:i/>
        </w:rPr>
        <w:t>[Residual-summary figure would be inserted here when present in reports/figures/modeling/]</w:t>
      </w:r>
    </w:p>
    <w:p>
      <w:pPr>
        <w:spacing w:before="40" w:after="180"/>
        <w:jc w:val="center"/>
      </w:pPr>
      <w:r>
        <w:rPr>
          <w:i/>
          <w:color w:val="5A5A5A"/>
          <w:sz w:val="18"/>
        </w:rPr>
        <w:t>Figure 10. Residual summary for the current LightGBM evaluation. (figure not found at generation time)</w:t>
      </w:r>
    </w:p>
    <w:p>
      <w:pPr>
        <w:pStyle w:val="Heading1"/>
      </w:pPr>
      <w:r>
        <w:t>7. What the Current Modeling Results Support</w:t>
      </w:r>
    </w:p>
    <w:p>
      <w:pPr>
        <w:pStyle w:val="ListBullet"/>
        <w:spacing w:after="40"/>
      </w:pPr>
      <w:r>
        <w:t>Nonlinearity: the tree ensembles substantially outperform the linear specifications on the held-out panel.</w:t>
      </w:r>
    </w:p>
    <w:p>
      <w:pPr>
        <w:pStyle w:val="ListBullet"/>
        <w:spacing w:after="40"/>
      </w:pPr>
      <w:r>
        <w:t>Multimodal usefulness: combining vegetation, meteorology, atmospheric proxies and urban-structure variables yields a strong predictive baseline.</w:t>
      </w:r>
    </w:p>
    <w:p>
      <w:pPr>
        <w:pStyle w:val="ListBullet"/>
        <w:spacing w:after="40"/>
      </w:pPr>
      <w:r>
        <w:t>Temporal robustness: the nonlinear models remain positive across all four years, with a weaker 2024 regime requiring follow-up.</w:t>
      </w:r>
    </w:p>
    <w:p>
      <w:pPr>
        <w:pStyle w:val="ListBullet"/>
        <w:spacing w:after="40"/>
      </w:pPr>
      <w:r>
        <w:t>Spatial robustness: grouped validation remains substantially positive for the nonlinear models, although this should not be equated with universal spatial transferability.</w:t>
      </w:r>
    </w:p>
    <w:p>
      <w:pPr>
        <w:pStyle w:val="ListBullet"/>
        <w:spacing w:after="40"/>
      </w:pPr>
      <w:r>
        <w:t>Model choice: LightGBM is the most defensible primary predictive baseline, while Random Forest is the main robustness comparator.</w:t>
      </w:r>
    </w:p>
    <w:p>
      <w:pPr>
        <w:pStyle w:val="Heading2"/>
      </w:pPr>
      <w:r>
        <w:t>7.1 What the results do not establish</w:t>
      </w:r>
    </w:p>
    <w:p>
      <w:pPr>
        <w:pStyle w:val="ListBullet"/>
        <w:spacing w:after="40"/>
      </w:pPr>
      <w:r>
        <w:t>They do not establish a causal green-cover effect.</w:t>
      </w:r>
    </w:p>
    <w:p>
      <w:pPr>
        <w:pStyle w:val="ListBullet"/>
        <w:spacing w:after="40"/>
      </w:pPr>
      <w:r>
        <w:t>Tree-model feature importance is not an elasticity, treatment effect or causal contribution.</w:t>
      </w:r>
    </w:p>
    <w:p>
      <w:pPr>
        <w:pStyle w:val="ListBullet"/>
        <w:spacing w:after="40"/>
      </w:pPr>
      <w:r>
        <w:t>They do not establish that the model will work in a new city, an entirely unmonitored Delhi location or a future year beyond the observed period.</w:t>
      </w:r>
    </w:p>
    <w:p>
      <w:pPr>
        <w:pStyle w:val="Heading2"/>
      </w:pPr>
      <w:r>
        <w:t>7.2 Feature-group findings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243447"/>
          </w:tcPr>
          <w:p>
            <w:pPr>
              <w:jc w:val="center"/>
            </w:pPr>
            <w:r>
              <w:rPr>
                <w:b/>
                <w:color w:val="FFFFFF"/>
                <w:sz w:val="17"/>
              </w:rPr>
            </w:r>
            <w:r>
              <w:rPr>
                <w:b/>
                <w:color w:val="FFFFFF"/>
                <w:sz w:val="17"/>
              </w:rPr>
              <w:t>Feature group</w:t>
            </w:r>
          </w:p>
        </w:tc>
        <w:tc>
          <w:tcPr>
            <w:tcW w:type="dxa" w:w="2016"/>
            <w:vAlign w:val="center"/>
            <w:shd w:fill="243447"/>
          </w:tcPr>
          <w:p>
            <w:pPr>
              <w:jc w:val="center"/>
            </w:pPr>
            <w:r>
              <w:rPr>
                <w:b/>
                <w:color w:val="FFFFFF"/>
                <w:sz w:val="17"/>
              </w:rPr>
            </w:r>
            <w:r>
              <w:rPr>
                <w:b/>
                <w:color w:val="FFFFFF"/>
                <w:sz w:val="17"/>
              </w:rPr>
              <w:t>Linear Regression</w:t>
            </w:r>
          </w:p>
        </w:tc>
        <w:tc>
          <w:tcPr>
            <w:tcW w:type="dxa" w:w="2016"/>
            <w:vAlign w:val="center"/>
            <w:shd w:fill="243447"/>
          </w:tcPr>
          <w:p>
            <w:pPr>
              <w:jc w:val="center"/>
            </w:pPr>
            <w:r>
              <w:rPr>
                <w:b/>
                <w:color w:val="FFFFFF"/>
                <w:sz w:val="17"/>
              </w:rPr>
            </w:r>
            <w:r>
              <w:rPr>
                <w:b/>
                <w:color w:val="FFFFFF"/>
                <w:sz w:val="17"/>
              </w:rPr>
              <w:t>Ridge Regression</w:t>
            </w:r>
          </w:p>
        </w:tc>
        <w:tc>
          <w:tcPr>
            <w:tcW w:type="dxa" w:w="2016"/>
            <w:vAlign w:val="center"/>
            <w:shd w:fill="243447"/>
          </w:tcPr>
          <w:p>
            <w:pPr>
              <w:jc w:val="center"/>
            </w:pPr>
            <w:r>
              <w:rPr>
                <w:b/>
                <w:color w:val="FFFFFF"/>
                <w:sz w:val="17"/>
              </w:rPr>
            </w:r>
            <w:r>
              <w:rPr>
                <w:b/>
                <w:color w:val="FFFFFF"/>
                <w:sz w:val="17"/>
              </w:rPr>
              <w:t>Random Forest</w:t>
            </w:r>
          </w:p>
        </w:tc>
        <w:tc>
          <w:tcPr>
            <w:tcW w:type="dxa" w:w="2016"/>
            <w:vAlign w:val="center"/>
            <w:shd w:fill="243447"/>
          </w:tcPr>
          <w:p>
            <w:pPr>
              <w:jc w:val="center"/>
            </w:pPr>
            <w:r>
              <w:rPr>
                <w:b/>
                <w:color w:val="FFFFFF"/>
                <w:sz w:val="17"/>
              </w:rPr>
            </w:r>
            <w:r>
              <w:rPr>
                <w:b/>
                <w:color w:val="FFFFFF"/>
                <w:sz w:val="17"/>
              </w:rPr>
              <w:t>LightGBM</w:t>
            </w:r>
          </w:p>
        </w:tc>
      </w:tr>
      <w:tr>
        <w:tc>
          <w:tcPr>
            <w:tcW w:type="dxa" w:w="2016"/>
            <w:vAlign w:val="center"/>
          </w:tcPr>
          <w:p>
            <w:pPr>
              <w:jc w:val="center"/>
            </w:pPr>
            <w:r>
              <w:rPr>
                <w:sz w:val="17"/>
              </w:rPr>
            </w:r>
            <w:r>
              <w:rPr>
                <w:b w:val="0"/>
                <w:color w:val="000000"/>
                <w:sz w:val="17"/>
              </w:rPr>
              <w:t>Green cover</w:t>
            </w:r>
          </w:p>
        </w:tc>
        <w:tc>
          <w:tcPr>
            <w:tcW w:type="dxa" w:w="2016"/>
            <w:vAlign w:val="center"/>
          </w:tcPr>
          <w:p>
            <w:pPr>
              <w:jc w:val="center"/>
            </w:pPr>
            <w:r>
              <w:rPr>
                <w:sz w:val="17"/>
              </w:rPr>
            </w:r>
            <w:r>
              <w:rPr>
                <w:b w:val="0"/>
                <w:color w:val="000000"/>
                <w:sz w:val="17"/>
              </w:rPr>
              <w:t>13.43%</w:t>
            </w:r>
          </w:p>
        </w:tc>
        <w:tc>
          <w:tcPr>
            <w:tcW w:type="dxa" w:w="2016"/>
            <w:vAlign w:val="center"/>
          </w:tcPr>
          <w:p>
            <w:pPr>
              <w:jc w:val="center"/>
            </w:pPr>
            <w:r>
              <w:rPr>
                <w:sz w:val="17"/>
              </w:rPr>
            </w:r>
            <w:r>
              <w:rPr>
                <w:b w:val="0"/>
                <w:color w:val="000000"/>
                <w:sz w:val="17"/>
              </w:rPr>
              <w:t>25.34%</w:t>
            </w:r>
          </w:p>
        </w:tc>
        <w:tc>
          <w:tcPr>
            <w:tcW w:type="dxa" w:w="2016"/>
            <w:vAlign w:val="center"/>
          </w:tcPr>
          <w:p>
            <w:pPr>
              <w:jc w:val="center"/>
            </w:pPr>
            <w:r>
              <w:rPr>
                <w:sz w:val="17"/>
              </w:rPr>
            </w:r>
            <w:r>
              <w:rPr>
                <w:b w:val="0"/>
                <w:color w:val="000000"/>
                <w:sz w:val="17"/>
              </w:rPr>
              <w:t>4.97%</w:t>
            </w:r>
          </w:p>
        </w:tc>
        <w:tc>
          <w:tcPr>
            <w:tcW w:type="dxa" w:w="2016"/>
            <w:vAlign w:val="center"/>
          </w:tcPr>
          <w:p>
            <w:pPr>
              <w:jc w:val="center"/>
            </w:pPr>
            <w:r>
              <w:rPr>
                <w:sz w:val="17"/>
              </w:rPr>
            </w:r>
            <w:r>
              <w:rPr>
                <w:b w:val="0"/>
                <w:color w:val="000000"/>
                <w:sz w:val="17"/>
              </w:rPr>
              <w:t>46.06%</w:t>
            </w:r>
          </w:p>
        </w:tc>
      </w:tr>
      <w:tr>
        <w:tc>
          <w:tcPr>
            <w:tcW w:type="dxa" w:w="2016"/>
            <w:vAlign w:val="center"/>
          </w:tcPr>
          <w:p>
            <w:pPr>
              <w:jc w:val="center"/>
            </w:pPr>
            <w:r>
              <w:rPr>
                <w:sz w:val="17"/>
              </w:rPr>
            </w:r>
            <w:r>
              <w:rPr>
                <w:b w:val="0"/>
                <w:color w:val="000000"/>
                <w:sz w:val="17"/>
              </w:rPr>
              <w:t>Meteorology</w:t>
            </w:r>
          </w:p>
        </w:tc>
        <w:tc>
          <w:tcPr>
            <w:tcW w:type="dxa" w:w="2016"/>
            <w:vAlign w:val="center"/>
          </w:tcPr>
          <w:p>
            <w:pPr>
              <w:jc w:val="center"/>
            </w:pPr>
            <w:r>
              <w:rPr>
                <w:sz w:val="17"/>
              </w:rPr>
            </w:r>
            <w:r>
              <w:rPr>
                <w:b w:val="0"/>
                <w:color w:val="000000"/>
                <w:sz w:val="17"/>
              </w:rPr>
              <w:t>22.38%</w:t>
            </w:r>
          </w:p>
        </w:tc>
        <w:tc>
          <w:tcPr>
            <w:tcW w:type="dxa" w:w="2016"/>
            <w:vAlign w:val="center"/>
          </w:tcPr>
          <w:p>
            <w:pPr>
              <w:jc w:val="center"/>
            </w:pPr>
            <w:r>
              <w:rPr>
                <w:sz w:val="17"/>
              </w:rPr>
            </w:r>
            <w:r>
              <w:rPr>
                <w:b w:val="0"/>
                <w:color w:val="000000"/>
                <w:sz w:val="17"/>
              </w:rPr>
              <w:t>18.05%</w:t>
            </w:r>
          </w:p>
        </w:tc>
        <w:tc>
          <w:tcPr>
            <w:tcW w:type="dxa" w:w="2016"/>
            <w:vAlign w:val="center"/>
          </w:tcPr>
          <w:p>
            <w:pPr>
              <w:jc w:val="center"/>
            </w:pPr>
            <w:r>
              <w:rPr>
                <w:sz w:val="17"/>
              </w:rPr>
            </w:r>
            <w:r>
              <w:rPr>
                <w:b w:val="0"/>
                <w:color w:val="000000"/>
                <w:sz w:val="17"/>
              </w:rPr>
              <w:t>17.33%</w:t>
            </w:r>
          </w:p>
        </w:tc>
        <w:tc>
          <w:tcPr>
            <w:tcW w:type="dxa" w:w="2016"/>
            <w:vAlign w:val="center"/>
          </w:tcPr>
          <w:p>
            <w:pPr>
              <w:jc w:val="center"/>
            </w:pPr>
            <w:r>
              <w:rPr>
                <w:sz w:val="17"/>
              </w:rPr>
            </w:r>
            <w:r>
              <w:rPr>
                <w:b w:val="0"/>
                <w:color w:val="000000"/>
                <w:sz w:val="17"/>
              </w:rPr>
              <w:t>23.07%</w:t>
            </w:r>
          </w:p>
        </w:tc>
      </w:tr>
      <w:tr>
        <w:tc>
          <w:tcPr>
            <w:tcW w:type="dxa" w:w="2016"/>
            <w:vAlign w:val="center"/>
          </w:tcPr>
          <w:p>
            <w:pPr>
              <w:jc w:val="center"/>
            </w:pPr>
            <w:r>
              <w:rPr>
                <w:sz w:val="17"/>
              </w:rPr>
            </w:r>
            <w:r>
              <w:rPr>
                <w:b w:val="0"/>
                <w:color w:val="000000"/>
                <w:sz w:val="17"/>
              </w:rPr>
              <w:t>Pollution / anthropogenic</w:t>
            </w:r>
          </w:p>
        </w:tc>
        <w:tc>
          <w:tcPr>
            <w:tcW w:type="dxa" w:w="2016"/>
            <w:vAlign w:val="center"/>
          </w:tcPr>
          <w:p>
            <w:pPr>
              <w:jc w:val="center"/>
            </w:pPr>
            <w:r>
              <w:rPr>
                <w:sz w:val="17"/>
              </w:rPr>
            </w:r>
            <w:r>
              <w:rPr>
                <w:b w:val="0"/>
                <w:color w:val="000000"/>
                <w:sz w:val="17"/>
              </w:rPr>
              <w:t>32.48%</w:t>
            </w:r>
          </w:p>
        </w:tc>
        <w:tc>
          <w:tcPr>
            <w:tcW w:type="dxa" w:w="2016"/>
            <w:vAlign w:val="center"/>
          </w:tcPr>
          <w:p>
            <w:pPr>
              <w:jc w:val="center"/>
            </w:pPr>
            <w:r>
              <w:rPr>
                <w:sz w:val="17"/>
              </w:rPr>
            </w:r>
            <w:r>
              <w:rPr>
                <w:b w:val="0"/>
                <w:color w:val="000000"/>
                <w:sz w:val="17"/>
              </w:rPr>
              <w:t>13.99%</w:t>
            </w:r>
          </w:p>
        </w:tc>
        <w:tc>
          <w:tcPr>
            <w:tcW w:type="dxa" w:w="2016"/>
            <w:vAlign w:val="center"/>
          </w:tcPr>
          <w:p>
            <w:pPr>
              <w:jc w:val="center"/>
            </w:pPr>
            <w:r>
              <w:rPr>
                <w:sz w:val="17"/>
              </w:rPr>
            </w:r>
            <w:r>
              <w:rPr>
                <w:b w:val="0"/>
                <w:color w:val="000000"/>
                <w:sz w:val="17"/>
              </w:rPr>
              <w:t>1.30%</w:t>
            </w:r>
          </w:p>
        </w:tc>
        <w:tc>
          <w:tcPr>
            <w:tcW w:type="dxa" w:w="2016"/>
            <w:vAlign w:val="center"/>
          </w:tcPr>
          <w:p>
            <w:pPr>
              <w:jc w:val="center"/>
            </w:pPr>
            <w:r>
              <w:rPr>
                <w:sz w:val="17"/>
              </w:rPr>
            </w:r>
            <w:r>
              <w:rPr>
                <w:b w:val="0"/>
                <w:color w:val="000000"/>
                <w:sz w:val="17"/>
              </w:rPr>
              <w:t>13.47%</w:t>
            </w:r>
          </w:p>
        </w:tc>
      </w:tr>
      <w:tr>
        <w:tc>
          <w:tcPr>
            <w:tcW w:type="dxa" w:w="2016"/>
            <w:vAlign w:val="center"/>
          </w:tcPr>
          <w:p>
            <w:pPr>
              <w:jc w:val="center"/>
            </w:pPr>
            <w:r>
              <w:rPr>
                <w:sz w:val="17"/>
              </w:rPr>
            </w:r>
            <w:r>
              <w:rPr>
                <w:b w:val="0"/>
                <w:color w:val="000000"/>
                <w:sz w:val="17"/>
              </w:rPr>
              <w:t>Population</w:t>
            </w:r>
          </w:p>
        </w:tc>
        <w:tc>
          <w:tcPr>
            <w:tcW w:type="dxa" w:w="2016"/>
            <w:vAlign w:val="center"/>
          </w:tcPr>
          <w:p>
            <w:pPr>
              <w:jc w:val="center"/>
            </w:pPr>
            <w:r>
              <w:rPr>
                <w:sz w:val="17"/>
              </w:rPr>
            </w:r>
            <w:r>
              <w:rPr>
                <w:b w:val="0"/>
                <w:color w:val="000000"/>
                <w:sz w:val="17"/>
              </w:rPr>
              <w:t>3.96%</w:t>
            </w:r>
          </w:p>
        </w:tc>
        <w:tc>
          <w:tcPr>
            <w:tcW w:type="dxa" w:w="2016"/>
            <w:vAlign w:val="center"/>
          </w:tcPr>
          <w:p>
            <w:pPr>
              <w:jc w:val="center"/>
            </w:pPr>
            <w:r>
              <w:rPr>
                <w:sz w:val="17"/>
              </w:rPr>
            </w:r>
            <w:r>
              <w:rPr>
                <w:b w:val="0"/>
                <w:color w:val="000000"/>
                <w:sz w:val="17"/>
              </w:rPr>
              <w:t>2.57%</w:t>
            </w:r>
          </w:p>
        </w:tc>
        <w:tc>
          <w:tcPr>
            <w:tcW w:type="dxa" w:w="2016"/>
            <w:vAlign w:val="center"/>
          </w:tcPr>
          <w:p>
            <w:pPr>
              <w:jc w:val="center"/>
            </w:pPr>
            <w:r>
              <w:rPr>
                <w:sz w:val="17"/>
              </w:rPr>
            </w:r>
            <w:r>
              <w:rPr>
                <w:b w:val="0"/>
                <w:color w:val="000000"/>
                <w:sz w:val="17"/>
              </w:rPr>
              <w:t>0.37%</w:t>
            </w:r>
          </w:p>
        </w:tc>
        <w:tc>
          <w:tcPr>
            <w:tcW w:type="dxa" w:w="2016"/>
            <w:vAlign w:val="center"/>
          </w:tcPr>
          <w:p>
            <w:pPr>
              <w:jc w:val="center"/>
            </w:pPr>
            <w:r>
              <w:rPr>
                <w:sz w:val="17"/>
              </w:rPr>
            </w:r>
            <w:r>
              <w:rPr>
                <w:b w:val="0"/>
                <w:color w:val="000000"/>
                <w:sz w:val="17"/>
              </w:rPr>
              <w:t>0.60%</w:t>
            </w:r>
          </w:p>
        </w:tc>
      </w:tr>
      <w:tr>
        <w:tc>
          <w:tcPr>
            <w:tcW w:type="dxa" w:w="2016"/>
            <w:vAlign w:val="center"/>
          </w:tcPr>
          <w:p>
            <w:pPr>
              <w:jc w:val="center"/>
            </w:pPr>
            <w:r>
              <w:rPr>
                <w:sz w:val="17"/>
              </w:rPr>
            </w:r>
            <w:r>
              <w:rPr>
                <w:b w:val="0"/>
                <w:color w:val="000000"/>
                <w:sz w:val="17"/>
              </w:rPr>
              <w:t>Road infrastructure</w:t>
            </w:r>
          </w:p>
        </w:tc>
        <w:tc>
          <w:tcPr>
            <w:tcW w:type="dxa" w:w="2016"/>
            <w:vAlign w:val="center"/>
          </w:tcPr>
          <w:p>
            <w:pPr>
              <w:jc w:val="center"/>
            </w:pPr>
            <w:r>
              <w:rPr>
                <w:sz w:val="17"/>
              </w:rPr>
            </w:r>
            <w:r>
              <w:rPr>
                <w:b w:val="0"/>
                <w:color w:val="000000"/>
                <w:sz w:val="17"/>
              </w:rPr>
              <w:t>2.39%</w:t>
            </w:r>
          </w:p>
        </w:tc>
        <w:tc>
          <w:tcPr>
            <w:tcW w:type="dxa" w:w="2016"/>
            <w:vAlign w:val="center"/>
          </w:tcPr>
          <w:p>
            <w:pPr>
              <w:jc w:val="center"/>
            </w:pPr>
            <w:r>
              <w:rPr>
                <w:sz w:val="17"/>
              </w:rPr>
            </w:r>
            <w:r>
              <w:rPr>
                <w:b w:val="0"/>
                <w:color w:val="000000"/>
                <w:sz w:val="17"/>
              </w:rPr>
              <w:t>5.19%</w:t>
            </w:r>
          </w:p>
        </w:tc>
        <w:tc>
          <w:tcPr>
            <w:tcW w:type="dxa" w:w="2016"/>
            <w:vAlign w:val="center"/>
          </w:tcPr>
          <w:p>
            <w:pPr>
              <w:jc w:val="center"/>
            </w:pPr>
            <w:r>
              <w:rPr>
                <w:sz w:val="17"/>
              </w:rPr>
            </w:r>
            <w:r>
              <w:rPr>
                <w:b w:val="0"/>
                <w:color w:val="000000"/>
                <w:sz w:val="17"/>
              </w:rPr>
              <w:t>1.11%</w:t>
            </w:r>
          </w:p>
        </w:tc>
        <w:tc>
          <w:tcPr>
            <w:tcW w:type="dxa" w:w="2016"/>
            <w:vAlign w:val="center"/>
          </w:tcPr>
          <w:p>
            <w:pPr>
              <w:jc w:val="center"/>
            </w:pPr>
            <w:r>
              <w:rPr>
                <w:sz w:val="17"/>
              </w:rPr>
            </w:r>
            <w:r>
              <w:rPr>
                <w:b w:val="0"/>
                <w:color w:val="000000"/>
                <w:sz w:val="17"/>
              </w:rPr>
              <w:t>2.64%</w:t>
            </w:r>
          </w:p>
        </w:tc>
      </w:tr>
      <w:tr>
        <w:tc>
          <w:tcPr>
            <w:tcW w:type="dxa" w:w="2016"/>
            <w:vAlign w:val="center"/>
          </w:tcPr>
          <w:p>
            <w:pPr>
              <w:jc w:val="center"/>
            </w:pPr>
            <w:r>
              <w:rPr>
                <w:sz w:val="17"/>
              </w:rPr>
            </w:r>
            <w:r>
              <w:rPr>
                <w:b w:val="0"/>
                <w:color w:val="000000"/>
                <w:sz w:val="17"/>
              </w:rPr>
              <w:t>Land cover</w:t>
            </w:r>
          </w:p>
        </w:tc>
        <w:tc>
          <w:tcPr>
            <w:tcW w:type="dxa" w:w="2016"/>
            <w:vAlign w:val="center"/>
          </w:tcPr>
          <w:p>
            <w:pPr>
              <w:jc w:val="center"/>
            </w:pPr>
            <w:r>
              <w:rPr>
                <w:sz w:val="17"/>
              </w:rPr>
            </w:r>
            <w:r>
              <w:rPr>
                <w:b w:val="0"/>
                <w:color w:val="000000"/>
                <w:sz w:val="17"/>
              </w:rPr>
              <w:t>12.17%</w:t>
            </w:r>
          </w:p>
        </w:tc>
        <w:tc>
          <w:tcPr>
            <w:tcW w:type="dxa" w:w="2016"/>
            <w:vAlign w:val="center"/>
          </w:tcPr>
          <w:p>
            <w:pPr>
              <w:jc w:val="center"/>
            </w:pPr>
            <w:r>
              <w:rPr>
                <w:sz w:val="17"/>
              </w:rPr>
            </w:r>
            <w:r>
              <w:rPr>
                <w:b w:val="0"/>
                <w:color w:val="000000"/>
                <w:sz w:val="17"/>
              </w:rPr>
              <w:t>16.85%</w:t>
            </w:r>
          </w:p>
        </w:tc>
        <w:tc>
          <w:tcPr>
            <w:tcW w:type="dxa" w:w="2016"/>
            <w:vAlign w:val="center"/>
          </w:tcPr>
          <w:p>
            <w:pPr>
              <w:jc w:val="center"/>
            </w:pPr>
            <w:r>
              <w:rPr>
                <w:sz w:val="17"/>
              </w:rPr>
            </w:r>
            <w:r>
              <w:rPr>
                <w:b w:val="0"/>
                <w:color w:val="000000"/>
                <w:sz w:val="17"/>
              </w:rPr>
              <w:t>1.42%</w:t>
            </w:r>
          </w:p>
        </w:tc>
        <w:tc>
          <w:tcPr>
            <w:tcW w:type="dxa" w:w="2016"/>
            <w:vAlign w:val="center"/>
          </w:tcPr>
          <w:p>
            <w:pPr>
              <w:jc w:val="center"/>
            </w:pPr>
            <w:r>
              <w:rPr>
                <w:sz w:val="17"/>
              </w:rPr>
            </w:r>
            <w:r>
              <w:rPr>
                <w:b w:val="0"/>
                <w:color w:val="000000"/>
                <w:sz w:val="17"/>
              </w:rPr>
              <w:t>7.43%</w:t>
            </w:r>
          </w:p>
        </w:tc>
      </w:tr>
      <w:tr>
        <w:tc>
          <w:tcPr>
            <w:tcW w:type="dxa" w:w="2016"/>
            <w:vAlign w:val="center"/>
          </w:tcPr>
          <w:p>
            <w:pPr>
              <w:jc w:val="center"/>
            </w:pPr>
            <w:r>
              <w:rPr>
                <w:sz w:val="17"/>
              </w:rPr>
            </w:r>
            <w:r>
              <w:rPr>
                <w:b w:val="0"/>
                <w:color w:val="000000"/>
                <w:sz w:val="17"/>
              </w:rPr>
              <w:t>Spatial / temporal</w:t>
            </w:r>
          </w:p>
        </w:tc>
        <w:tc>
          <w:tcPr>
            <w:tcW w:type="dxa" w:w="2016"/>
            <w:vAlign w:val="center"/>
          </w:tcPr>
          <w:p>
            <w:pPr>
              <w:jc w:val="center"/>
            </w:pPr>
            <w:r>
              <w:rPr>
                <w:sz w:val="17"/>
              </w:rPr>
            </w:r>
            <w:r>
              <w:rPr>
                <w:b w:val="0"/>
                <w:color w:val="000000"/>
                <w:sz w:val="17"/>
              </w:rPr>
              <w:t>7.19%</w:t>
            </w:r>
          </w:p>
        </w:tc>
        <w:tc>
          <w:tcPr>
            <w:tcW w:type="dxa" w:w="2016"/>
            <w:vAlign w:val="center"/>
          </w:tcPr>
          <w:p>
            <w:pPr>
              <w:jc w:val="center"/>
            </w:pPr>
            <w:r>
              <w:rPr>
                <w:sz w:val="17"/>
              </w:rPr>
            </w:r>
            <w:r>
              <w:rPr>
                <w:b w:val="0"/>
                <w:color w:val="000000"/>
                <w:sz w:val="17"/>
              </w:rPr>
              <w:t>11.42%</w:t>
            </w:r>
          </w:p>
        </w:tc>
        <w:tc>
          <w:tcPr>
            <w:tcW w:type="dxa" w:w="2016"/>
            <w:vAlign w:val="center"/>
          </w:tcPr>
          <w:p>
            <w:pPr>
              <w:jc w:val="center"/>
            </w:pPr>
            <w:r>
              <w:rPr>
                <w:sz w:val="17"/>
              </w:rPr>
            </w:r>
            <w:r>
              <w:rPr>
                <w:b w:val="0"/>
                <w:color w:val="000000"/>
                <w:sz w:val="17"/>
              </w:rPr>
              <w:t>72.58%</w:t>
            </w:r>
          </w:p>
        </w:tc>
        <w:tc>
          <w:tcPr>
            <w:tcW w:type="dxa" w:w="2016"/>
            <w:vAlign w:val="center"/>
          </w:tcPr>
          <w:p>
            <w:pPr>
              <w:jc w:val="center"/>
            </w:pPr>
            <w:r>
              <w:rPr>
                <w:sz w:val="17"/>
              </w:rPr>
            </w:r>
            <w:r>
              <w:rPr>
                <w:b w:val="0"/>
                <w:color w:val="000000"/>
                <w:sz w:val="17"/>
              </w:rPr>
              <w:t>4.27%</w:t>
            </w:r>
          </w:p>
        </w:tc>
      </w:tr>
    </w:tbl>
    <w:p/>
    <w:p>
      <w:r>
        <w:t>The LightGBM workflow assigns a large share of predictive importance to green-cover features (46.06%) while retaining substantial meteorological (23.07%) and pollution/anthropogenic (13.47%) contributions. That is encouraging for the research question, but the result remains predictive evidence. The very large spatial/temporal share reported by Random Forest is a reminder that calendar and location structure can dominate a model's explanatory power.</w:t>
      </w:r>
    </w:p>
    <w:p>
      <w:pPr>
        <w:jc w:val="center"/>
      </w:pPr>
      <w:r>
        <w:rPr>
          <w:i/>
        </w:rPr>
        <w:t>[Feature-group importance figure would be inserted here when present in reports/figures/modeling/]</w:t>
      </w:r>
    </w:p>
    <w:p>
      <w:pPr>
        <w:spacing w:before="40" w:after="180"/>
        <w:jc w:val="center"/>
      </w:pPr>
      <w:r>
        <w:rPr>
          <w:i/>
          <w:color w:val="5A5A5A"/>
          <w:sz w:val="18"/>
        </w:rPr>
        <w:t>Figure 11. Feature-group importance summary from the baseline modeling workflow. (figure not found at generation time)</w:t>
      </w:r>
    </w:p>
    <w:p>
      <w:pPr>
        <w:pStyle w:val="Heading1"/>
      </w:pPr>
      <w:r>
        <w:t>8. Reproducibility and File Organization</w:t>
      </w:r>
    </w:p>
    <w:p>
      <w:r>
        <w:t>The workflow is intended to be reproducible from the frozen V2 dataset. The canonical dataset is treated as read-only; splitting creates derivative train/test files; modeling reads those derivatives; reports and figures are written separately. The original V1 and V2 datasets are not reconstructed from model outputs.</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243447"/>
          </w:tcPr>
          <w:p>
            <w:pPr>
              <w:jc w:val="center"/>
            </w:pPr>
            <w:r>
              <w:rPr>
                <w:b/>
                <w:color w:val="FFFFFF"/>
                <w:sz w:val="17"/>
              </w:rPr>
            </w:r>
            <w:r>
              <w:rPr>
                <w:b/>
                <w:color w:val="FFFFFF"/>
                <w:sz w:val="17"/>
              </w:rPr>
              <w:t>Artifact</w:t>
            </w:r>
          </w:p>
        </w:tc>
        <w:tc>
          <w:tcPr>
            <w:tcW w:type="dxa" w:w="5040"/>
            <w:vAlign w:val="center"/>
            <w:shd w:fill="243447"/>
          </w:tcPr>
          <w:p>
            <w:pPr>
              <w:jc w:val="center"/>
            </w:pPr>
            <w:r>
              <w:rPr>
                <w:b/>
                <w:color w:val="FFFFFF"/>
                <w:sz w:val="17"/>
              </w:rPr>
            </w:r>
            <w:r>
              <w:rPr>
                <w:b/>
                <w:color w:val="FFFFFF"/>
                <w:sz w:val="17"/>
              </w:rPr>
              <w:t>Purpose</w:t>
            </w:r>
          </w:p>
        </w:tc>
      </w:tr>
      <w:tr>
        <w:tc>
          <w:tcPr>
            <w:tcW w:type="dxa" w:w="5040"/>
            <w:vAlign w:val="center"/>
          </w:tcPr>
          <w:p>
            <w:pPr>
              <w:jc w:val="center"/>
            </w:pPr>
            <w:r>
              <w:rPr>
                <w:sz w:val="17"/>
              </w:rPr>
            </w:r>
            <w:r>
              <w:rPr>
                <w:b w:val="0"/>
                <w:color w:val="000000"/>
                <w:sz w:val="17"/>
              </w:rPr>
              <w:t>data/ml_ready/master_modeling_dataset.csv</w:t>
            </w:r>
          </w:p>
        </w:tc>
        <w:tc>
          <w:tcPr>
            <w:tcW w:type="dxa" w:w="5040"/>
            <w:vAlign w:val="center"/>
          </w:tcPr>
          <w:p>
            <w:pPr>
              <w:jc w:val="center"/>
            </w:pPr>
            <w:r>
              <w:rPr>
                <w:sz w:val="17"/>
              </w:rPr>
            </w:r>
            <w:r>
              <w:rPr>
                <w:b w:val="0"/>
                <w:color w:val="000000"/>
                <w:sz w:val="17"/>
              </w:rPr>
              <w:t>Original V1 ML-ready station-month panel; retained as historical baseline.</w:t>
            </w:r>
          </w:p>
        </w:tc>
      </w:tr>
      <w:tr>
        <w:tc>
          <w:tcPr>
            <w:tcW w:type="dxa" w:w="5040"/>
            <w:vAlign w:val="center"/>
          </w:tcPr>
          <w:p>
            <w:pPr>
              <w:jc w:val="center"/>
            </w:pPr>
            <w:r>
              <w:rPr>
                <w:sz w:val="17"/>
              </w:rPr>
            </w:r>
            <w:r>
              <w:rPr>
                <w:b w:val="0"/>
                <w:color w:val="000000"/>
                <w:sz w:val="17"/>
              </w:rPr>
              <w:t>data/ml_ready/master_modeling_dataset_v2.csv</w:t>
            </w:r>
          </w:p>
        </w:tc>
        <w:tc>
          <w:tcPr>
            <w:tcW w:type="dxa" w:w="5040"/>
            <w:vAlign w:val="center"/>
          </w:tcPr>
          <w:p>
            <w:pPr>
              <w:jc w:val="center"/>
            </w:pPr>
            <w:r>
              <w:rPr>
                <w:sz w:val="17"/>
              </w:rPr>
            </w:r>
            <w:r>
              <w:rPr>
                <w:b w:val="0"/>
                <w:color w:val="000000"/>
                <w:sz w:val="17"/>
              </w:rPr>
              <w:t>Canonical multimodal V2 panel used as the source for final modeling splits.</w:t>
            </w:r>
          </w:p>
        </w:tc>
      </w:tr>
      <w:tr>
        <w:tc>
          <w:tcPr>
            <w:tcW w:type="dxa" w:w="5040"/>
            <w:vAlign w:val="center"/>
          </w:tcPr>
          <w:p>
            <w:pPr>
              <w:jc w:val="center"/>
            </w:pPr>
            <w:r>
              <w:rPr>
                <w:sz w:val="17"/>
              </w:rPr>
            </w:r>
            <w:r>
              <w:rPr>
                <w:b w:val="0"/>
                <w:color w:val="000000"/>
                <w:sz w:val="17"/>
              </w:rPr>
              <w:t>data/modeling_final/train.csv</w:t>
            </w:r>
          </w:p>
        </w:tc>
        <w:tc>
          <w:tcPr>
            <w:tcW w:type="dxa" w:w="5040"/>
            <w:vAlign w:val="center"/>
          </w:tcPr>
          <w:p>
            <w:pPr>
              <w:jc w:val="center"/>
            </w:pPr>
            <w:r>
              <w:rPr>
                <w:sz w:val="17"/>
              </w:rPr>
            </w:r>
            <w:r>
              <w:rPr>
                <w:b w:val="0"/>
                <w:color w:val="000000"/>
                <w:sz w:val="17"/>
              </w:rPr>
              <w:t>Primary training partition (1,292 rows).</w:t>
            </w:r>
          </w:p>
        </w:tc>
      </w:tr>
      <w:tr>
        <w:tc>
          <w:tcPr>
            <w:tcW w:type="dxa" w:w="5040"/>
            <w:vAlign w:val="center"/>
          </w:tcPr>
          <w:p>
            <w:pPr>
              <w:jc w:val="center"/>
            </w:pPr>
            <w:r>
              <w:rPr>
                <w:sz w:val="17"/>
              </w:rPr>
            </w:r>
            <w:r>
              <w:rPr>
                <w:b w:val="0"/>
                <w:color w:val="000000"/>
                <w:sz w:val="17"/>
              </w:rPr>
              <w:t>data/modeling_final/test.csv</w:t>
            </w:r>
          </w:p>
        </w:tc>
        <w:tc>
          <w:tcPr>
            <w:tcW w:type="dxa" w:w="5040"/>
            <w:vAlign w:val="center"/>
          </w:tcPr>
          <w:p>
            <w:pPr>
              <w:jc w:val="center"/>
            </w:pPr>
            <w:r>
              <w:rPr>
                <w:sz w:val="17"/>
              </w:rPr>
            </w:r>
            <w:r>
              <w:rPr>
                <w:b w:val="0"/>
                <w:color w:val="000000"/>
                <w:sz w:val="17"/>
              </w:rPr>
              <w:t>Primary held-out test partition (323 rows).</w:t>
            </w:r>
          </w:p>
        </w:tc>
      </w:tr>
      <w:tr>
        <w:tc>
          <w:tcPr>
            <w:tcW w:type="dxa" w:w="5040"/>
            <w:vAlign w:val="center"/>
          </w:tcPr>
          <w:p>
            <w:pPr>
              <w:jc w:val="center"/>
            </w:pPr>
            <w:r>
              <w:rPr>
                <w:sz w:val="17"/>
              </w:rPr>
            </w:r>
            <w:r>
              <w:rPr>
                <w:b w:val="0"/>
                <w:color w:val="000000"/>
                <w:sz w:val="17"/>
              </w:rPr>
              <w:t>data/modeling_final/split_manifest.csv</w:t>
            </w:r>
          </w:p>
        </w:tc>
        <w:tc>
          <w:tcPr>
            <w:tcW w:type="dxa" w:w="5040"/>
            <w:vAlign w:val="center"/>
          </w:tcPr>
          <w:p>
            <w:pPr>
              <w:jc w:val="center"/>
            </w:pPr>
            <w:r>
              <w:rPr>
                <w:sz w:val="17"/>
              </w:rPr>
            </w:r>
            <w:r>
              <w:rPr>
                <w:b w:val="0"/>
                <w:color w:val="000000"/>
                <w:sz w:val="17"/>
              </w:rPr>
              <w:t>Split provenance: seed, row counts, station handling and allocation logic.</w:t>
            </w:r>
          </w:p>
        </w:tc>
      </w:tr>
      <w:tr>
        <w:tc>
          <w:tcPr>
            <w:tcW w:type="dxa" w:w="5040"/>
            <w:vAlign w:val="center"/>
          </w:tcPr>
          <w:p>
            <w:pPr>
              <w:jc w:val="center"/>
            </w:pPr>
            <w:r>
              <w:rPr>
                <w:sz w:val="17"/>
              </w:rPr>
            </w:r>
            <w:r>
              <w:rPr>
                <w:b w:val="0"/>
                <w:color w:val="000000"/>
                <w:sz w:val="17"/>
              </w:rPr>
              <w:t>data/modeling_final/validation_report.csv</w:t>
            </w:r>
          </w:p>
        </w:tc>
        <w:tc>
          <w:tcPr>
            <w:tcW w:type="dxa" w:w="5040"/>
            <w:vAlign w:val="center"/>
          </w:tcPr>
          <w:p>
            <w:pPr>
              <w:jc w:val="center"/>
            </w:pPr>
            <w:r>
              <w:rPr>
                <w:sz w:val="17"/>
              </w:rPr>
            </w:r>
            <w:r>
              <w:rPr>
                <w:b w:val="0"/>
                <w:color w:val="000000"/>
                <w:sz w:val="17"/>
              </w:rPr>
              <w:t>Pre- and post-split integrity checks.</w:t>
            </w:r>
          </w:p>
        </w:tc>
      </w:tr>
      <w:tr>
        <w:tc>
          <w:tcPr>
            <w:tcW w:type="dxa" w:w="5040"/>
            <w:vAlign w:val="center"/>
          </w:tcPr>
          <w:p>
            <w:pPr>
              <w:jc w:val="center"/>
            </w:pPr>
            <w:r>
              <w:rPr>
                <w:sz w:val="17"/>
              </w:rPr>
            </w:r>
            <w:r>
              <w:rPr>
                <w:b w:val="0"/>
                <w:color w:val="000000"/>
                <w:sz w:val="17"/>
              </w:rPr>
              <w:t>data/modeling_final/distribution_diagnostics.csv</w:t>
            </w:r>
          </w:p>
        </w:tc>
        <w:tc>
          <w:tcPr>
            <w:tcW w:type="dxa" w:w="5040"/>
            <w:vAlign w:val="center"/>
          </w:tcPr>
          <w:p>
            <w:pPr>
              <w:jc w:val="center"/>
            </w:pPr>
            <w:r>
              <w:rPr>
                <w:sz w:val="17"/>
              </w:rPr>
            </w:r>
            <w:r>
              <w:rPr>
                <w:b w:val="0"/>
                <w:color w:val="000000"/>
                <w:sz w:val="17"/>
              </w:rPr>
              <w:t>Year, month, year-month, season and station allocation diagnostics.</w:t>
            </w:r>
          </w:p>
        </w:tc>
      </w:tr>
      <w:tr>
        <w:tc>
          <w:tcPr>
            <w:tcW w:type="dxa" w:w="5040"/>
            <w:vAlign w:val="center"/>
          </w:tcPr>
          <w:p>
            <w:pPr>
              <w:jc w:val="center"/>
            </w:pPr>
            <w:r>
              <w:rPr>
                <w:sz w:val="17"/>
              </w:rPr>
            </w:r>
            <w:r>
              <w:rPr>
                <w:b w:val="0"/>
                <w:color w:val="000000"/>
                <w:sz w:val="17"/>
              </w:rPr>
              <w:t>data/03_features/feat_era5_met.csv</w:t>
            </w:r>
          </w:p>
        </w:tc>
        <w:tc>
          <w:tcPr>
            <w:tcW w:type="dxa" w:w="5040"/>
            <w:vAlign w:val="center"/>
          </w:tcPr>
          <w:p>
            <w:pPr>
              <w:jc w:val="center"/>
            </w:pPr>
            <w:r>
              <w:rPr>
                <w:sz w:val="17"/>
              </w:rPr>
            </w:r>
            <w:r>
              <w:rPr>
                <w:b w:val="0"/>
                <w:color w:val="000000"/>
                <w:sz w:val="17"/>
              </w:rPr>
              <w:t>ERA5 / ERA5-Land station-month meteorological features.</w:t>
            </w:r>
          </w:p>
        </w:tc>
      </w:tr>
      <w:tr>
        <w:tc>
          <w:tcPr>
            <w:tcW w:type="dxa" w:w="5040"/>
            <w:vAlign w:val="center"/>
          </w:tcPr>
          <w:p>
            <w:pPr>
              <w:jc w:val="center"/>
            </w:pPr>
            <w:r>
              <w:rPr>
                <w:sz w:val="17"/>
              </w:rPr>
            </w:r>
            <w:r>
              <w:rPr>
                <w:b w:val="0"/>
                <w:color w:val="000000"/>
                <w:sz w:val="17"/>
              </w:rPr>
              <w:t>data/03_features/feat_worldpop.csv</w:t>
            </w:r>
          </w:p>
        </w:tc>
        <w:tc>
          <w:tcPr>
            <w:tcW w:type="dxa" w:w="5040"/>
            <w:vAlign w:val="center"/>
          </w:tcPr>
          <w:p>
            <w:pPr>
              <w:jc w:val="center"/>
            </w:pPr>
            <w:r>
              <w:rPr>
                <w:sz w:val="17"/>
              </w:rPr>
            </w:r>
            <w:r>
              <w:rPr>
                <w:b w:val="0"/>
                <w:color w:val="000000"/>
                <w:sz w:val="17"/>
              </w:rPr>
              <w:t>Population-density features aligned to the station-month panel.</w:t>
            </w:r>
          </w:p>
        </w:tc>
      </w:tr>
      <w:tr>
        <w:tc>
          <w:tcPr>
            <w:tcW w:type="dxa" w:w="5040"/>
            <w:vAlign w:val="center"/>
          </w:tcPr>
          <w:p>
            <w:pPr>
              <w:jc w:val="center"/>
            </w:pPr>
            <w:r>
              <w:rPr>
                <w:sz w:val="17"/>
              </w:rPr>
            </w:r>
            <w:r>
              <w:rPr>
                <w:b w:val="0"/>
                <w:color w:val="000000"/>
                <w:sz w:val="17"/>
              </w:rPr>
              <w:t>data/03_features/feat_osm_roads.csv</w:t>
            </w:r>
          </w:p>
        </w:tc>
        <w:tc>
          <w:tcPr>
            <w:tcW w:type="dxa" w:w="5040"/>
            <w:vAlign w:val="center"/>
          </w:tcPr>
          <w:p>
            <w:pPr>
              <w:jc w:val="center"/>
            </w:pPr>
            <w:r>
              <w:rPr>
                <w:sz w:val="17"/>
              </w:rPr>
            </w:r>
            <w:r>
              <w:rPr>
                <w:b w:val="0"/>
                <w:color w:val="000000"/>
                <w:sz w:val="17"/>
              </w:rPr>
              <w:t>OSM structural road-density features.</w:t>
            </w:r>
          </w:p>
        </w:tc>
      </w:tr>
      <w:tr>
        <w:tc>
          <w:tcPr>
            <w:tcW w:type="dxa" w:w="5040"/>
            <w:vAlign w:val="center"/>
          </w:tcPr>
          <w:p>
            <w:pPr>
              <w:jc w:val="center"/>
            </w:pPr>
            <w:r>
              <w:rPr>
                <w:sz w:val="17"/>
              </w:rPr>
            </w:r>
            <w:r>
              <w:rPr>
                <w:b w:val="0"/>
                <w:color w:val="000000"/>
                <w:sz w:val="17"/>
              </w:rPr>
              <w:t>data/03_features/feat_worldcover.csv</w:t>
            </w:r>
          </w:p>
        </w:tc>
        <w:tc>
          <w:tcPr>
            <w:tcW w:type="dxa" w:w="5040"/>
            <w:vAlign w:val="center"/>
          </w:tcPr>
          <w:p>
            <w:pPr>
              <w:jc w:val="center"/>
            </w:pPr>
            <w:r>
              <w:rPr>
                <w:sz w:val="17"/>
              </w:rPr>
            </w:r>
            <w:r>
              <w:rPr>
                <w:b w:val="0"/>
                <w:color w:val="000000"/>
                <w:sz w:val="17"/>
              </w:rPr>
              <w:t>Static 2021 land-cover fractions.</w:t>
            </w:r>
          </w:p>
        </w:tc>
      </w:tr>
    </w:tbl>
    <w:p/>
    <w:p>
      <w:r>
        <w:t>The primary split is deterministic with seed 42. The eligible panel is stratified by calendar year × month, with largest-remainder allocation used to obtain exactly 323 test observations. IIT_Delhi is explicitly held in training because its group contains one observation. After sampling, the workflow verifies key uniqueness, zero train/test overlap, exact row-universe preservation, year coverage, year-month test coverage and schema preservation.</w:t>
      </w:r>
    </w:p>
    <w:p>
      <w:pPr>
        <w:jc w:val="center"/>
      </w:pPr>
      <w:r>
        <w:rPr>
          <w:i/>
        </w:rPr>
        <w:t>[Distribution diagnostics figure would be inserted here when present in reports/figures/modeling/]</w:t>
      </w:r>
    </w:p>
    <w:p>
      <w:pPr>
        <w:spacing w:before="40" w:after="180"/>
        <w:jc w:val="center"/>
      </w:pPr>
      <w:r>
        <w:rPr>
          <w:i/>
          <w:color w:val="5A5A5A"/>
          <w:sz w:val="18"/>
        </w:rPr>
        <w:t>Figure 12. Month-wise split diagnostics reproduced from the finalized allocation. (figure not found at generation time)</w:t>
      </w:r>
    </w:p>
    <w:p>
      <w:pPr>
        <w:pStyle w:val="Heading2"/>
      </w:pPr>
      <w:r>
        <w:t>8.1 Environment and extraction assumptions</w:t>
      </w:r>
    </w:p>
    <w:p>
      <w:pPr>
        <w:pStyle w:val="ListBullet"/>
        <w:spacing w:after="40"/>
      </w:pPr>
      <w:r>
        <w:t>OSM extraction used a local PBF workflow with PyOsmium after repeated Overpass / OSMnx timeouts.</w:t>
      </w:r>
    </w:p>
    <w:p>
      <w:pPr>
        <w:pStyle w:val="ListBullet"/>
        <w:spacing w:after="40"/>
      </w:pPr>
      <w:r>
        <w:t>ERA5 monthly variables were computed server-side in Google Earth Engine to avoid hourly data-volume bottlenecks.</w:t>
      </w:r>
    </w:p>
    <w:p>
      <w:pPr>
        <w:pStyle w:val="ListBullet"/>
        <w:spacing w:after="40"/>
      </w:pPr>
      <w:r>
        <w:t>WorldCover was extracted as categorical fractions from ESA WorldCover v200 (2021).</w:t>
      </w:r>
    </w:p>
    <w:p>
      <w:pPr>
        <w:pStyle w:val="ListBullet"/>
        <w:spacing w:after="40"/>
      </w:pPr>
      <w:r>
        <w:t>The January 2025 OSM layer is treated as a static structural infrastructure proxy across 2022–2025.</w:t>
      </w:r>
    </w:p>
    <w:p>
      <w:pPr>
        <w:pStyle w:val="ListBullet"/>
        <w:spacing w:after="40"/>
      </w:pPr>
      <w:r>
        <w:t>ESA WorldCover 2021 is treated as a static pre-study land-cover baseline.</w:t>
      </w:r>
    </w:p>
    <w:p>
      <w:pPr>
        <w:pStyle w:val="ListBullet"/>
        <w:spacing w:after="40"/>
      </w:pPr>
      <w:r>
        <w:t>Population density is treated as an urban-intensity feature, not as a causal treatment.</w:t>
      </w:r>
    </w:p>
    <w:p>
      <w:pPr>
        <w:pStyle w:val="ListBullet"/>
        <w:spacing w:after="40"/>
      </w:pPr>
      <w:r>
        <w:t>Green-cover predictor importance is interpreted as predictive contribution only.</w:t>
      </w:r>
    </w:p>
    <w:p>
      <w:pPr>
        <w:pStyle w:val="Heading1"/>
      </w:pPr>
      <w:r>
        <w:t>9. Issues Flagged for Follow-up</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243447"/>
          </w:tcPr>
          <w:p>
            <w:pPr>
              <w:jc w:val="center"/>
            </w:pPr>
            <w:r>
              <w:rPr>
                <w:b/>
                <w:color w:val="FFFFFF"/>
                <w:sz w:val="17"/>
              </w:rPr>
            </w:r>
            <w:r>
              <w:rPr>
                <w:b/>
                <w:color w:val="FFFFFF"/>
                <w:sz w:val="17"/>
              </w:rPr>
              <w:t>Issue</w:t>
            </w:r>
          </w:p>
        </w:tc>
        <w:tc>
          <w:tcPr>
            <w:tcW w:type="dxa" w:w="3360"/>
            <w:vAlign w:val="center"/>
            <w:shd w:fill="243447"/>
          </w:tcPr>
          <w:p>
            <w:pPr>
              <w:jc w:val="center"/>
            </w:pPr>
            <w:r>
              <w:rPr>
                <w:b/>
                <w:color w:val="FFFFFF"/>
                <w:sz w:val="17"/>
              </w:rPr>
            </w:r>
            <w:r>
              <w:rPr>
                <w:b/>
                <w:color w:val="FFFFFF"/>
                <w:sz w:val="17"/>
              </w:rPr>
              <w:t>Evidence</w:t>
            </w:r>
          </w:p>
        </w:tc>
        <w:tc>
          <w:tcPr>
            <w:tcW w:type="dxa" w:w="3360"/>
            <w:vAlign w:val="center"/>
            <w:shd w:fill="243447"/>
          </w:tcPr>
          <w:p>
            <w:pPr>
              <w:jc w:val="center"/>
            </w:pPr>
            <w:r>
              <w:rPr>
                <w:b/>
                <w:color w:val="FFFFFF"/>
                <w:sz w:val="17"/>
              </w:rPr>
            </w:r>
            <w:r>
              <w:rPr>
                <w:b/>
                <w:color w:val="FFFFFF"/>
                <w:sz w:val="17"/>
              </w:rPr>
              <w:t>Action</w:t>
            </w:r>
          </w:p>
        </w:tc>
      </w:tr>
      <w:tr>
        <w:tc>
          <w:tcPr>
            <w:tcW w:type="dxa" w:w="3360"/>
            <w:vAlign w:val="center"/>
          </w:tcPr>
          <w:p>
            <w:pPr>
              <w:jc w:val="center"/>
            </w:pPr>
            <w:r>
              <w:rPr>
                <w:sz w:val="17"/>
              </w:rPr>
            </w:r>
            <w:r>
              <w:rPr>
                <w:b w:val="0"/>
                <w:color w:val="000000"/>
                <w:sz w:val="17"/>
              </w:rPr>
              <w:t>CPCB anomalous value</w:t>
            </w:r>
          </w:p>
        </w:tc>
        <w:tc>
          <w:tcPr>
            <w:tcW w:type="dxa" w:w="3360"/>
            <w:vAlign w:val="center"/>
          </w:tcPr>
          <w:p>
            <w:pPr>
              <w:jc w:val="center"/>
            </w:pPr>
            <w:r>
              <w:rPr>
                <w:sz w:val="17"/>
              </w:rPr>
            </w:r>
            <w:r>
              <w:rPr>
                <w:b w:val="0"/>
                <w:color w:val="000000"/>
                <w:sz w:val="17"/>
              </w:rPr>
              <w:t>Chandni_Chowk, Nov 2024, PM₂.₅ = 5.0 while model predictions are around 200–270</w:t>
            </w:r>
          </w:p>
        </w:tc>
        <w:tc>
          <w:tcPr>
            <w:tcW w:type="dxa" w:w="3360"/>
            <w:vAlign w:val="center"/>
          </w:tcPr>
          <w:p>
            <w:pPr>
              <w:jc w:val="center"/>
            </w:pPr>
            <w:r>
              <w:rPr>
                <w:sz w:val="17"/>
              </w:rPr>
            </w:r>
            <w:r>
              <w:rPr>
                <w:b w:val="0"/>
                <w:color w:val="000000"/>
                <w:sz w:val="17"/>
              </w:rPr>
              <w:t>Inspect the original CPCB record and quality flags before substantive interpretation.</w:t>
            </w:r>
          </w:p>
        </w:tc>
      </w:tr>
      <w:tr>
        <w:tc>
          <w:tcPr>
            <w:tcW w:type="dxa" w:w="3360"/>
            <w:vAlign w:val="center"/>
          </w:tcPr>
          <w:p>
            <w:pPr>
              <w:jc w:val="center"/>
            </w:pPr>
            <w:r>
              <w:rPr>
                <w:sz w:val="17"/>
              </w:rPr>
            </w:r>
            <w:r>
              <w:rPr>
                <w:b w:val="0"/>
                <w:color w:val="000000"/>
                <w:sz w:val="17"/>
              </w:rPr>
              <w:t>Extreme linear extrapolation</w:t>
            </w:r>
          </w:p>
        </w:tc>
        <w:tc>
          <w:tcPr>
            <w:tcW w:type="dxa" w:w="3360"/>
            <w:vAlign w:val="center"/>
          </w:tcPr>
          <w:p>
            <w:pPr>
              <w:jc w:val="center"/>
            </w:pPr>
            <w:r>
              <w:rPr>
                <w:sz w:val="17"/>
              </w:rPr>
            </w:r>
            <w:r>
              <w:rPr>
                <w:b w:val="0"/>
                <w:color w:val="000000"/>
                <w:sz w:val="17"/>
              </w:rPr>
              <w:t>Bawana, Jul 2022, linear predictions &gt; 1,800 for observed value near 43.5</w:t>
            </w:r>
          </w:p>
        </w:tc>
        <w:tc>
          <w:tcPr>
            <w:tcW w:type="dxa" w:w="3360"/>
            <w:vAlign w:val="center"/>
          </w:tcPr>
          <w:p>
            <w:pPr>
              <w:jc w:val="center"/>
            </w:pPr>
            <w:r>
              <w:rPr>
                <w:sz w:val="17"/>
              </w:rPr>
            </w:r>
            <w:r>
              <w:rPr>
                <w:b w:val="0"/>
                <w:color w:val="000000"/>
                <w:sz w:val="17"/>
              </w:rPr>
              <w:t>Keep linear models as diagnostics; audit feature scaling and outlier sensitivity if discussed.</w:t>
            </w:r>
          </w:p>
        </w:tc>
      </w:tr>
      <w:tr>
        <w:tc>
          <w:tcPr>
            <w:tcW w:type="dxa" w:w="3360"/>
            <w:vAlign w:val="center"/>
          </w:tcPr>
          <w:p>
            <w:pPr>
              <w:jc w:val="center"/>
            </w:pPr>
            <w:r>
              <w:rPr>
                <w:sz w:val="17"/>
              </w:rPr>
            </w:r>
            <w:r>
              <w:rPr>
                <w:b w:val="0"/>
                <w:color w:val="000000"/>
                <w:sz w:val="17"/>
              </w:rPr>
              <w:t>2024 weaker nonlinear performance</w:t>
            </w:r>
          </w:p>
        </w:tc>
        <w:tc>
          <w:tcPr>
            <w:tcW w:type="dxa" w:w="3360"/>
            <w:vAlign w:val="center"/>
          </w:tcPr>
          <w:p>
            <w:pPr>
              <w:jc w:val="center"/>
            </w:pPr>
            <w:r>
              <w:rPr>
                <w:sz w:val="17"/>
              </w:rPr>
            </w:r>
            <w:r>
              <w:rPr>
                <w:b w:val="0"/>
                <w:color w:val="000000"/>
                <w:sz w:val="17"/>
              </w:rPr>
              <w:t>LightGBM R² = 0.740 and RF R² = 0.718</w:t>
            </w:r>
          </w:p>
        </w:tc>
        <w:tc>
          <w:tcPr>
            <w:tcW w:type="dxa" w:w="3360"/>
            <w:vAlign w:val="center"/>
          </w:tcPr>
          <w:p>
            <w:pPr>
              <w:jc w:val="center"/>
            </w:pPr>
            <w:r>
              <w:rPr>
                <w:sz w:val="17"/>
              </w:rPr>
            </w:r>
            <w:r>
              <w:rPr>
                <w:b w:val="0"/>
                <w:color w:val="000000"/>
                <w:sz w:val="17"/>
              </w:rPr>
              <w:t>Inspect year-specific feature distributions, missingness and station coverage.</w:t>
            </w:r>
          </w:p>
        </w:tc>
      </w:tr>
      <w:tr>
        <w:tc>
          <w:tcPr>
            <w:tcW w:type="dxa" w:w="3360"/>
            <w:vAlign w:val="center"/>
          </w:tcPr>
          <w:p>
            <w:pPr>
              <w:jc w:val="center"/>
            </w:pPr>
            <w:r>
              <w:rPr>
                <w:sz w:val="17"/>
              </w:rPr>
            </w:r>
            <w:r>
              <w:rPr>
                <w:b w:val="0"/>
                <w:color w:val="000000"/>
                <w:sz w:val="17"/>
              </w:rPr>
              <w:t>Monsoon lower performance</w:t>
            </w:r>
          </w:p>
        </w:tc>
        <w:tc>
          <w:tcPr>
            <w:tcW w:type="dxa" w:w="3360"/>
            <w:vAlign w:val="center"/>
          </w:tcPr>
          <w:p>
            <w:pPr>
              <w:jc w:val="center"/>
            </w:pPr>
            <w:r>
              <w:rPr>
                <w:sz w:val="17"/>
              </w:rPr>
            </w:r>
            <w:r>
              <w:rPr>
                <w:b w:val="0"/>
                <w:color w:val="000000"/>
                <w:sz w:val="17"/>
              </w:rPr>
              <w:t>LightGBM R² = 0.529; RF R² = 0.444</w:t>
            </w:r>
          </w:p>
        </w:tc>
        <w:tc>
          <w:tcPr>
            <w:tcW w:type="dxa" w:w="3360"/>
            <w:vAlign w:val="center"/>
          </w:tcPr>
          <w:p>
            <w:pPr>
              <w:jc w:val="center"/>
            </w:pPr>
            <w:r>
              <w:rPr>
                <w:sz w:val="17"/>
              </w:rPr>
            </w:r>
            <w:r>
              <w:rPr>
                <w:b w:val="0"/>
                <w:color w:val="000000"/>
                <w:sz w:val="17"/>
              </w:rPr>
              <w:t>Treat as robustness finding; inspect residuals and meteorological regime.</w:t>
            </w:r>
          </w:p>
        </w:tc>
      </w:tr>
      <w:tr>
        <w:tc>
          <w:tcPr>
            <w:tcW w:type="dxa" w:w="3360"/>
            <w:vAlign w:val="center"/>
          </w:tcPr>
          <w:p>
            <w:pPr>
              <w:jc w:val="center"/>
            </w:pPr>
            <w:r>
              <w:rPr>
                <w:sz w:val="17"/>
              </w:rPr>
            </w:r>
            <w:r>
              <w:rPr>
                <w:b w:val="0"/>
                <w:color w:val="000000"/>
                <w:sz w:val="17"/>
              </w:rPr>
              <w:t>Static OSM baseline</w:t>
            </w:r>
          </w:p>
        </w:tc>
        <w:tc>
          <w:tcPr>
            <w:tcW w:type="dxa" w:w="3360"/>
            <w:vAlign w:val="center"/>
          </w:tcPr>
          <w:p>
            <w:pPr>
              <w:jc w:val="center"/>
            </w:pPr>
            <w:r>
              <w:rPr>
                <w:sz w:val="17"/>
              </w:rPr>
            </w:r>
            <w:r>
              <w:rPr>
                <w:b w:val="0"/>
                <w:color w:val="000000"/>
                <w:sz w:val="17"/>
              </w:rPr>
              <w:t>January 2025 infrastructure used for 2022–2025</w:t>
            </w:r>
          </w:p>
        </w:tc>
        <w:tc>
          <w:tcPr>
            <w:tcW w:type="dxa" w:w="3360"/>
            <w:vAlign w:val="center"/>
          </w:tcPr>
          <w:p>
            <w:pPr>
              <w:jc w:val="center"/>
            </w:pPr>
            <w:r>
              <w:rPr>
                <w:sz w:val="17"/>
              </w:rPr>
            </w:r>
            <w:r>
              <w:rPr>
                <w:b w:val="0"/>
                <w:color w:val="000000"/>
                <w:sz w:val="17"/>
              </w:rPr>
              <w:t>State clearly that it represents structural road layout, not historical annual traffic volume.</w:t>
            </w:r>
          </w:p>
        </w:tc>
      </w:tr>
      <w:tr>
        <w:tc>
          <w:tcPr>
            <w:tcW w:type="dxa" w:w="3360"/>
            <w:vAlign w:val="center"/>
          </w:tcPr>
          <w:p>
            <w:pPr>
              <w:jc w:val="center"/>
            </w:pPr>
            <w:r>
              <w:rPr>
                <w:sz w:val="17"/>
              </w:rPr>
            </w:r>
            <w:r>
              <w:rPr>
                <w:b w:val="0"/>
                <w:color w:val="000000"/>
                <w:sz w:val="17"/>
              </w:rPr>
              <w:t>Static WorldCover baseline</w:t>
            </w:r>
          </w:p>
        </w:tc>
        <w:tc>
          <w:tcPr>
            <w:tcW w:type="dxa" w:w="3360"/>
            <w:vAlign w:val="center"/>
          </w:tcPr>
          <w:p>
            <w:pPr>
              <w:jc w:val="center"/>
            </w:pPr>
            <w:r>
              <w:rPr>
                <w:sz w:val="17"/>
              </w:rPr>
            </w:r>
            <w:r>
              <w:rPr>
                <w:b w:val="0"/>
                <w:color w:val="000000"/>
                <w:sz w:val="17"/>
              </w:rPr>
              <w:t>2021 product used for 2022–2025</w:t>
            </w:r>
          </w:p>
        </w:tc>
        <w:tc>
          <w:tcPr>
            <w:tcW w:type="dxa" w:w="3360"/>
            <w:vAlign w:val="center"/>
          </w:tcPr>
          <w:p>
            <w:pPr>
              <w:jc w:val="center"/>
            </w:pPr>
            <w:r>
              <w:rPr>
                <w:sz w:val="17"/>
              </w:rPr>
            </w:r>
            <w:r>
              <w:rPr>
                <w:b w:val="0"/>
                <w:color w:val="000000"/>
                <w:sz w:val="17"/>
              </w:rPr>
              <w:t>State clearly that land-cover change after 2021 is not represented.</w:t>
            </w:r>
          </w:p>
        </w:tc>
      </w:tr>
      <w:tr>
        <w:tc>
          <w:tcPr>
            <w:tcW w:type="dxa" w:w="3360"/>
            <w:vAlign w:val="center"/>
          </w:tcPr>
          <w:p>
            <w:pPr>
              <w:jc w:val="center"/>
            </w:pPr>
            <w:r>
              <w:rPr>
                <w:sz w:val="17"/>
              </w:rPr>
            </w:r>
            <w:r>
              <w:rPr>
                <w:b w:val="0"/>
                <w:color w:val="000000"/>
                <w:sz w:val="17"/>
              </w:rPr>
              <w:t>Singleton station</w:t>
            </w:r>
          </w:p>
        </w:tc>
        <w:tc>
          <w:tcPr>
            <w:tcW w:type="dxa" w:w="3360"/>
            <w:vAlign w:val="center"/>
          </w:tcPr>
          <w:p>
            <w:pPr>
              <w:jc w:val="center"/>
            </w:pPr>
            <w:r>
              <w:rPr>
                <w:sz w:val="17"/>
              </w:rPr>
            </w:r>
            <w:r>
              <w:rPr>
                <w:b w:val="0"/>
                <w:color w:val="000000"/>
                <w:sz w:val="17"/>
              </w:rPr>
              <w:t>IIT_Delhi n=1</w:t>
            </w:r>
          </w:p>
        </w:tc>
        <w:tc>
          <w:tcPr>
            <w:tcW w:type="dxa" w:w="3360"/>
            <w:vAlign w:val="center"/>
          </w:tcPr>
          <w:p>
            <w:pPr>
              <w:jc w:val="center"/>
            </w:pPr>
            <w:r>
              <w:rPr>
                <w:sz w:val="17"/>
              </w:rPr>
            </w:r>
            <w:r>
              <w:rPr>
                <w:b w:val="0"/>
                <w:color w:val="000000"/>
                <w:sz w:val="17"/>
              </w:rPr>
              <w:t>Keep train-only and exclude from station-level generalization claims.</w:t>
            </w:r>
          </w:p>
        </w:tc>
      </w:tr>
      <w:tr>
        <w:tc>
          <w:tcPr>
            <w:tcW w:type="dxa" w:w="3360"/>
            <w:vAlign w:val="center"/>
          </w:tcPr>
          <w:p>
            <w:pPr>
              <w:jc w:val="center"/>
            </w:pPr>
            <w:r>
              <w:rPr>
                <w:sz w:val="17"/>
              </w:rPr>
            </w:r>
            <w:r>
              <w:rPr>
                <w:b w:val="0"/>
                <w:color w:val="000000"/>
                <w:sz w:val="17"/>
              </w:rPr>
              <w:t>Candidate recoveries</w:t>
            </w:r>
          </w:p>
        </w:tc>
        <w:tc>
          <w:tcPr>
            <w:tcW w:type="dxa" w:w="3360"/>
            <w:vAlign w:val="center"/>
          </w:tcPr>
          <w:p>
            <w:pPr>
              <w:jc w:val="center"/>
            </w:pPr>
            <w:r>
              <w:rPr>
                <w:sz w:val="17"/>
              </w:rPr>
            </w:r>
            <w:r>
              <w:rPr>
                <w:b w:val="0"/>
                <w:color w:val="000000"/>
                <w:sz w:val="17"/>
              </w:rPr>
              <w:t>CPRI Mathura Road, NSIT Dwarka, Pusa have strong CPCB coverage but were absent from V2</w:t>
            </w:r>
          </w:p>
        </w:tc>
        <w:tc>
          <w:tcPr>
            <w:tcW w:type="dxa" w:w="3360"/>
            <w:vAlign w:val="center"/>
          </w:tcPr>
          <w:p>
            <w:pPr>
              <w:jc w:val="center"/>
            </w:pPr>
            <w:r>
              <w:rPr>
                <w:sz w:val="17"/>
              </w:rPr>
            </w:r>
            <w:r>
              <w:rPr>
                <w:b w:val="0"/>
                <w:color w:val="000000"/>
                <w:sz w:val="17"/>
              </w:rPr>
              <w:t>Consider later only if the full multimodal feature stack can be generated consistently.</w:t>
            </w:r>
          </w:p>
        </w:tc>
      </w:tr>
    </w:tbl>
    <w:p/>
    <w:p>
      <w:r>
        <w:t>No further data correction was made before this baseline because the working principle was to freeze V2 before extensive tuning. This prevents an iterative loop in which the dataset is repeatedly altered until predictive scores improve. The present results therefore serve as a clean baseline against which later, explicitly justified changes can be compared.</w:t>
      </w:r>
    </w:p>
    <w:p>
      <w:pPr>
        <w:pStyle w:val="Heading1"/>
      </w:pPr>
      <w:r>
        <w:t>10. Recommended Next Stage</w:t>
      </w:r>
    </w:p>
    <w:p>
      <w:pPr>
        <w:pStyle w:val="ListBullet"/>
        <w:spacing w:after="40"/>
      </w:pPr>
      <w:r>
        <w:t>Conduct a focused audit of influential observations, especially the 2024 Chandni_Chowk PM₂.₅ value of 5.0 and the extreme linear predictions.</w:t>
      </w:r>
    </w:p>
    <w:p>
      <w:pPr>
        <w:pStyle w:val="ListBullet"/>
        <w:spacing w:after="40"/>
      </w:pPr>
      <w:r>
        <w:t>Freeze the current LightGBM and Random Forest baseline metrics as the reference predictive results for Update 2.</w:t>
      </w:r>
    </w:p>
    <w:p>
      <w:pPr>
        <w:pStyle w:val="ListBullet"/>
        <w:spacing w:after="40"/>
      </w:pPr>
      <w:r>
        <w:t>Use station-grouped validation as the principal secondary spatial generalization test, keeping it separate from the primary balanced holdout.</w:t>
      </w:r>
    </w:p>
    <w:p>
      <w:pPr>
        <w:pStyle w:val="ListBullet"/>
        <w:spacing w:after="40"/>
      </w:pPr>
      <w:r>
        <w:t>Examine green-cover features at 100, 250, 500 and 1000 m for consistency and possible multiscale threshold behavior.</w:t>
      </w:r>
    </w:p>
    <w:p>
      <w:pPr>
        <w:pStyle w:val="ListBullet"/>
        <w:spacing w:after="40"/>
      </w:pPr>
      <w:r>
        <w:t>Use the predictive findings to define the treatment, confounder and nuisance-variable roles for the planned Double Machine Learning / Causal Forest analysis.</w:t>
      </w:r>
    </w:p>
    <w:p>
      <w:pPr>
        <w:pStyle w:val="ListBullet"/>
        <w:spacing w:after="40"/>
      </w:pPr>
      <w:r>
        <w:t>Only after these checks consider feature reduction, hyperparameter optimization or additional station recovery.</w:t>
      </w:r>
    </w:p>
    <w:p>
      <w:pPr>
        <w:pStyle w:val="Heading1"/>
      </w:pPr>
      <w:r>
        <w:t>11. Closing Assessment</w:t>
      </w:r>
    </w:p>
    <w:p>
      <w:r>
        <w:t>At this stage, the baseline modeling pipeline is in a materially better position than at the start of the modeling work. The key improvement was not simply obtaining a higher R²; it was recognizing that the evaluation split is part of the scientific design. After resplitting the frozen V2 panel to preserve calendar structure, the nonlinear models produced stable positive test performance across the study period, while linear models remained poor.</w:t>
      </w:r>
    </w:p>
    <w:p>
      <w:r>
        <w:rPr>
          <w:b/>
        </w:rPr>
        <w:t>Current conclusion: LightGBM is the best baseline predictive model for the current multimodal Delhi NCR PM₂.₅ panel, with Random Forest providing an independent nonlinear comparator. The evidence is sufficiently strong to proceed to deeper spatial diagnostics and causal-model preparation, while keeping the stated data and evaluation limitations visible in the research record.</w:t>
      </w:r>
    </w:p>
    <w:p/>
    <w:p>
      <w:pPr>
        <w:jc w:val="center"/>
      </w:pPr>
      <w:r>
        <w:rPr>
          <w:color w:val="787878"/>
          <w:sz w:val="16"/>
        </w:rPr>
        <w:t>Generated reproducibly by scripts/generate_baseline_data_modelling_update.py</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Reproducible research record | Analytical period 2022–2025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Baseline Modelling Update 2 | Delhi NCR PM₂.₅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7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