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Regulatory Compliance Sample Document</w:t>
      </w:r>
    </w:p>
    <w:p>
      <w:pPr>
        <w:pStyle w:val="Heading2"/>
      </w:pPr>
      <w:r>
        <w:t>Introduction</w:t>
      </w:r>
    </w:p>
    <w:p>
      <w:r>
        <w:t>This document contains sample regulatory compliance guidelines commonly followed by enterprise IT organizations. The content is educational and intended for AI document ingestion, chunking, embedding, and vector database testing.</w:t>
      </w:r>
    </w:p>
    <w:p>
      <w:pPr>
        <w:pStyle w:val="Heading2"/>
      </w:pPr>
      <w:r>
        <w:t>Data Protection and Privacy</w:t>
      </w:r>
    </w:p>
    <w:p>
      <w:r>
        <w:t>Organizations must protect customer and employee data using encryption, access control, and secure storage. Compliance frameworks may include GDPR, CCPA, and ISO 27001. Personally identifiable information should only be accessed by authorized personnel.</w:t>
      </w:r>
    </w:p>
    <w:p>
      <w:pPr>
        <w:pStyle w:val="Heading2"/>
      </w:pPr>
      <w:r>
        <w:t>Access Management</w:t>
      </w:r>
    </w:p>
    <w:p>
      <w:r>
        <w:t>All systems must implement role-based access control (RBAC). Multi-factor authentication should be enabled for privileged users. Password rotation and account auditing must occur regularly.</w:t>
      </w:r>
    </w:p>
    <w:p>
      <w:pPr>
        <w:pStyle w:val="Heading2"/>
      </w:pPr>
      <w:r>
        <w:t>Incident Response</w:t>
      </w:r>
    </w:p>
    <w:p>
      <w:r>
        <w:t>Security incidents must be reported within defined timelines. Organizations should maintain an incident response plan including detection, containment, eradication, and recovery procedures.</w:t>
      </w:r>
    </w:p>
    <w:p>
      <w:pPr>
        <w:pStyle w:val="Heading2"/>
      </w:pPr>
      <w:r>
        <w:t>Vendor Risk Management</w:t>
      </w:r>
    </w:p>
    <w:p>
      <w:r>
        <w:t>Third-party vendors handling sensitive data must undergo periodic security assessments. Contracts should define data handling obligations, breach notification timelines, and compliance requirements.</w:t>
      </w:r>
    </w:p>
    <w:p>
      <w:pPr>
        <w:pStyle w:val="Heading2"/>
      </w:pPr>
      <w:r>
        <w:t>Audit Logging</w:t>
      </w:r>
    </w:p>
    <w:p>
      <w:r>
        <w:t>Critical systems must maintain immutable audit logs. Logs should include authentication attempts, access changes, administrative actions, and data export events.</w:t>
      </w:r>
    </w:p>
    <w:p>
      <w:pPr>
        <w:pStyle w:val="Heading2"/>
      </w:pPr>
      <w:r>
        <w:t>Business Continuity</w:t>
      </w:r>
    </w:p>
    <w:p>
      <w:r>
        <w:t>Organizations should maintain disaster recovery and backup strategies. Recovery Time Objectives (RTO) and Recovery Point Objectives (RPO) must be documented and tested regularly.</w:t>
      </w:r>
    </w:p>
    <w:p>
      <w:pPr>
        <w:pStyle w:val="Heading2"/>
      </w:pPr>
      <w:r>
        <w:t>Cloud Security</w:t>
      </w:r>
    </w:p>
    <w:p>
      <w:r>
        <w:t>Cloud-hosted infrastructure should use network segmentation, encryption at rest, and continuous monitoring. Security groups and IAM policies must follow least-privilege principles.</w:t>
      </w:r>
    </w:p>
    <w:p>
      <w:pPr>
        <w:pStyle w:val="Heading2"/>
      </w:pPr>
      <w:r>
        <w:t>Employee Awareness</w:t>
      </w:r>
    </w:p>
    <w:p>
      <w:r>
        <w:t>Employees should complete annual cybersecurity and compliance awareness training. Phishing simulations and policy acknowledgments are recommended.</w:t>
      </w:r>
    </w:p>
    <w:p>
      <w:pPr>
        <w:pStyle w:val="Heading2"/>
      </w:pPr>
      <w:r>
        <w:t>Conclusion</w:t>
      </w:r>
    </w:p>
    <w:p>
      <w:r>
        <w:t>This sample document can be used for FastAPI upload testing, PDF parsing, chunk generation, embedding pipelines, and vector database ingestion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