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Informe de cobertura de testing · Sting Tech V2</w:t>
      </w:r>
    </w:p>
    <w:p>
      <w:pPr>
        <w:pStyle w:val="Subtitle"/>
      </w:pPr>
      <w:r>
        <w:t>Matriz de pruebas y resultados — ejecución reportada como exitosa</w:t>
      </w:r>
    </w:p>
    <w:p>
      <w:r>
        <w:t>Proyecto: Sting Tech Solutions V2  |  Asignatura: DSY1104 Desarrollo Fullstack II  |  Fecha: 27 de octubre de 2026</w:t>
      </w:r>
    </w:p>
    <w:p>
      <w:pPr>
        <w:pStyle w:val="Heading1"/>
      </w:pPr>
      <w:r>
        <w:t>1. Objetivo</w:t>
      </w:r>
    </w:p>
    <w:p>
      <w:r>
        <w:t>Documentar el alcance de diez pruebas unitarias escritas para verificar funciones CRUD, formato de precios y comportamiento de componentes React. El objetivo es evidenciar pruebas para lógica, props, renderizado condicional, estado de botón y eventos.</w:t>
      </w:r>
    </w:p>
    <w:p>
      <w:pPr>
        <w:pStyle w:val="Heading1"/>
      </w:pPr>
      <w:r>
        <w:t>2. Ambiente de pruebas</w:t>
      </w:r>
    </w:p>
    <w:p>
      <w:r>
        <w:t>Jasmine, Karma, Webpack, Babel, ChromeHeadless. Script: npm.cmd test. Archivos fuente de pruebas: tests/catalogo.spec.tsx (5 casos) y tests/componentes.spec.tsx (5 casos). Configuración: karma.conf.cjs. Sistema local del estudiante: Windows, Node.js 24.22.1 y Chrome 155 según el registro aportado.</w:t>
      </w:r>
    </w:p>
    <w:p>
      <w:pPr>
        <w:pStyle w:val="Heading1"/>
      </w:pPr>
      <w:r>
        <w:t>3. Matriz de casos de prueba</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Tipo</w:t>
            </w:r>
          </w:p>
        </w:tc>
        <w:tc>
          <w:tcPr>
            <w:tcW w:type="dxa" w:w="2160"/>
          </w:tcPr>
          <w:p>
            <w:r>
              <w:t>Módulo</w:t>
            </w:r>
          </w:p>
        </w:tc>
        <w:tc>
          <w:tcPr>
            <w:tcW w:type="dxa" w:w="2160"/>
          </w:tcPr>
          <w:p>
            <w:r>
              <w:t>Resultado esperado</w:t>
            </w:r>
          </w:p>
        </w:tc>
      </w:tr>
      <w:tr>
        <w:tc>
          <w:tcPr>
            <w:tcW w:type="dxa" w:w="2160"/>
          </w:tcPr>
          <w:p>
            <w:r>
              <w:t>T01</w:t>
            </w:r>
          </w:p>
        </w:tc>
        <w:tc>
          <w:tcPr>
            <w:tcW w:type="dxa" w:w="2160"/>
          </w:tcPr>
          <w:p>
            <w:r>
              <w:t>Catálogo inicial</w:t>
            </w:r>
          </w:p>
        </w:tc>
        <w:tc>
          <w:tcPr>
            <w:tcW w:type="dxa" w:w="2160"/>
          </w:tcPr>
          <w:p>
            <w:r>
              <w:t>data/catalogo.js</w:t>
            </w:r>
          </w:p>
        </w:tc>
        <w:tc>
          <w:tcPr>
            <w:tcW w:type="dxa" w:w="2160"/>
          </w:tcPr>
          <w:p>
            <w:r>
              <w:t>Existencia de seis productos; primero contiene RAM.</w:t>
            </w:r>
          </w:p>
        </w:tc>
      </w:tr>
      <w:tr>
        <w:tc>
          <w:tcPr>
            <w:tcW w:type="dxa" w:w="2160"/>
          </w:tcPr>
          <w:p>
            <w:r>
              <w:t>T02</w:t>
            </w:r>
          </w:p>
        </w:tc>
        <w:tc>
          <w:tcPr>
            <w:tcW w:type="dxa" w:w="2160"/>
          </w:tcPr>
          <w:p>
            <w:r>
              <w:t>Crear producto</w:t>
            </w:r>
          </w:p>
        </w:tc>
        <w:tc>
          <w:tcPr>
            <w:tcW w:type="dxa" w:w="2160"/>
          </w:tcPr>
          <w:p>
            <w:r>
              <w:t>crearProducto</w:t>
            </w:r>
          </w:p>
        </w:tc>
        <w:tc>
          <w:tcPr>
            <w:tcW w:type="dxa" w:w="2160"/>
          </w:tcPr>
          <w:p>
            <w:r>
              <w:t>Aumenta longitud y crea nuevo ID único.</w:t>
            </w:r>
          </w:p>
        </w:tc>
      </w:tr>
      <w:tr>
        <w:tc>
          <w:tcPr>
            <w:tcW w:type="dxa" w:w="2160"/>
          </w:tcPr>
          <w:p>
            <w:r>
              <w:t>T03</w:t>
            </w:r>
          </w:p>
        </w:tc>
        <w:tc>
          <w:tcPr>
            <w:tcW w:type="dxa" w:w="2160"/>
          </w:tcPr>
          <w:p>
            <w:r>
              <w:t>Editar producto</w:t>
            </w:r>
          </w:p>
        </w:tc>
        <w:tc>
          <w:tcPr>
            <w:tcW w:type="dxa" w:w="2160"/>
          </w:tcPr>
          <w:p>
            <w:r>
              <w:t>editarProducto</w:t>
            </w:r>
          </w:p>
        </w:tc>
        <w:tc>
          <w:tcPr>
            <w:tcW w:type="dxa" w:w="2160"/>
          </w:tcPr>
          <w:p>
            <w:r>
              <w:t>Actualiza precio del ID 2; no modifica ID 1.</w:t>
            </w:r>
          </w:p>
        </w:tc>
      </w:tr>
      <w:tr>
        <w:tc>
          <w:tcPr>
            <w:tcW w:type="dxa" w:w="2160"/>
          </w:tcPr>
          <w:p>
            <w:r>
              <w:t>T04</w:t>
            </w:r>
          </w:p>
        </w:tc>
        <w:tc>
          <w:tcPr>
            <w:tcW w:type="dxa" w:w="2160"/>
          </w:tcPr>
          <w:p>
            <w:r>
              <w:t>Eliminar producto</w:t>
            </w:r>
          </w:p>
        </w:tc>
        <w:tc>
          <w:tcPr>
            <w:tcW w:type="dxa" w:w="2160"/>
          </w:tcPr>
          <w:p>
            <w:r>
              <w:t>eliminarProducto</w:t>
            </w:r>
          </w:p>
        </w:tc>
        <w:tc>
          <w:tcPr>
            <w:tcW w:type="dxa" w:w="2160"/>
          </w:tcPr>
          <w:p>
            <w:r>
              <w:t>Quita ID 3 y quedan cinco registros.</w:t>
            </w:r>
          </w:p>
        </w:tc>
      </w:tr>
      <w:tr>
        <w:tc>
          <w:tcPr>
            <w:tcW w:type="dxa" w:w="2160"/>
          </w:tcPr>
          <w:p>
            <w:r>
              <w:t>T05</w:t>
            </w:r>
          </w:p>
        </w:tc>
        <w:tc>
          <w:tcPr>
            <w:tcW w:type="dxa" w:w="2160"/>
          </w:tcPr>
          <w:p>
            <w:r>
              <w:t>Formato CLP</w:t>
            </w:r>
          </w:p>
        </w:tc>
        <w:tc>
          <w:tcPr>
            <w:tcW w:type="dxa" w:w="2160"/>
          </w:tcPr>
          <w:p>
            <w:r>
              <w:t>formatoCLP</w:t>
            </w:r>
          </w:p>
        </w:tc>
        <w:tc>
          <w:tcPr>
            <w:tcW w:type="dxa" w:w="2160"/>
          </w:tcPr>
          <w:p>
            <w:r>
              <w:t xml:space="preserve">Representa 34.990 con símbolo $. </w:t>
            </w:r>
          </w:p>
        </w:tc>
      </w:tr>
      <w:tr>
        <w:tc>
          <w:tcPr>
            <w:tcW w:type="dxa" w:w="2160"/>
          </w:tcPr>
          <w:p>
            <w:r>
              <w:t>T06</w:t>
            </w:r>
          </w:p>
        </w:tc>
        <w:tc>
          <w:tcPr>
            <w:tcW w:type="dxa" w:w="2160"/>
          </w:tcPr>
          <w:p>
            <w:r>
              <w:t>Renderizado</w:t>
            </w:r>
          </w:p>
        </w:tc>
        <w:tc>
          <w:tcPr>
            <w:tcW w:type="dxa" w:w="2160"/>
          </w:tcPr>
          <w:p>
            <w:r>
              <w:t>TarjetaProducto</w:t>
            </w:r>
          </w:p>
        </w:tc>
        <w:tc>
          <w:tcPr>
            <w:tcW w:type="dxa" w:w="2160"/>
          </w:tcPr>
          <w:p>
            <w:r>
              <w:t>Muestra nombre de producto recibido en props.</w:t>
            </w:r>
          </w:p>
        </w:tc>
      </w:tr>
      <w:tr>
        <w:tc>
          <w:tcPr>
            <w:tcW w:type="dxa" w:w="2160"/>
          </w:tcPr>
          <w:p>
            <w:r>
              <w:t>T07</w:t>
            </w:r>
          </w:p>
        </w:tc>
        <w:tc>
          <w:tcPr>
            <w:tcW w:type="dxa" w:w="2160"/>
          </w:tcPr>
          <w:p>
            <w:r>
              <w:t>Propiedades</w:t>
            </w:r>
          </w:p>
        </w:tc>
        <w:tc>
          <w:tcPr>
            <w:tcW w:type="dxa" w:w="2160"/>
          </w:tcPr>
          <w:p>
            <w:r>
              <w:t>TarjetaProducto</w:t>
            </w:r>
          </w:p>
        </w:tc>
        <w:tc>
          <w:tcPr>
            <w:tcW w:type="dxa" w:w="2160"/>
          </w:tcPr>
          <w:p>
            <w:r>
              <w:t>Muestra categoría y precio de producto recibido.</w:t>
            </w:r>
          </w:p>
        </w:tc>
      </w:tr>
      <w:tr>
        <w:tc>
          <w:tcPr>
            <w:tcW w:type="dxa" w:w="2160"/>
          </w:tcPr>
          <w:p>
            <w:r>
              <w:t>T08</w:t>
            </w:r>
          </w:p>
        </w:tc>
        <w:tc>
          <w:tcPr>
            <w:tcW w:type="dxa" w:w="2160"/>
          </w:tcPr>
          <w:p>
            <w:r>
              <w:t>Condicional</w:t>
            </w:r>
          </w:p>
        </w:tc>
        <w:tc>
          <w:tcPr>
            <w:tcW w:type="dxa" w:w="2160"/>
          </w:tcPr>
          <w:p>
            <w:r>
              <w:t>TarjetaProducto</w:t>
            </w:r>
          </w:p>
        </w:tc>
        <w:tc>
          <w:tcPr>
            <w:tcW w:type="dxa" w:w="2160"/>
          </w:tcPr>
          <w:p>
            <w:r>
              <w:t>Etiqueta Oferta aparece solo en productos con oferta.</w:t>
            </w:r>
          </w:p>
        </w:tc>
      </w:tr>
      <w:tr>
        <w:tc>
          <w:tcPr>
            <w:tcW w:type="dxa" w:w="2160"/>
          </w:tcPr>
          <w:p>
            <w:r>
              <w:t>T09</w:t>
            </w:r>
          </w:p>
        </w:tc>
        <w:tc>
          <w:tcPr>
            <w:tcW w:type="dxa" w:w="2160"/>
          </w:tcPr>
          <w:p>
            <w:r>
              <w:t>Sin stock</w:t>
            </w:r>
          </w:p>
        </w:tc>
        <w:tc>
          <w:tcPr>
            <w:tcW w:type="dxa" w:w="2160"/>
          </w:tcPr>
          <w:p>
            <w:r>
              <w:t>TarjetaProducto</w:t>
            </w:r>
          </w:p>
        </w:tc>
        <w:tc>
          <w:tcPr>
            <w:tcW w:type="dxa" w:w="2160"/>
          </w:tcPr>
          <w:p>
            <w:r>
              <w:t>Botón deshabilitado y texto Agotado.</w:t>
            </w:r>
          </w:p>
        </w:tc>
      </w:tr>
      <w:tr>
        <w:tc>
          <w:tcPr>
            <w:tcW w:type="dxa" w:w="2160"/>
          </w:tcPr>
          <w:p>
            <w:r>
              <w:t>T10</w:t>
            </w:r>
          </w:p>
        </w:tc>
        <w:tc>
          <w:tcPr>
            <w:tcW w:type="dxa" w:w="2160"/>
          </w:tcPr>
          <w:p>
            <w:r>
              <w:t>Clic y estado</w:t>
            </w:r>
          </w:p>
        </w:tc>
        <w:tc>
          <w:tcPr>
            <w:tcW w:type="dxa" w:w="2160"/>
          </w:tcPr>
          <w:p>
            <w:r>
              <w:t>TarjetaProducto + TiendaProvider</w:t>
            </w:r>
          </w:p>
        </w:tc>
        <w:tc>
          <w:tcPr>
            <w:tcW w:type="dxa" w:w="2160"/>
          </w:tcPr>
          <w:p>
            <w:r>
              <w:t>Después del clic localStorage contiene artículo cantidad 1.</w:t>
            </w:r>
          </w:p>
        </w:tc>
      </w:tr>
    </w:tbl>
    <w:p/>
    <w:p>
      <w:pPr>
        <w:pStyle w:val="Heading1"/>
      </w:pPr>
      <w:r>
        <w:t>4. Resultados registrados</w:t>
      </w:r>
    </w:p>
    <w:p>
      <w:r>
        <w:t>El estudiante informó que volvió a ejecutar npm.cmd test tras corregir la configuración de Babel y obtuvo 10 de 10 pruebas exitosas (0 fallidas) el 27 de octubre de 2026. Se recomienda adjuntar una captura de la terminal como evidencia de la ejecución. El registro anterior, con “Executed 0 of 0 ERROR”, correspondía al problema de compilación ya corregido según lo informado por el estudiante.</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Métrica</w:t>
            </w:r>
          </w:p>
        </w:tc>
        <w:tc>
          <w:tcPr>
            <w:tcW w:type="dxa" w:w="4320"/>
          </w:tcPr>
          <w:p>
            <w:r>
              <w:t>Valor documentado</w:t>
            </w:r>
          </w:p>
        </w:tc>
      </w:tr>
      <w:tr>
        <w:tc>
          <w:tcPr>
            <w:tcW w:type="dxa" w:w="4320"/>
          </w:tcPr>
          <w:p>
            <w:r>
              <w:t>Pruebas escritas</w:t>
            </w:r>
          </w:p>
        </w:tc>
        <w:tc>
          <w:tcPr>
            <w:tcW w:type="dxa" w:w="4320"/>
          </w:tcPr>
          <w:p>
            <w:r>
              <w:t>10 (cinco de catálogo y cinco de componentes).</w:t>
            </w:r>
          </w:p>
        </w:tc>
      </w:tr>
      <w:tr>
        <w:tc>
          <w:tcPr>
            <w:tcW w:type="dxa" w:w="4320"/>
          </w:tcPr>
          <w:p>
            <w:r>
              <w:t>Pruebas ejecutadas en el registro aportado</w:t>
            </w:r>
          </w:p>
        </w:tc>
        <w:tc>
          <w:tcPr>
            <w:tcW w:type="dxa" w:w="4320"/>
          </w:tcPr>
          <w:p>
            <w:r>
              <w:t>10 de 10, según confirmación del estudiante tras la corrección.</w:t>
            </w:r>
          </w:p>
        </w:tc>
      </w:tr>
      <w:tr>
        <w:tc>
          <w:tcPr>
            <w:tcW w:type="dxa" w:w="4320"/>
          </w:tcPr>
          <w:p>
            <w:r>
              <w:t>Pruebas aprobadas verificadas</w:t>
            </w:r>
          </w:p>
        </w:tc>
        <w:tc>
          <w:tcPr>
            <w:tcW w:type="dxa" w:w="4320"/>
          </w:tcPr>
          <w:p>
            <w:r>
              <w:t>10 aprobadas, 0 fallidas (resultado informado por el estudiante; captura pendiente de adjuntar).</w:t>
            </w:r>
          </w:p>
        </w:tc>
      </w:tr>
      <w:tr>
        <w:tc>
          <w:tcPr>
            <w:tcW w:type="dxa" w:w="4320"/>
          </w:tcPr>
          <w:p>
            <w:r>
              <w:t>Cobertura porcentual de código</w:t>
            </w:r>
          </w:p>
        </w:tc>
        <w:tc>
          <w:tcPr>
            <w:tcW w:type="dxa" w:w="4320"/>
          </w:tcPr>
          <w:p>
            <w:r>
              <w:t>No medida; no confundir cantidad de casos con cobertura de líneas.</w:t>
            </w:r>
          </w:p>
        </w:tc>
      </w:tr>
      <w:tr>
        <w:tc>
          <w:tcPr>
            <w:tcW w:type="dxa" w:w="4320"/>
          </w:tcPr>
          <w:p>
            <w:r>
              <w:t>Corrección aplicada</w:t>
            </w:r>
          </w:p>
        </w:tc>
        <w:tc>
          <w:tcPr>
            <w:tcW w:type="dxa" w:w="4320"/>
          </w:tcPr>
          <w:p>
            <w:r>
              <w:t>Se corrigió el destino de compilación Babel; después el estudiante reportó ejecución exitosa.</w:t>
            </w:r>
          </w:p>
        </w:tc>
      </w:tr>
    </w:tbl>
    <w:p/>
    <w:p>
      <w:pPr>
        <w:pStyle w:val="Heading1"/>
      </w:pPr>
      <w:r>
        <w:t>5. Análisis de cobertura funcional</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Área</w:t>
            </w:r>
          </w:p>
        </w:tc>
        <w:tc>
          <w:tcPr>
            <w:tcW w:type="dxa" w:w="2880"/>
          </w:tcPr>
          <w:p>
            <w:r>
              <w:t>Casos</w:t>
            </w:r>
          </w:p>
        </w:tc>
        <w:tc>
          <w:tcPr>
            <w:tcW w:type="dxa" w:w="2880"/>
          </w:tcPr>
          <w:p>
            <w:r>
              <w:t>Observación</w:t>
            </w:r>
          </w:p>
        </w:tc>
      </w:tr>
      <w:tr>
        <w:tc>
          <w:tcPr>
            <w:tcW w:type="dxa" w:w="2880"/>
          </w:tcPr>
          <w:p>
            <w:r>
              <w:t>CRUD de productos</w:t>
            </w:r>
          </w:p>
        </w:tc>
        <w:tc>
          <w:tcPr>
            <w:tcW w:type="dxa" w:w="2880"/>
          </w:tcPr>
          <w:p>
            <w:r>
              <w:t>T01–T04</w:t>
            </w:r>
          </w:p>
        </w:tc>
        <w:tc>
          <w:tcPr>
            <w:tcW w:type="dxa" w:w="2880"/>
          </w:tcPr>
          <w:p>
            <w:r>
              <w:t>Se cubren rutas básicas de lógica de catálogo, no todas las validaciones límite.</w:t>
            </w:r>
          </w:p>
        </w:tc>
      </w:tr>
      <w:tr>
        <w:tc>
          <w:tcPr>
            <w:tcW w:type="dxa" w:w="2880"/>
          </w:tcPr>
          <w:p>
            <w:r>
              <w:t>Presentación de precios</w:t>
            </w:r>
          </w:p>
        </w:tc>
        <w:tc>
          <w:tcPr>
            <w:tcW w:type="dxa" w:w="2880"/>
          </w:tcPr>
          <w:p>
            <w:r>
              <w:t>T05, T07</w:t>
            </w:r>
          </w:p>
        </w:tc>
        <w:tc>
          <w:tcPr>
            <w:tcW w:type="dxa" w:w="2880"/>
          </w:tcPr>
          <w:p>
            <w:r>
              <w:t>Se evalúa CLP y valor renderizado.</w:t>
            </w:r>
          </w:p>
        </w:tc>
      </w:tr>
      <w:tr>
        <w:tc>
          <w:tcPr>
            <w:tcW w:type="dxa" w:w="2880"/>
          </w:tcPr>
          <w:p>
            <w:r>
              <w:t>Componentes React y props</w:t>
            </w:r>
          </w:p>
        </w:tc>
        <w:tc>
          <w:tcPr>
            <w:tcW w:type="dxa" w:w="2880"/>
          </w:tcPr>
          <w:p>
            <w:r>
              <w:t>T06–T09</w:t>
            </w:r>
          </w:p>
        </w:tc>
        <w:tc>
          <w:tcPr>
            <w:tcW w:type="dxa" w:w="2880"/>
          </w:tcPr>
          <w:p>
            <w:r>
              <w:t>Se evalúan renderizado y condiciones de disponibilidad.</w:t>
            </w:r>
          </w:p>
        </w:tc>
      </w:tr>
      <w:tr>
        <w:tc>
          <w:tcPr>
            <w:tcW w:type="dxa" w:w="2880"/>
          </w:tcPr>
          <w:p>
            <w:r>
              <w:t>Interacción y estado</w:t>
            </w:r>
          </w:p>
        </w:tc>
        <w:tc>
          <w:tcPr>
            <w:tcW w:type="dxa" w:w="2880"/>
          </w:tcPr>
          <w:p>
            <w:r>
              <w:t>T10</w:t>
            </w:r>
          </w:p>
        </w:tc>
        <w:tc>
          <w:tcPr>
            <w:tcW w:type="dxa" w:w="2880"/>
          </w:tcPr>
          <w:p>
            <w:r>
              <w:t>Se evalúa botón y persistencia local del carrito.</w:t>
            </w:r>
          </w:p>
        </w:tc>
      </w:tr>
      <w:tr>
        <w:tc>
          <w:tcPr>
            <w:tcW w:type="dxa" w:w="2880"/>
          </w:tcPr>
          <w:p>
            <w:r>
              <w:t>Checkout</w:t>
            </w:r>
          </w:p>
        </w:tc>
        <w:tc>
          <w:tcPr>
            <w:tcW w:type="dxa" w:w="2880"/>
          </w:tcPr>
          <w:p>
            <w:r>
              <w:t>Ninguno</w:t>
            </w:r>
          </w:p>
        </w:tc>
        <w:tc>
          <w:tcPr>
            <w:tcW w:type="dxa" w:w="2880"/>
          </w:tcPr>
          <w:p>
            <w:r>
              <w:t>No existe prueba automatizada para los campos obligatorios ni el éxito de compra.</w:t>
            </w:r>
          </w:p>
        </w:tc>
      </w:tr>
      <w:tr>
        <w:tc>
          <w:tcPr>
            <w:tcW w:type="dxa" w:w="2880"/>
          </w:tcPr>
          <w:p>
            <w:r>
              <w:t>Panel administrativo integrado</w:t>
            </w:r>
          </w:p>
        </w:tc>
        <w:tc>
          <w:tcPr>
            <w:tcW w:type="dxa" w:w="2880"/>
          </w:tcPr>
          <w:p>
            <w:r>
              <w:t>Ninguno</w:t>
            </w:r>
          </w:p>
        </w:tc>
        <w:tc>
          <w:tcPr>
            <w:tcW w:type="dxa" w:w="2880"/>
          </w:tcPr>
          <w:p>
            <w:r>
              <w:t>Las funciones CRUD se prueban aisladas, no la pantalla completa.</w:t>
            </w:r>
          </w:p>
        </w:tc>
      </w:tr>
    </w:tbl>
    <w:p/>
    <w:p>
      <w:pPr>
        <w:pStyle w:val="Heading1"/>
      </w:pPr>
      <w:r>
        <w:t>6. Evidencia a recopilar antes de entregar</w:t>
      </w:r>
    </w:p>
    <w:p>
      <w:pPr>
        <w:pStyle w:val="ListBullet"/>
      </w:pPr>
      <w:r>
        <w:t>Conservar una captura de la terminal donde se vean las 10 pruebas ejecutadas exitosamente.</w:t>
      </w:r>
    </w:p>
    <w:p>
      <w:pPr>
        <w:pStyle w:val="ListBullet"/>
      </w:pPr>
      <w:r>
        <w:t>Adjuntar la captura con el resumen 10/10 SUCCESS al informe o a la presentación.</w:t>
      </w:r>
    </w:p>
    <w:p>
      <w:pPr>
        <w:pStyle w:val="ListBullet"/>
      </w:pPr>
      <w:r>
        <w:t>Conservar registro del problema de Babel y describir la corrección de la configuración.</w:t>
      </w:r>
    </w:p>
    <w:p>
      <w:pPr>
        <w:pStyle w:val="ListBullet"/>
      </w:pPr>
      <w:r>
        <w:t>Probar visualmente carrito, checkout, administración y responsividad.</w:t>
      </w:r>
    </w:p>
    <w:p>
      <w:pPr>
        <w:pStyle w:val="ListBullet"/>
      </w:pPr>
      <w:r>
        <w:t>No informar porcentaje de cobertura de líneas sin un reporte generado por herramienta.</w:t>
      </w:r>
    </w:p>
    <w:p>
      <w:pPr>
        <w:pStyle w:val="Heading1"/>
      </w:pPr>
      <w:r>
        <w:t>7. Conclusión preliminar</w:t>
      </w:r>
    </w:p>
    <w:p>
      <w:r>
        <w:t>Las diez pruebas están documentadas y el estudiante confirmó que las diez finalizaron correctamente. Esto demuestra éxito de los casos probados, no cobertura total del código. La cobertura de líneas, ramas y funciones queda sin medir hasta incorporar una herramienta de instrumentación y generar su informe.</w:t>
      </w:r>
    </w:p>
    <w:p>
      <w:r>
        <w:rPr>
          <w:b/>
        </w:rPr>
        <w:t xml:space="preserve">Nota de evidencia: </w:t>
      </w:r>
      <w:r>
        <w:t>Este informe registra los resultados comunicados por el estudiante. No sustituye la captura de consola o reporte original. Se distingue la tasa de aprobación (10/10) de la cobertura de código (no cuantificada).</w:t>
      </w:r>
    </w:p>
    <w:sectPr w:rsidR="00FC693F" w:rsidRPr="0006063C" w:rsidSect="00034616">
      <w:pgSz w:w="12240" w:h="15840"/>
      <w:pgMar w:top="1008" w:right="1800" w:bottom="936" w:left="1800" w:header="461"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54A82"/>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95C98"/>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