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40" w:lineRule="auto"/>
        <w:jc w:val="center"/>
      </w:pPr>
      <w:r>
        <w:rPr>
          <w:rFonts w:ascii="Times New Roman" w:hAnsi="Times New Roman"/>
          <w:b w:val="0"/>
          <w:i w:val="0"/>
          <w:sz w:val="48"/>
        </w:rPr>
        <w:t>An Integrated Multi-Modal Artificial Intelligence and Internet of</w:t>
        <w:br/>
        <w:t>Things Framework for Intelligent Dry Fish Processing</w:t>
      </w:r>
    </w:p>
    <w:tbl>
      <w:tblPr>
        <w:tblW w:type="auto" w:w="0"/>
        <w:tblLook w:firstColumn="1" w:firstRow="1" w:lastColumn="0" w:lastRow="0" w:noHBand="0" w:noVBand="1" w:val="04A0"/>
      </w:tblPr>
      <w:tblGrid>
        <w:gridCol w:w="2610"/>
        <w:gridCol w:w="2610"/>
        <w:gridCol w:w="2610"/>
        <w:gridCol w:w="2610"/>
      </w:tblGrid>
      <w:tr>
        <w:tc>
          <w:tcPr>
            <w:tcW w:type="dxa" w:w="2610"/>
          </w:tcPr>
          <w:p>
            <w:pPr>
              <w:spacing w:after="0"/>
              <w:jc w:val="center"/>
            </w:pPr>
            <w:r/>
            <w:r>
              <w:rPr>
                <w:rFonts w:ascii="Times New Roman" w:hAnsi="Times New Roman"/>
                <w:sz w:val="22"/>
              </w:rPr>
              <w:t>1{st</w:t>
            </w:r>
          </w:p>
          <w:p>
            <w:pPr>
              <w:spacing w:after="0"/>
              <w:jc w:val="center"/>
            </w:pPr>
            <w:r>
              <w:rPr>
                <w:rFonts w:ascii="Times New Roman" w:hAnsi="Times New Roman"/>
                <w:i/>
                <w:sz w:val="20"/>
              </w:rPr>
              <w:t>Dept. of Information Technology</w:t>
            </w:r>
          </w:p>
          <w:p>
            <w:pPr>
              <w:spacing w:after="0"/>
              <w:jc w:val="center"/>
            </w:pPr>
            <w:r>
              <w:rPr>
                <w:rFonts w:ascii="Times New Roman" w:hAnsi="Times New Roman"/>
                <w:i/>
                <w:sz w:val="20"/>
              </w:rPr>
              <w:t>Sri Lanka Institute of Information Technology</w:t>
            </w:r>
          </w:p>
          <w:p>
            <w:pPr>
              <w:spacing w:after="0"/>
              <w:jc w:val="center"/>
            </w:pPr>
            <w:r>
              <w:rPr>
                <w:rFonts w:ascii="Times New Roman" w:hAnsi="Times New Roman"/>
                <w:i w:val="0"/>
                <w:sz w:val="20"/>
              </w:rPr>
              <w:t>Malabe, Sri Lanka</w:t>
            </w:r>
          </w:p>
          <w:p>
            <w:pPr>
              <w:spacing w:after="0"/>
              <w:jc w:val="center"/>
            </w:pPr>
            <w:r>
              <w:rPr>
                <w:rFonts w:ascii="Times New Roman" w:hAnsi="Times New Roman"/>
                <w:i w:val="0"/>
                <w:sz w:val="20"/>
              </w:rPr>
              <w:t>email address or ORCID</w:t>
            </w:r>
          </w:p>
        </w:tc>
        <w:tc>
          <w:tcPr>
            <w:tcW w:type="dxa" w:w="2610"/>
          </w:tcPr>
          <w:p>
            <w:pPr>
              <w:spacing w:after="0"/>
              <w:jc w:val="center"/>
            </w:pPr>
            <w:r/>
            <w:r>
              <w:rPr>
                <w:rFonts w:ascii="Times New Roman" w:hAnsi="Times New Roman"/>
                <w:sz w:val="22"/>
              </w:rPr>
              <w:t>2{nd</w:t>
            </w:r>
          </w:p>
          <w:p>
            <w:pPr>
              <w:spacing w:after="0"/>
              <w:jc w:val="center"/>
            </w:pPr>
            <w:r>
              <w:rPr>
                <w:rFonts w:ascii="Times New Roman" w:hAnsi="Times New Roman"/>
                <w:i/>
                <w:sz w:val="20"/>
              </w:rPr>
              <w:t>Dept. of Information Technology</w:t>
            </w:r>
          </w:p>
          <w:p>
            <w:pPr>
              <w:spacing w:after="0"/>
              <w:jc w:val="center"/>
            </w:pPr>
            <w:r>
              <w:rPr>
                <w:rFonts w:ascii="Times New Roman" w:hAnsi="Times New Roman"/>
                <w:i/>
                <w:sz w:val="20"/>
              </w:rPr>
              <w:t>Sri Lanka Institute of Information Technology</w:t>
            </w:r>
          </w:p>
          <w:p>
            <w:pPr>
              <w:spacing w:after="0"/>
              <w:jc w:val="center"/>
            </w:pPr>
            <w:r>
              <w:rPr>
                <w:rFonts w:ascii="Times New Roman" w:hAnsi="Times New Roman"/>
                <w:i w:val="0"/>
                <w:sz w:val="20"/>
              </w:rPr>
              <w:t>Malabe, Sri Lanka</w:t>
            </w:r>
          </w:p>
          <w:p>
            <w:pPr>
              <w:spacing w:after="0"/>
              <w:jc w:val="center"/>
            </w:pPr>
            <w:r>
              <w:rPr>
                <w:rFonts w:ascii="Times New Roman" w:hAnsi="Times New Roman"/>
                <w:i w:val="0"/>
                <w:sz w:val="20"/>
              </w:rPr>
              <w:t>email address or ORCID</w:t>
            </w:r>
          </w:p>
        </w:tc>
        <w:tc>
          <w:tcPr>
            <w:tcW w:type="dxa" w:w="2610"/>
          </w:tcPr>
          <w:p>
            <w:pPr>
              <w:spacing w:after="0"/>
              <w:jc w:val="center"/>
            </w:pPr>
            <w:r/>
            <w:r>
              <w:rPr>
                <w:rFonts w:ascii="Times New Roman" w:hAnsi="Times New Roman"/>
                <w:sz w:val="22"/>
              </w:rPr>
              <w:t>3{rd</w:t>
            </w:r>
          </w:p>
          <w:p>
            <w:pPr>
              <w:spacing w:after="0"/>
              <w:jc w:val="center"/>
            </w:pPr>
            <w:r>
              <w:rPr>
                <w:rFonts w:ascii="Times New Roman" w:hAnsi="Times New Roman"/>
                <w:i/>
                <w:sz w:val="20"/>
              </w:rPr>
              <w:t>Dept. of Information Technology</w:t>
            </w:r>
          </w:p>
          <w:p>
            <w:pPr>
              <w:spacing w:after="0"/>
              <w:jc w:val="center"/>
            </w:pPr>
            <w:r>
              <w:rPr>
                <w:rFonts w:ascii="Times New Roman" w:hAnsi="Times New Roman"/>
                <w:i/>
                <w:sz w:val="20"/>
              </w:rPr>
              <w:t>Sri Lanka Institute of Information Technology</w:t>
            </w:r>
          </w:p>
          <w:p>
            <w:pPr>
              <w:spacing w:after="0"/>
              <w:jc w:val="center"/>
            </w:pPr>
            <w:r>
              <w:rPr>
                <w:rFonts w:ascii="Times New Roman" w:hAnsi="Times New Roman"/>
                <w:i w:val="0"/>
                <w:sz w:val="20"/>
              </w:rPr>
              <w:t>Malabe, Sri Lanka</w:t>
            </w:r>
          </w:p>
          <w:p>
            <w:pPr>
              <w:spacing w:after="0"/>
              <w:jc w:val="center"/>
            </w:pPr>
            <w:r>
              <w:rPr>
                <w:rFonts w:ascii="Times New Roman" w:hAnsi="Times New Roman"/>
                <w:i w:val="0"/>
                <w:sz w:val="20"/>
              </w:rPr>
              <w:t>email address or ORCID</w:t>
            </w:r>
          </w:p>
        </w:tc>
        <w:tc>
          <w:tcPr>
            <w:tcW w:type="dxa" w:w="2610"/>
          </w:tcPr>
          <w:p>
            <w:pPr>
              <w:spacing w:after="0"/>
              <w:jc w:val="center"/>
            </w:pPr>
            <w:r/>
            <w:r>
              <w:rPr>
                <w:rFonts w:ascii="Times New Roman" w:hAnsi="Times New Roman"/>
                <w:sz w:val="22"/>
              </w:rPr>
              <w:t>4{th</w:t>
            </w:r>
          </w:p>
          <w:p>
            <w:pPr>
              <w:spacing w:after="0"/>
              <w:jc w:val="center"/>
            </w:pPr>
            <w:r>
              <w:rPr>
                <w:rFonts w:ascii="Times New Roman" w:hAnsi="Times New Roman"/>
                <w:i/>
                <w:sz w:val="20"/>
              </w:rPr>
              <w:t>Dept. of Information Technology</w:t>
            </w:r>
          </w:p>
          <w:p>
            <w:pPr>
              <w:spacing w:after="0"/>
              <w:jc w:val="center"/>
            </w:pPr>
            <w:r>
              <w:rPr>
                <w:rFonts w:ascii="Times New Roman" w:hAnsi="Times New Roman"/>
                <w:i/>
                <w:sz w:val="20"/>
              </w:rPr>
              <w:t>Sri Lanka Institute of Information Technology</w:t>
            </w:r>
          </w:p>
          <w:p>
            <w:pPr>
              <w:spacing w:after="0"/>
              <w:jc w:val="center"/>
            </w:pPr>
            <w:r>
              <w:rPr>
                <w:rFonts w:ascii="Times New Roman" w:hAnsi="Times New Roman"/>
                <w:i w:val="0"/>
                <w:sz w:val="20"/>
              </w:rPr>
              <w:t>Malabe, Sri Lanka</w:t>
            </w:r>
          </w:p>
          <w:p>
            <w:pPr>
              <w:spacing w:after="0"/>
              <w:jc w:val="center"/>
            </w:pPr>
            <w:r>
              <w:rPr>
                <w:rFonts w:ascii="Times New Roman" w:hAnsi="Times New Roman"/>
                <w:i w:val="0"/>
                <w:sz w:val="20"/>
              </w:rPr>
              <w:t>email address or ORCID</w:t>
            </w:r>
          </w:p>
        </w:tc>
      </w:tr>
    </w:tbl>
    <w:p>
      <w:pPr>
        <w:spacing w:before="0" w:after="200" w:line="240" w:lineRule="auto"/>
      </w:pPr>
    </w:p>
    <w:p>
      <w:pPr>
        <w:sectPr>
          <w:pgSz w:w="12240" w:h="15840"/>
          <w:pgMar w:top="1080" w:right="900" w:bottom="1440" w:left="900" w:header="720" w:footer="720" w:gutter="0"/>
          <w:cols w:space="360" w:num="1" w:equalWidth="1"/>
          <w:docGrid w:linePitch="360"/>
        </w:sectPr>
      </w:pPr>
    </w:p>
    <w:p>
      <w:pPr>
        <w:spacing w:after="120"/>
        <w:ind w:firstLine="288"/>
        <w:jc w:val="both"/>
      </w:pPr>
      <w:r>
        <w:rPr>
          <w:rFonts w:ascii="Times New Roman" w:hAnsi="Times New Roman"/>
          <w:b/>
          <w:i/>
          <w:sz w:val="18"/>
        </w:rPr>
        <w:t>Abstract—</w:t>
      </w:r>
      <w:r>
        <w:rPr>
          <w:rFonts w:ascii="Times New Roman" w:hAnsi="Times New Roman"/>
          <w:b/>
          <w:sz w:val="18"/>
        </w:rPr>
        <w:t>Traditional dry fish processing depends heavily on operator experience, manual inspection, and variable environmental conditions, resulting in inconsistent product quality, spoilage risk, processing inefficiencies, undocumented waste, and incomplete batch histories. Existing intelligent food processing approaches commonly address environmental monitoring, drying prediction, visual quality assessment, automated control, and digital traceability as independent functions. This paper presents an integrated Artificial Intelligence and Internet of Things framework that unifies these capabilities within a single batch centric dry fish processing lifecycle. The proposed system combines real time temperature, relative humidity, gas, and continuous weight sensing with machine learning based drying parameter prediction, dynamic remaining time estimation, spoilage risk assessment, computer vision based quality grading and defect detection, automated drying control, salt and waste management, and digital traceability. A unique batch identifier links preparation information, sensor observations, predictions, visual assessments, control actions, and sustainability records throughout processing. Environmental, physical, chemical, and visual information are collectively used to represent the evolving state of a drying batch, while safety constraints remain independent of model generated decisions. The resulting framework establishes a sense, predict, assess, decide, control, verify, and trace processing cycle designed to transform experience dependent dry fish production into a measurable, intelligent, and traceable process. The paper reports the implementation status of each subsystem and defines an evaluation protocol spanning predictive model performance, visual classification performance, environmental control stability, drying completion accuracy, system reliability, and traceability completeness.</w:t>
      </w:r>
    </w:p>
    <w:p>
      <w:pPr>
        <w:spacing w:after="120"/>
        <w:ind w:firstLine="288"/>
        <w:jc w:val="both"/>
      </w:pPr>
      <w:r>
        <w:rPr>
          <w:rFonts w:ascii="Times New Roman" w:hAnsi="Times New Roman"/>
          <w:b/>
          <w:i/>
          <w:sz w:val="18"/>
        </w:rPr>
        <w:t>Index Terms—</w:t>
      </w:r>
      <w:r>
        <w:rPr>
          <w:rFonts w:ascii="Times New Roman" w:hAnsi="Times New Roman"/>
          <w:b/>
          <w:sz w:val="18"/>
        </w:rPr>
        <w:t>artificial intelligence, computer vision, dry fish processing, Internet of Things, machine learning, multi-modal sensing, predictive analytics, smart drying, traceability</w:t>
      </w:r>
    </w:p>
    <w:p>
      <w:pPr>
        <w:spacing w:before="240" w:after="120" w:line="240" w:lineRule="auto"/>
        <w:jc w:val="center"/>
      </w:pPr>
      <w:r>
        <w:rPr>
          <w:rFonts w:ascii="Times New Roman" w:hAnsi="Times New Roman"/>
          <w:b w:val="0"/>
          <w:i w:val="0"/>
          <w:smallCaps/>
          <w:sz w:val="20"/>
        </w:rPr>
        <w:t>I.  Introduction</w:t>
      </w:r>
    </w:p>
    <w:p>
      <w:pPr>
        <w:spacing w:before="0" w:after="0" w:line="240" w:lineRule="auto"/>
        <w:ind w:firstLine="288"/>
        <w:jc w:val="both"/>
      </w:pPr>
      <w:r>
        <w:rPr>
          <w:rFonts w:ascii="Times New Roman" w:hAnsi="Times New Roman"/>
          <w:b w:val="0"/>
          <w:i w:val="0"/>
          <w:sz w:val="20"/>
        </w:rPr>
        <w:t>Drying is among the oldest methods of food preservation. By reducing available moisture it suppresses microbial growth and enzymatic activity, extending shelf life and easing storage and transport. In Sri Lanka, dried fish is an important processed seafood product contributing to household food consumption and to the livelihoods of coastal processing communities.</w:t>
      </w:r>
    </w:p>
    <w:p>
      <w:pPr>
        <w:spacing w:before="0" w:after="0" w:line="240" w:lineRule="auto"/>
        <w:ind w:firstLine="288"/>
        <w:jc w:val="both"/>
      </w:pPr>
      <w:r>
        <w:rPr>
          <w:rFonts w:ascii="Times New Roman" w:hAnsi="Times New Roman"/>
          <w:b w:val="0"/>
          <w:i w:val="0"/>
          <w:sz w:val="20"/>
        </w:rPr>
        <w:t>Despite this importance, conventional processing remains highly dependent on manual practice. Operators determine preparation requirements, salting duration, drying conditions, and final quality through experience and visual observation, while open processing environments expose drying to changing temperature and humidity. The consequences are interlinked: environmental fluctuation changes the rate of moisture removal; inappropriate conditions cause under drying, over drying, or deterioration; manual grading varies between operators; and waste and batch histories are rarely documented.</w:t>
      </w:r>
    </w:p>
    <w:p>
      <w:pPr>
        <w:spacing w:before="0" w:after="0" w:line="240" w:lineRule="auto"/>
        <w:ind w:firstLine="288"/>
        <w:jc w:val="both"/>
      </w:pPr>
      <w:r>
        <w:rPr>
          <w:rFonts w:ascii="Times New Roman" w:hAnsi="Times New Roman"/>
          <w:b w:val="0"/>
          <w:i w:val="0"/>
          <w:sz w:val="20"/>
        </w:rPr>
        <w:t>Recent advances in the Internet of Things (IoT), artificial intelligence (AI), machine learning (ML), and computer vision offer routes to replace experience dependent judgement with measurable, data driven workflows. Implementing these technologies independently, however, limits their combined value. A drying time prediction is more useful when continuously updated from live observations. A visual quality assessment is more informative when interpreted alongside the environmental history and physical progression of the same batch. A control decision is more defensible when the evidence behind it is retained in the batch record.</w:t>
      </w:r>
    </w:p>
    <w:p>
      <w:pPr>
        <w:spacing w:before="0" w:after="0" w:line="240" w:lineRule="auto"/>
        <w:ind w:firstLine="288"/>
        <w:jc w:val="both"/>
      </w:pPr>
      <w:r>
        <w:rPr>
          <w:rFonts w:ascii="Times New Roman" w:hAnsi="Times New Roman"/>
          <w:b w:val="0"/>
          <w:i w:val="0"/>
          <w:sz w:val="20"/>
        </w:rPr>
        <w:t>This research therefore proposes a unified intelligent dry fish processing framework that treats sensing, prediction, visual assessment, control, sustainability, and traceability as stages of the same processing lifecycle. The system observes the drying process through multiple data modalities,</w:t>
      </w:r>
    </w:p>
    <w:p>
      <w:pPr>
        <w:tabs>
          <w:tab w:pos="2448" w:val="center"/>
          <w:tab w:pos="4896" w:val="right"/>
        </w:tabs>
        <w:spacing w:before="120" w:after="120"/>
      </w:pPr>
      <w:r>
        <w:rPr>
          <w:rFonts w:ascii="Times New Roman" w:hAnsi="Times New Roman"/>
          <w:i/>
          <w:sz w:val="20"/>
        </w:rPr>
        <w:tab/>
        <w:t>X(t) = [T(t), H(t), W(t), G(t), I(t), B],</w:t>
        <w:tab/>
        <w:t>(1)</w:t>
      </w:r>
    </w:p>
    <w:p>
      <w:pPr>
        <w:spacing w:before="0" w:after="0" w:line="240" w:lineRule="auto"/>
        <w:ind w:firstLine="288"/>
        <w:jc w:val="both"/>
      </w:pPr>
      <w:r>
        <w:rPr>
          <w:rFonts w:ascii="Times New Roman" w:hAnsi="Times New Roman"/>
          <w:b w:val="0"/>
          <w:i w:val="0"/>
          <w:sz w:val="20"/>
        </w:rPr>
        <w:t>where T(t) represents chamber temperature, H(t) represents relative humidity, W(t) represents batch weight, G(t) represents a gas or odour measurement, I(t) represents an image observation of the fish, and B represents batch specific information. These observations support a set of intelligent outputs,</w:t>
      </w:r>
    </w:p>
    <w:p>
      <w:pPr>
        <w:tabs>
          <w:tab w:pos="2448" w:val="center"/>
          <w:tab w:pos="4896" w:val="right"/>
        </w:tabs>
        <w:spacing w:before="120" w:after="120"/>
      </w:pPr>
      <w:r>
        <w:rPr>
          <w:rFonts w:ascii="Times New Roman" w:hAnsi="Times New Roman"/>
          <w:i/>
          <w:sz w:val="20"/>
        </w:rPr>
        <w:tab/>
        <w:t>Y(t) = [R̂(t), P̂s(t), Q(t), C(t), D(t)],</w:t>
        <w:tab/>
        <w:t>(2)</w:t>
      </w:r>
    </w:p>
    <w:p>
      <w:pPr>
        <w:spacing w:before="0" w:after="0" w:line="240" w:lineRule="auto"/>
        <w:ind w:firstLine="288"/>
        <w:jc w:val="both"/>
      </w:pPr>
      <w:r>
        <w:rPr>
          <w:rFonts w:ascii="Times New Roman" w:hAnsi="Times New Roman"/>
          <w:b w:val="0"/>
          <w:i w:val="0"/>
          <w:sz w:val="20"/>
        </w:rPr>
        <w:t>where R̂(t) represents predicted remaining drying time, P̂s(t) represents spoilage risk, Q(t) represents the derived visual quality and defect state, C(t) represents control decisions, and D(t) represents drying completion state.</w:t>
      </w:r>
    </w:p>
    <w:p>
      <w:pPr>
        <w:spacing w:before="0" w:after="0" w:line="240" w:lineRule="auto"/>
        <w:ind w:firstLine="288"/>
        <w:jc w:val="both"/>
      </w:pPr>
      <w:r>
        <w:rPr>
          <w:rFonts w:ascii="Times New Roman" w:hAnsi="Times New Roman"/>
          <w:b w:val="0"/>
          <w:i w:val="0"/>
          <w:sz w:val="20"/>
        </w:rPr>
        <w:t>The principal contribution of this research is a unified batch centric, multi-modal intelligent dry fish processing architecture that combines environmental sensing, physical weight progression, gas based spoilage indicators, predictive machine learning, computer vision based visual quality assessment, automated drying control, sustainability management, and event level traceability within a single processing lifecycle. Unlike isolated monitoring or prediction approaches, the proposed framework enables heterogeneous observations and model generated outputs to contribute to a shared representation of the current batch state, and preserves the resulting processing decisions within a complete digital history.</w:t>
      </w:r>
    </w:p>
    <w:p>
      <w:pPr>
        <w:spacing w:before="0" w:after="0" w:line="240" w:lineRule="auto"/>
        <w:ind w:firstLine="288"/>
        <w:jc w:val="both"/>
      </w:pPr>
      <w:r>
        <w:rPr>
          <w:rFonts w:ascii="Times New Roman" w:hAnsi="Times New Roman"/>
          <w:b w:val="0"/>
          <w:i w:val="0"/>
          <w:sz w:val="20"/>
        </w:rPr>
        <w:t>The primary research question is whether the integration of heterogeneous sensing, predictive analytics, visual quality assessment, and automated control can provide a practical intelligent processing framework for improving dry fish processing while maintaining a complete digital batch history.</w:t>
      </w:r>
    </w:p>
    <w:p>
      <w:pPr>
        <w:spacing w:before="240" w:after="120" w:line="240" w:lineRule="auto"/>
        <w:jc w:val="center"/>
      </w:pPr>
      <w:r>
        <w:rPr>
          <w:rFonts w:ascii="Times New Roman" w:hAnsi="Times New Roman"/>
          <w:b w:val="0"/>
          <w:i w:val="0"/>
          <w:smallCaps/>
          <w:sz w:val="20"/>
        </w:rPr>
        <w:t>II.  Related Work</w:t>
      </w:r>
    </w:p>
    <w:p>
      <w:pPr>
        <w:spacing w:before="160" w:after="60" w:line="240" w:lineRule="auto"/>
      </w:pPr>
      <w:r>
        <w:rPr>
          <w:rFonts w:ascii="Times New Roman" w:hAnsi="Times New Roman"/>
          <w:b w:val="0"/>
          <w:i/>
          <w:sz w:val="20"/>
        </w:rPr>
        <w:t>A.  IoT and Intelligent Food Drying</w:t>
      </w:r>
    </w:p>
    <w:p>
      <w:pPr>
        <w:spacing w:before="0" w:after="0" w:line="240" w:lineRule="auto"/>
        <w:ind w:firstLine="288"/>
        <w:jc w:val="both"/>
      </w:pPr>
      <w:r>
        <w:rPr>
          <w:rFonts w:ascii="Times New Roman" w:hAnsi="Times New Roman"/>
          <w:b w:val="0"/>
          <w:i w:val="0"/>
          <w:sz w:val="20"/>
        </w:rPr>
        <w:t>IoT technologies have increasingly been introduced into food drying to support real time monitoring and environmental control. Mishra et al. [1] developed a drying system using the Internet of Things for food quality monitoring and controlling, and demonstrated that real time monitoring and control can maintain environmental conditions and generate warnings when abnormal processing conditions occur. Closer to the present application, Alvinika et al. [2] designed automatic fish drying equipment in which fuzzy logic regulates the drying chamber from temperature and humidity observations, confirming that closed loop control of a fish dryer is achievable with low cost hardware.</w:t>
      </w:r>
    </w:p>
    <w:p>
      <w:pPr>
        <w:spacing w:before="0" w:after="0" w:line="240" w:lineRule="auto"/>
        <w:ind w:firstLine="288"/>
        <w:jc w:val="both"/>
      </w:pPr>
      <w:r>
        <w:rPr>
          <w:rFonts w:ascii="Times New Roman" w:hAnsi="Times New Roman"/>
          <w:b w:val="0"/>
          <w:i w:val="0"/>
          <w:sz w:val="20"/>
        </w:rPr>
        <w:t>Such systems represent an important transition from conventional drying toward instrumented processing. Nevertheless, environmental measurements primarily describe the drying environment rather than the complete physical and visual state of the product. A recent review of intelligent monitoring, predicting, and control technology for food drying [3] similarly observes that many deployed systems remain reactive, and identifies closed loop integration of sensing and prediction as an open direction.</w:t>
      </w:r>
    </w:p>
    <w:p>
      <w:pPr>
        <w:spacing w:before="160" w:after="60" w:line="240" w:lineRule="auto"/>
      </w:pPr>
      <w:r>
        <w:rPr>
          <w:rFonts w:ascii="Times New Roman" w:hAnsi="Times New Roman"/>
          <w:b w:val="0"/>
          <w:i/>
          <w:sz w:val="20"/>
        </w:rPr>
        <w:t>B.  Machine Learning for Drying Prediction</w:t>
      </w:r>
    </w:p>
    <w:p>
      <w:pPr>
        <w:spacing w:before="0" w:after="0" w:line="240" w:lineRule="auto"/>
        <w:ind w:firstLine="288"/>
        <w:jc w:val="both"/>
      </w:pPr>
      <w:r>
        <w:rPr>
          <w:rFonts w:ascii="Times New Roman" w:hAnsi="Times New Roman"/>
          <w:b w:val="0"/>
          <w:i w:val="0"/>
          <w:sz w:val="20"/>
        </w:rPr>
        <w:t>Drying is a dynamic process influenced by temperature, relative humidity, product characteristics, and elapsed processing time. Rather than relying on a predetermined duration, a predictive system updates estimates as new observations become available. For a sequence of observations</w:t>
      </w:r>
    </w:p>
    <w:p>
      <w:pPr>
        <w:tabs>
          <w:tab w:pos="2448" w:val="center"/>
          <w:tab w:pos="4896" w:val="right"/>
        </w:tabs>
        <w:spacing w:before="120" w:after="120"/>
      </w:pPr>
      <w:r>
        <w:rPr>
          <w:rFonts w:ascii="Times New Roman" w:hAnsi="Times New Roman"/>
          <w:i/>
          <w:sz w:val="20"/>
        </w:rPr>
        <w:tab/>
        <w:t>X1:t = {X1, X2, …, Xt},</w:t>
        <w:tab/>
        <w:t>(3)</w:t>
      </w:r>
    </w:p>
    <w:p>
      <w:pPr>
        <w:spacing w:before="0" w:after="0" w:line="240" w:lineRule="auto"/>
        <w:ind w:firstLine="288"/>
        <w:jc w:val="both"/>
      </w:pPr>
      <w:r>
        <w:rPr>
          <w:rFonts w:ascii="Times New Roman" w:hAnsi="Times New Roman"/>
          <w:b w:val="0"/>
          <w:i w:val="0"/>
          <w:sz w:val="20"/>
        </w:rPr>
        <w:t>a regression model estimates remaining processing time as</w:t>
      </w:r>
    </w:p>
    <w:p>
      <w:pPr>
        <w:tabs>
          <w:tab w:pos="2448" w:val="center"/>
          <w:tab w:pos="4896" w:val="right"/>
        </w:tabs>
        <w:spacing w:before="120" w:after="120"/>
      </w:pPr>
      <w:r>
        <w:rPr>
          <w:rFonts w:ascii="Times New Roman" w:hAnsi="Times New Roman"/>
          <w:i/>
          <w:sz w:val="20"/>
        </w:rPr>
        <w:tab/>
        <w:t>R̂t = f(X1:t).</w:t>
        <w:tab/>
        <w:t>(4)</w:t>
      </w:r>
    </w:p>
    <w:p>
      <w:pPr>
        <w:spacing w:before="0" w:after="0" w:line="240" w:lineRule="auto"/>
        <w:ind w:firstLine="288"/>
        <w:jc w:val="both"/>
      </w:pPr>
      <w:r>
        <w:rPr>
          <w:rFonts w:ascii="Times New Roman" w:hAnsi="Times New Roman"/>
          <w:b w:val="0"/>
          <w:i w:val="0"/>
          <w:sz w:val="20"/>
        </w:rPr>
        <w:t>This approach has been validated in adjacent domains. Rakholia et al. [4] predicted meat drying time from historical process data using an ensemble machine learning model for production planning, and Ahmad et al. [5] estimated grain moisture in a high temperature paddy drying silo from environmental parameters, reporting that a shallow neural network gave the best accuracy for real time use. Classical thin layer drying models remain the physical baseline against which such data driven estimators are judged; Ghanem et al. [6] fitted thin layer models to solar dried salted tilapia fillets and reported close agreement with measured moisture ratios. The present work adopts gradient boosted regression ensembles [7], which suit the modest tabular datasets realistic for small scale processing trials.</w:t>
      </w:r>
    </w:p>
    <w:p>
      <w:pPr>
        <w:spacing w:before="0" w:after="0" w:line="240" w:lineRule="auto"/>
        <w:ind w:firstLine="288"/>
        <w:jc w:val="both"/>
      </w:pPr>
      <w:r>
        <w:rPr>
          <w:rFonts w:ascii="Times New Roman" w:hAnsi="Times New Roman"/>
          <w:b w:val="0"/>
          <w:i w:val="0"/>
          <w:sz w:val="20"/>
        </w:rPr>
        <w:t>A common limitation across this literature is that predictions are generated offline or as advisory outputs. Comparatively few systems close the loop by returning predicted parameters to the drying equipment as control setpoints.</w:t>
      </w:r>
    </w:p>
    <w:p>
      <w:pPr>
        <w:spacing w:before="160" w:after="60" w:line="240" w:lineRule="auto"/>
      </w:pPr>
      <w:r>
        <w:rPr>
          <w:rFonts w:ascii="Times New Roman" w:hAnsi="Times New Roman"/>
          <w:b w:val="0"/>
          <w:i/>
          <w:sz w:val="20"/>
        </w:rPr>
        <w:t>C.  Sensing Product State: Odour and Vision</w:t>
      </w:r>
    </w:p>
    <w:p>
      <w:pPr>
        <w:spacing w:before="0" w:after="0" w:line="240" w:lineRule="auto"/>
        <w:ind w:firstLine="288"/>
        <w:jc w:val="both"/>
      </w:pPr>
      <w:r>
        <w:rPr>
          <w:rFonts w:ascii="Times New Roman" w:hAnsi="Times New Roman"/>
          <w:b w:val="0"/>
          <w:i w:val="0"/>
          <w:sz w:val="20"/>
        </w:rPr>
        <w:t>Beyond the drying environment, the state of the product itself can be observed through chemical and visual signals. Volatile compounds released during protein degradation provide an objective spoilage indicator; Setyagraha et al. [8] constructed a portable electronic nose using low cost metal oxide gas sensors and machine learning classifiers to discriminate seafood freshness levels, supporting the use of an inexpensive gas sensor as an odour proxy.</w:t>
      </w:r>
    </w:p>
    <w:p>
      <w:pPr>
        <w:spacing w:before="0" w:after="0" w:line="240" w:lineRule="auto"/>
        <w:ind w:firstLine="288"/>
        <w:jc w:val="both"/>
      </w:pPr>
      <w:r>
        <w:rPr>
          <w:rFonts w:ascii="Times New Roman" w:hAnsi="Times New Roman"/>
          <w:b w:val="0"/>
          <w:i w:val="0"/>
          <w:sz w:val="20"/>
        </w:rPr>
        <w:t>Computer vision is a complementary non destructive technology for automated food inspection, since images contain information about colour, surface appearance, shape, shrinkage, and defects. Chakravartula et al. [9] combined computer vision based smart monitoring with control for food drying in a study on carrot slices, demonstrating the potential of combining visual and physical observation. In the seafood domain, Karmaker et al. [10] applied convolutional neural networks with transfer learning to fish freshness classification.</w:t>
      </w:r>
    </w:p>
    <w:p>
      <w:pPr>
        <w:spacing w:before="0" w:after="0" w:line="240" w:lineRule="auto"/>
        <w:ind w:firstLine="288"/>
        <w:jc w:val="both"/>
      </w:pPr>
      <w:r>
        <w:rPr>
          <w:rFonts w:ascii="Times New Roman" w:hAnsi="Times New Roman"/>
          <w:b w:val="0"/>
          <w:i w:val="0"/>
          <w:sz w:val="20"/>
        </w:rPr>
        <w:t>A vision model alone, however, does not provide information about the environmental history that produced the observed appearance, which motivates interpreting visual evidence alongside process measurements.</w:t>
      </w:r>
    </w:p>
    <w:p>
      <w:pPr>
        <w:spacing w:before="160" w:after="60" w:line="240" w:lineRule="auto"/>
      </w:pPr>
      <w:r>
        <w:rPr>
          <w:rFonts w:ascii="Times New Roman" w:hAnsi="Times New Roman"/>
          <w:b w:val="0"/>
          <w:i/>
          <w:sz w:val="20"/>
        </w:rPr>
        <w:t>D.  Intelligent Process Control</w:t>
      </w:r>
    </w:p>
    <w:p>
      <w:pPr>
        <w:spacing w:before="0" w:after="0" w:line="240" w:lineRule="auto"/>
        <w:ind w:firstLine="288"/>
        <w:jc w:val="both"/>
      </w:pPr>
      <w:r>
        <w:rPr>
          <w:rFonts w:ascii="Times New Roman" w:hAnsi="Times New Roman"/>
          <w:b w:val="0"/>
          <w:i w:val="0"/>
          <w:sz w:val="20"/>
        </w:rPr>
        <w:t>Control of drying equipment has progressed from fixed timers through threshold rules to fuzzy and model based strategies [2], [3]. A recurring design principle in this literature is that equipment protection should not depend on the correctness of a predictive model. The present work adopts that principle explicitly by separating the safety envelope from the prediction path.</w:t>
      </w:r>
    </w:p>
    <w:p>
      <w:pPr>
        <w:spacing w:before="160" w:after="60" w:line="240" w:lineRule="auto"/>
      </w:pPr>
      <w:r>
        <w:rPr>
          <w:rFonts w:ascii="Times New Roman" w:hAnsi="Times New Roman"/>
          <w:b w:val="0"/>
          <w:i/>
          <w:sz w:val="20"/>
        </w:rPr>
        <w:t>E.  Digital Traceability and Sustainability</w:t>
      </w:r>
    </w:p>
    <w:p>
      <w:pPr>
        <w:spacing w:before="0" w:after="0" w:line="240" w:lineRule="auto"/>
        <w:ind w:firstLine="288"/>
        <w:jc w:val="both"/>
      </w:pPr>
      <w:r>
        <w:rPr>
          <w:rFonts w:ascii="Times New Roman" w:hAnsi="Times New Roman"/>
          <w:b w:val="0"/>
          <w:i w:val="0"/>
          <w:sz w:val="20"/>
        </w:rPr>
        <w:t>Cromwell et al. [11] systematically reviewed digital technologies for traceability and transparency in global fish supply chains, covering IoT, radio frequency identification, and blockchain approaches, and highlighted integration as a prerequisite for higher levels of traceability. Tsang et al. [12] demonstrated a concrete architecture combining blockchain and IoT for perishable food traceability with shelf life management.</w:t>
      </w:r>
    </w:p>
    <w:p>
      <w:pPr>
        <w:spacing w:before="0" w:after="0" w:line="240" w:lineRule="auto"/>
        <w:ind w:firstLine="288"/>
        <w:jc w:val="both"/>
      </w:pPr>
      <w:r>
        <w:rPr>
          <w:rFonts w:ascii="Times New Roman" w:hAnsi="Times New Roman"/>
          <w:b w:val="0"/>
          <w:i w:val="0"/>
          <w:sz w:val="20"/>
        </w:rPr>
        <w:t>Much of that research focuses on catch, transportation, cold chain management, and distribution, and treats the processing step as a single opaque event.</w:t>
      </w:r>
    </w:p>
    <w:p>
      <w:pPr>
        <w:spacing w:before="160" w:after="60" w:line="240" w:lineRule="auto"/>
      </w:pPr>
      <w:r>
        <w:rPr>
          <w:rFonts w:ascii="Times New Roman" w:hAnsi="Times New Roman"/>
          <w:b w:val="0"/>
          <w:i/>
          <w:sz w:val="20"/>
        </w:rPr>
        <w:t>F.  Research Gap</w:t>
      </w:r>
    </w:p>
    <w:p>
      <w:pPr>
        <w:spacing w:before="0" w:after="0" w:line="240" w:lineRule="auto"/>
        <w:ind w:firstLine="288"/>
        <w:jc w:val="both"/>
      </w:pPr>
      <w:r>
        <w:rPr>
          <w:rFonts w:ascii="Times New Roman" w:hAnsi="Times New Roman"/>
          <w:b w:val="0"/>
          <w:i w:val="0"/>
          <w:sz w:val="20"/>
        </w:rPr>
        <w:t>Existing studies demonstrate that IoT monitoring [1], [2], intelligent drying control [3], machine learning prediction [4], [5], gas based spoilage assessment [8], computer vision [9], [10], and digital traceability [11], [12] individually contribute to improved food and fish processing systems. The research opportunity addressed here is therefore not the independent application of these technologies.</w:t>
      </w:r>
    </w:p>
    <w:p>
      <w:pPr>
        <w:spacing w:before="0" w:after="0" w:line="240" w:lineRule="auto"/>
        <w:ind w:firstLine="288"/>
        <w:jc w:val="both"/>
      </w:pPr>
      <w:r>
        <w:rPr>
          <w:rFonts w:ascii="Times New Roman" w:hAnsi="Times New Roman"/>
          <w:b w:val="0"/>
          <w:i w:val="0"/>
          <w:sz w:val="20"/>
        </w:rPr>
        <w:t>Three specific gaps motivate the present design. First, predictive models are commonly evaluated offline rather than used to set the operating parameters of the drying equipment itself. Second, drying temperature is usually treated as a fixed operator chosen input, whereas it is more naturally a quantity to be predicted from batch characteristics. Third, traceability research records supply chain custody rather than the intelligent decisions taken during processing.</w:t>
      </w:r>
    </w:p>
    <w:p>
      <w:pPr>
        <w:spacing w:before="240" w:after="120" w:line="240" w:lineRule="auto"/>
        <w:jc w:val="center"/>
      </w:pPr>
      <w:r>
        <w:rPr>
          <w:rFonts w:ascii="Times New Roman" w:hAnsi="Times New Roman"/>
          <w:b w:val="0"/>
          <w:i w:val="0"/>
          <w:smallCaps/>
          <w:sz w:val="20"/>
        </w:rPr>
        <w:t>III.  Proposed Integrated Framework</w:t>
      </w:r>
    </w:p>
    <w:p>
      <w:pPr>
        <w:spacing w:before="160" w:after="60" w:line="240" w:lineRule="auto"/>
      </w:pPr>
      <w:r>
        <w:rPr>
          <w:rFonts w:ascii="Times New Roman" w:hAnsi="Times New Roman"/>
          <w:b w:val="0"/>
          <w:i/>
          <w:sz w:val="20"/>
        </w:rPr>
        <w:t>A.  Architecture and Batch Centric Data Model</w:t>
      </w:r>
    </w:p>
    <w:p>
      <w:pPr>
        <w:spacing w:before="0" w:after="0" w:line="240" w:lineRule="auto"/>
        <w:ind w:firstLine="288"/>
        <w:jc w:val="both"/>
      </w:pPr>
      <w:r>
        <w:rPr>
          <w:rFonts w:ascii="Times New Roman" w:hAnsi="Times New Roman"/>
          <w:b w:val="0"/>
          <w:i w:val="0"/>
          <w:sz w:val="20"/>
        </w:rPr>
        <w:t>The proposed system is organised around the lifecycle of an individual dry fish batch rather than around separate applications. A drying chamber provides environmental, chemical, and physical observations; analytical services convert those observations into predictions; a control layer converts predictions into actuator decisions subject to safety constraints; a vision subsystem contributes visual evidence about product state; and a traceability layer preserves the resulting record.</w:t>
      </w:r>
    </w:p>
    <w:p>
      <w:pPr>
        <w:spacing w:before="0" w:after="0" w:line="240" w:lineRule="auto"/>
        <w:ind w:firstLine="288"/>
        <w:jc w:val="both"/>
      </w:pPr>
      <w:r>
        <w:rPr>
          <w:rFonts w:ascii="Times New Roman" w:hAnsi="Times New Roman"/>
          <w:b w:val="0"/>
          <w:i w:val="0"/>
          <w:sz w:val="20"/>
        </w:rPr>
        <w:t>Each batch receives a unique identifier BIDi, which remains associated with all information generated during processing, giving a record</w:t>
      </w:r>
    </w:p>
    <w:p>
      <w:pPr>
        <w:tabs>
          <w:tab w:pos="2448" w:val="center"/>
          <w:tab w:pos="4896" w:val="right"/>
        </w:tabs>
        <w:spacing w:before="120" w:after="120"/>
      </w:pPr>
      <w:r>
        <w:rPr>
          <w:rFonts w:ascii="Times New Roman" w:hAnsi="Times New Roman"/>
          <w:i/>
          <w:sz w:val="20"/>
        </w:rPr>
        <w:tab/>
        <w:t>Bi = {Pi, Ei, Wi, Ai, Vi, Si, Ti},</w:t>
        <w:tab/>
        <w:t>(5)</w:t>
      </w:r>
    </w:p>
    <w:p>
      <w:pPr>
        <w:spacing w:before="0" w:after="0" w:line="240" w:lineRule="auto"/>
        <w:ind w:firstLine="288"/>
        <w:jc w:val="both"/>
      </w:pPr>
      <w:r>
        <w:rPr>
          <w:rFonts w:ascii="Times New Roman" w:hAnsi="Times New Roman"/>
          <w:b w:val="0"/>
          <w:i w:val="0"/>
          <w:sz w:val="20"/>
        </w:rPr>
        <w:t>where Pi denotes preparation information, Ei environmental observations, Wi weight progression, Ai analytical predictions, Vi visual assessments, Si sustainability information, and Ti processing and traceability events.</w:t>
      </w:r>
    </w:p>
    <w:p>
      <w:pPr>
        <w:spacing w:before="160" w:after="60" w:line="240" w:lineRule="auto"/>
      </w:pPr>
      <w:r>
        <w:rPr>
          <w:rFonts w:ascii="Times New Roman" w:hAnsi="Times New Roman"/>
          <w:b w:val="0"/>
          <w:i/>
          <w:sz w:val="20"/>
        </w:rPr>
        <w:t>B.  End to End Processing Workflow</w:t>
      </w:r>
    </w:p>
    <w:p>
      <w:pPr>
        <w:spacing w:before="0" w:after="0" w:line="240" w:lineRule="auto"/>
        <w:ind w:firstLine="288"/>
        <w:jc w:val="both"/>
      </w:pPr>
      <w:r>
        <w:rPr>
          <w:rFonts w:ascii="Times New Roman" w:hAnsi="Times New Roman"/>
          <w:b w:val="0"/>
          <w:i w:val="0"/>
          <w:sz w:val="20"/>
        </w:rPr>
        <w:t>The architecture follows a sense, predict, assess, decide, control, verify, and trace cycle. Sensing supplies environmental, chemical, and physical observations. Prediction estimates drying parameters, remaining time, and spoilage risk. Assessment contributes visual evidence of product state. Decision and control convert the combined state into actuator commands. Verification evaluates completion from multiple sources of evidence. Tracing preserves every significant event against the batch identifier.</w:t>
      </w:r>
    </w:p>
    <w:p>
      <w:pPr>
        <w:spacing w:before="240" w:after="120" w:line="240" w:lineRule="auto"/>
        <w:jc w:val="center"/>
      </w:pPr>
      <w:r>
        <w:rPr>
          <w:rFonts w:ascii="Times New Roman" w:hAnsi="Times New Roman"/>
          <w:b w:val="0"/>
          <w:i w:val="0"/>
          <w:smallCaps/>
          <w:sz w:val="20"/>
        </w:rPr>
        <w:t>IV.  Multi-Modal Data Acquisition</w:t>
      </w:r>
    </w:p>
    <w:p>
      <w:pPr>
        <w:spacing w:before="160" w:after="60" w:line="240" w:lineRule="auto"/>
      </w:pPr>
      <w:r>
        <w:rPr>
          <w:rFonts w:ascii="Times New Roman" w:hAnsi="Times New Roman"/>
          <w:b w:val="0"/>
          <w:i/>
          <w:sz w:val="20"/>
        </w:rPr>
        <w:t>A.  Environmental Sensing</w:t>
      </w:r>
    </w:p>
    <w:p>
      <w:pPr>
        <w:spacing w:before="0" w:after="0" w:line="240" w:lineRule="auto"/>
        <w:ind w:firstLine="288"/>
        <w:jc w:val="both"/>
      </w:pPr>
      <w:r>
        <w:rPr>
          <w:rFonts w:ascii="Times New Roman" w:hAnsi="Times New Roman"/>
          <w:b w:val="0"/>
          <w:i w:val="0"/>
          <w:sz w:val="20"/>
        </w:rPr>
        <w:t>Temperature and relative humidity are sampled continuously. Environmental state at time t is</w:t>
      </w:r>
    </w:p>
    <w:p>
      <w:pPr>
        <w:tabs>
          <w:tab w:pos="2448" w:val="center"/>
          <w:tab w:pos="4896" w:val="right"/>
        </w:tabs>
        <w:spacing w:before="120" w:after="120"/>
      </w:pPr>
      <w:r>
        <w:rPr>
          <w:rFonts w:ascii="Times New Roman" w:hAnsi="Times New Roman"/>
          <w:i/>
          <w:sz w:val="20"/>
        </w:rPr>
        <w:tab/>
        <w:t>Et = [Tt, Ht].</w:t>
        <w:tab/>
        <w:t>(6)</w:t>
      </w:r>
    </w:p>
    <w:p>
      <w:pPr>
        <w:spacing w:before="0" w:after="0" w:line="240" w:lineRule="auto"/>
        <w:ind w:firstLine="288"/>
        <w:jc w:val="both"/>
      </w:pPr>
      <w:r>
        <w:rPr>
          <w:rFonts w:ascii="Times New Roman" w:hAnsi="Times New Roman"/>
          <w:b w:val="0"/>
          <w:i w:val="0"/>
          <w:sz w:val="20"/>
        </w:rPr>
        <w:t>A safe operating condition is represented by</w:t>
      </w:r>
    </w:p>
    <w:p>
      <w:pPr>
        <w:tabs>
          <w:tab w:pos="2448" w:val="center"/>
          <w:tab w:pos="4896" w:val="right"/>
        </w:tabs>
        <w:spacing w:before="120" w:after="120"/>
      </w:pPr>
      <w:r>
        <w:rPr>
          <w:rFonts w:ascii="Times New Roman" w:hAnsi="Times New Roman"/>
          <w:i/>
          <w:sz w:val="20"/>
        </w:rPr>
        <w:tab/>
        <w:t>CE(t) =</w:t>
        <w:br/>
        <w:t>1 if Tmin ≤ Tt ≤ Tmax ∧ Ht ≤ Hmax; 0 if otherwise.</w:t>
        <w:tab/>
        <w:t>(7)</w:t>
      </w:r>
    </w:p>
    <w:p>
      <w:pPr>
        <w:spacing w:before="0" w:after="0" w:line="240" w:lineRule="auto"/>
        <w:ind w:firstLine="288"/>
        <w:jc w:val="both"/>
      </w:pPr>
      <w:r>
        <w:rPr>
          <w:rFonts w:ascii="Times New Roman" w:hAnsi="Times New Roman"/>
          <w:b w:val="0"/>
          <w:i w:val="0"/>
          <w:sz w:val="20"/>
        </w:rPr>
        <w:t>Persistence rules are applied before generating environmental alerts, so isolated sensor noise does not immediately trigger an intervention.</w:t>
      </w:r>
    </w:p>
    <w:p>
      <w:pPr>
        <w:spacing w:before="160" w:after="60" w:line="240" w:lineRule="auto"/>
      </w:pPr>
      <w:r>
        <w:rPr>
          <w:rFonts w:ascii="Times New Roman" w:hAnsi="Times New Roman"/>
          <w:b w:val="0"/>
          <w:i/>
          <w:sz w:val="20"/>
        </w:rPr>
        <w:t>B.  Weight Progression</w:t>
      </w:r>
    </w:p>
    <w:p>
      <w:pPr>
        <w:spacing w:before="0" w:after="0" w:line="240" w:lineRule="auto"/>
        <w:ind w:firstLine="288"/>
        <w:jc w:val="both"/>
      </w:pPr>
      <w:r>
        <w:rPr>
          <w:rFonts w:ascii="Times New Roman" w:hAnsi="Times New Roman"/>
          <w:b w:val="0"/>
          <w:i w:val="0"/>
          <w:sz w:val="20"/>
        </w:rPr>
        <w:t>A load cell continuously measures batch weight. The normalised weight ratio, percentage reduction, and rate of change are</w:t>
      </w:r>
    </w:p>
    <w:p>
      <w:pPr>
        <w:tabs>
          <w:tab w:pos="2448" w:val="center"/>
          <w:tab w:pos="4896" w:val="right"/>
        </w:tabs>
        <w:spacing w:before="120" w:after="120"/>
      </w:pPr>
      <w:r>
        <w:rPr>
          <w:rFonts w:ascii="Times New Roman" w:hAnsi="Times New Roman"/>
          <w:i/>
          <w:sz w:val="20"/>
        </w:rPr>
        <w:tab/>
        <w:t xml:space="preserve">RW(t) = (Wt)/(W0), </w:t>
        <w:br/>
        <w:t xml:space="preserve">LW(t) = (W0 - Wt)/(W0) × 100, </w:t>
        <w:br/>
        <w:t>rW(t) = (Wt-Δt - Wt)/(Δt),</w:t>
        <w:tab/>
        <w:t>(8)</w:t>
      </w:r>
    </w:p>
    <w:p>
      <w:pPr>
        <w:spacing w:before="0" w:after="0" w:line="240" w:lineRule="auto"/>
        <w:ind w:firstLine="288"/>
        <w:jc w:val="both"/>
      </w:pPr>
      <w:r>
        <w:rPr>
          <w:rFonts w:ascii="Times New Roman" w:hAnsi="Times New Roman"/>
          <w:b w:val="0"/>
          <w:i w:val="0"/>
          <w:sz w:val="20"/>
        </w:rPr>
        <w:t>where W0 is the initial batch weight. Weight progression describes physical evolution that cannot be obtained from chamber temperature alone.</w:t>
      </w:r>
    </w:p>
    <w:p>
      <w:pPr>
        <w:spacing w:before="160" w:after="60" w:line="240" w:lineRule="auto"/>
      </w:pPr>
      <w:r>
        <w:rPr>
          <w:rFonts w:ascii="Times New Roman" w:hAnsi="Times New Roman"/>
          <w:b w:val="0"/>
          <w:i/>
          <w:sz w:val="20"/>
        </w:rPr>
        <w:t>C.  Gas and Odour Sensing</w:t>
      </w:r>
    </w:p>
    <w:p>
      <w:pPr>
        <w:spacing w:before="0" w:after="0" w:line="240" w:lineRule="auto"/>
        <w:ind w:firstLine="288"/>
        <w:jc w:val="both"/>
      </w:pPr>
      <w:r>
        <w:rPr>
          <w:rFonts w:ascii="Times New Roman" w:hAnsi="Times New Roman"/>
          <w:b w:val="0"/>
          <w:i w:val="0"/>
          <w:sz w:val="20"/>
        </w:rPr>
        <w:t>A metal oxide gas sensor provides an odour related signal associated with volatile compounds released during protein degradation. The raw reading is mapped to discrete smell levels using configurable prototype thresholds, which require experimental calibration against reference freshness measurements before they can be treated as established limits.</w:t>
      </w:r>
    </w:p>
    <w:p>
      <w:pPr>
        <w:spacing w:before="160" w:after="60" w:line="240" w:lineRule="auto"/>
      </w:pPr>
      <w:r>
        <w:rPr>
          <w:rFonts w:ascii="Times New Roman" w:hAnsi="Times New Roman"/>
          <w:b w:val="0"/>
          <w:i/>
          <w:sz w:val="20"/>
        </w:rPr>
        <w:t>D.  Image Acquisition and Processing</w:t>
      </w:r>
    </w:p>
    <w:p>
      <w:pPr>
        <w:spacing w:before="0" w:after="0" w:line="240" w:lineRule="auto"/>
        <w:ind w:firstLine="288"/>
        <w:jc w:val="both"/>
      </w:pPr>
      <w:r>
        <w:rPr>
          <w:rFonts w:ascii="Times New Roman" w:hAnsi="Times New Roman"/>
          <w:b w:val="0"/>
          <w:i w:val="0"/>
          <w:sz w:val="20"/>
        </w:rPr>
        <w:t>Images of the batch are captured for visual assessment. Each image is resized to a fixed input resolution and normalised before inference. The associated batch identifier and timestamp are retained so that a visual result can be interpreted alongside the process measurements recorded at the same point in the lifecycle.</w:t>
      </w:r>
    </w:p>
    <w:p>
      <w:pPr>
        <w:spacing w:before="240" w:after="120" w:line="240" w:lineRule="auto"/>
        <w:jc w:val="center"/>
      </w:pPr>
      <w:r>
        <w:rPr>
          <w:rFonts w:ascii="Times New Roman" w:hAnsi="Times New Roman"/>
          <w:b w:val="0"/>
          <w:i w:val="0"/>
          <w:smallCaps/>
          <w:sz w:val="20"/>
        </w:rPr>
        <w:t>V.  AI Based Process Intelligence</w:t>
      </w:r>
    </w:p>
    <w:p>
      <w:pPr>
        <w:spacing w:before="160" w:after="60" w:line="240" w:lineRule="auto"/>
      </w:pPr>
      <w:r>
        <w:rPr>
          <w:rFonts w:ascii="Times New Roman" w:hAnsi="Times New Roman"/>
          <w:b w:val="0"/>
          <w:i/>
          <w:sz w:val="20"/>
        </w:rPr>
        <w:t>A.  Drying Parameter Prediction</w:t>
      </w:r>
    </w:p>
    <w:p>
      <w:pPr>
        <w:spacing w:before="0" w:after="0" w:line="240" w:lineRule="auto"/>
        <w:ind w:firstLine="288"/>
        <w:jc w:val="both"/>
      </w:pPr>
      <w:r>
        <w:rPr>
          <w:rFonts w:ascii="Times New Roman" w:hAnsi="Times New Roman"/>
          <w:b w:val="0"/>
          <w:i w:val="0"/>
          <w:sz w:val="20"/>
        </w:rPr>
        <w:t>Before drying begins, the system predicts the recommended chamber temperature and the expected total drying time from conditions known in advance,</w:t>
      </w:r>
    </w:p>
    <w:p>
      <w:pPr>
        <w:tabs>
          <w:tab w:pos="2448" w:val="center"/>
          <w:tab w:pos="4896" w:val="right"/>
        </w:tabs>
        <w:spacing w:before="120" w:after="120"/>
      </w:pPr>
      <w:r>
        <w:rPr>
          <w:rFonts w:ascii="Times New Roman" w:hAnsi="Times New Roman"/>
          <w:i/>
          <w:sz w:val="20"/>
        </w:rPr>
        <w:tab/>
        <w:t>[θ̂, R̂0] = fφ(variety, W0, H0,</w:t>
        <w:br/>
        <w:t>G0).</w:t>
        <w:tab/>
        <w:t>(9)</w:t>
      </w:r>
    </w:p>
    <w:p>
      <w:pPr>
        <w:spacing w:before="0" w:after="0" w:line="240" w:lineRule="auto"/>
        <w:ind w:firstLine="288"/>
        <w:jc w:val="both"/>
      </w:pPr>
      <w:r>
        <w:rPr>
          <w:rFonts w:ascii="Times New Roman" w:hAnsi="Times New Roman"/>
          <w:b w:val="0"/>
          <w:i w:val="0"/>
          <w:sz w:val="20"/>
        </w:rPr>
        <w:t>This differs from approaches that treat drying temperature as a fixed operator chosen input: here temperature is itself a predicted quantity, which in turn determines the expected duration. The predictor is implemented as a multi output gradient boosted regression ensemble [7]. Where live sensor readings are unavailable at prediction time, documented default values are substituted and the result is marked accordingly, so an operator can distinguish a sensor grounded estimate from a fallback estimate.</w:t>
      </w:r>
    </w:p>
    <w:p>
      <w:pPr>
        <w:spacing w:before="160" w:after="60" w:line="240" w:lineRule="auto"/>
      </w:pPr>
      <w:r>
        <w:rPr>
          <w:rFonts w:ascii="Times New Roman" w:hAnsi="Times New Roman"/>
          <w:b w:val="0"/>
          <w:i/>
          <w:sz w:val="20"/>
        </w:rPr>
        <w:t>B.  Dynamic Remaining Time Prediction</w:t>
      </w:r>
    </w:p>
    <w:p>
      <w:pPr>
        <w:spacing w:before="0" w:after="0" w:line="240" w:lineRule="auto"/>
        <w:ind w:firstLine="288"/>
        <w:jc w:val="both"/>
      </w:pPr>
      <w:r>
        <w:rPr>
          <w:rFonts w:ascii="Times New Roman" w:hAnsi="Times New Roman"/>
          <w:b w:val="0"/>
          <w:i w:val="0"/>
          <w:sz w:val="20"/>
        </w:rPr>
        <w:t>During drying, accumulated observations are used to re estimate progression. At time t the predictive feature vector includes</w:t>
      </w:r>
    </w:p>
    <w:p>
      <w:pPr>
        <w:tabs>
          <w:tab w:pos="2448" w:val="center"/>
          <w:tab w:pos="4896" w:val="right"/>
        </w:tabs>
        <w:spacing w:before="120" w:after="120"/>
      </w:pPr>
      <w:r>
        <w:rPr>
          <w:rFonts w:ascii="Times New Roman" w:hAnsi="Times New Roman"/>
          <w:i/>
          <w:sz w:val="20"/>
        </w:rPr>
        <w:tab/>
        <w:t>Zt = [Tt, Ht, Wt, RW(t), rW(t), τt, B],</w:t>
        <w:tab/>
        <w:t>(10)</w:t>
      </w:r>
    </w:p>
    <w:p>
      <w:pPr>
        <w:spacing w:before="0" w:after="0" w:line="240" w:lineRule="auto"/>
        <w:ind w:firstLine="288"/>
        <w:jc w:val="both"/>
      </w:pPr>
      <w:r>
        <w:rPr>
          <w:rFonts w:ascii="Times New Roman" w:hAnsi="Times New Roman"/>
          <w:b w:val="0"/>
          <w:i w:val="0"/>
          <w:sz w:val="20"/>
        </w:rPr>
        <w:t>where τt is elapsed drying time, and the estimate is</w:t>
      </w:r>
    </w:p>
    <w:p>
      <w:pPr>
        <w:tabs>
          <w:tab w:pos="2448" w:val="center"/>
          <w:tab w:pos="4896" w:val="right"/>
        </w:tabs>
        <w:spacing w:before="120" w:after="120"/>
      </w:pPr>
      <w:r>
        <w:rPr>
          <w:rFonts w:ascii="Times New Roman" w:hAnsi="Times New Roman"/>
          <w:i/>
          <w:sz w:val="20"/>
        </w:rPr>
        <w:tab/>
        <w:t>R̂t = fθ(Z1:t).</w:t>
        <w:tab/>
        <w:t>(11)</w:t>
      </w:r>
    </w:p>
    <w:p>
      <w:pPr>
        <w:spacing w:before="0" w:after="0" w:line="240" w:lineRule="auto"/>
        <w:ind w:firstLine="288"/>
        <w:jc w:val="both"/>
      </w:pPr>
      <w:r>
        <w:rPr>
          <w:rFonts w:ascii="Times New Roman" w:hAnsi="Times New Roman"/>
          <w:b w:val="0"/>
          <w:i w:val="0"/>
          <w:sz w:val="20"/>
        </w:rPr>
        <w:t>The prediction is updated periodically rather than computed once at the start of processing.</w:t>
      </w:r>
    </w:p>
    <w:p>
      <w:pPr>
        <w:spacing w:before="160" w:after="60" w:line="240" w:lineRule="auto"/>
      </w:pPr>
      <w:r>
        <w:rPr>
          <w:rFonts w:ascii="Times New Roman" w:hAnsi="Times New Roman"/>
          <w:b w:val="0"/>
          <w:i/>
          <w:sz w:val="20"/>
        </w:rPr>
        <w:t>C.  Spoilage Risk Prediction</w:t>
      </w:r>
    </w:p>
    <w:p>
      <w:pPr>
        <w:spacing w:before="0" w:after="0" w:line="240" w:lineRule="auto"/>
        <w:ind w:firstLine="288"/>
        <w:jc w:val="both"/>
      </w:pPr>
      <w:r>
        <w:rPr>
          <w:rFonts w:ascii="Times New Roman" w:hAnsi="Times New Roman"/>
          <w:b w:val="0"/>
          <w:i w:val="0"/>
          <w:sz w:val="20"/>
        </w:rPr>
        <w:t>The same observation history supports a risk model,</w:t>
      </w:r>
    </w:p>
    <w:p>
      <w:pPr>
        <w:tabs>
          <w:tab w:pos="2448" w:val="center"/>
          <w:tab w:pos="4896" w:val="right"/>
        </w:tabs>
        <w:spacing w:before="120" w:after="120"/>
      </w:pPr>
      <w:r>
        <w:rPr>
          <w:rFonts w:ascii="Times New Roman" w:hAnsi="Times New Roman"/>
          <w:i/>
          <w:sz w:val="20"/>
        </w:rPr>
        <w:tab/>
        <w:t>P̂risk(t) = gψ(Z1:t),</w:t>
        <w:tab/>
        <w:t>(12)</w:t>
      </w:r>
    </w:p>
    <w:p>
      <w:pPr>
        <w:spacing w:before="0" w:after="0" w:line="240" w:lineRule="auto"/>
        <w:ind w:firstLine="288"/>
        <w:jc w:val="both"/>
      </w:pPr>
      <w:r>
        <w:rPr>
          <w:rFonts w:ascii="Times New Roman" w:hAnsi="Times New Roman"/>
          <w:b w:val="0"/>
          <w:i w:val="0"/>
          <w:sz w:val="20"/>
        </w:rPr>
        <w:t>whose output is mapped to low, medium, and high categories. Rather than presenting only a risk label, the interface reports the contributing factors, giving each reading with its value, expected range, and direction of influence, so that model limitations remain visible to the operator.</w:t>
      </w:r>
    </w:p>
    <w:p>
      <w:pPr>
        <w:spacing w:before="160" w:after="60" w:line="240" w:lineRule="auto"/>
      </w:pPr>
      <w:r>
        <w:rPr>
          <w:rFonts w:ascii="Times New Roman" w:hAnsi="Times New Roman"/>
          <w:b w:val="0"/>
          <w:i/>
          <w:sz w:val="20"/>
        </w:rPr>
        <w:t>D.  Visual Quality and Defect Assessment</w:t>
      </w:r>
    </w:p>
    <w:p>
      <w:pPr>
        <w:spacing w:before="0" w:after="0" w:line="240" w:lineRule="auto"/>
        <w:ind w:firstLine="288"/>
        <w:jc w:val="both"/>
      </w:pPr>
      <w:r>
        <w:rPr>
          <w:rFonts w:ascii="Times New Roman" w:hAnsi="Times New Roman"/>
          <w:b w:val="0"/>
          <w:i w:val="0"/>
          <w:sz w:val="20"/>
        </w:rPr>
        <w:t>Environmental and weight measurements describe the drying environment and physical progression but do not directly characterise visible changes in product quality. The framework therefore incorporates a computer vision subsystem for automated visual assessment during and after processing.</w:t>
      </w:r>
    </w:p>
    <w:p>
      <w:pPr>
        <w:spacing w:before="0" w:after="0" w:line="240" w:lineRule="auto"/>
        <w:ind w:firstLine="288"/>
        <w:jc w:val="both"/>
      </w:pPr>
      <w:r>
        <w:rPr>
          <w:rFonts w:ascii="Times New Roman" w:hAnsi="Times New Roman"/>
          <w:b w:val="0"/>
          <w:i w:val="0"/>
          <w:sz w:val="20"/>
        </w:rPr>
        <w:t>Images captured from the active batch are processed by a trained vision model,</w:t>
      </w:r>
    </w:p>
    <w:p>
      <w:pPr>
        <w:tabs>
          <w:tab w:pos="2448" w:val="center"/>
          <w:tab w:pos="4896" w:val="right"/>
        </w:tabs>
        <w:spacing w:before="120" w:after="120"/>
      </w:pPr>
      <w:r>
        <w:rPr>
          <w:rFonts w:ascii="Times New Roman" w:hAnsi="Times New Roman"/>
          <w:i/>
          <w:sz w:val="20"/>
        </w:rPr>
        <w:tab/>
        <w:t>Qt = Fω(It),</w:t>
        <w:tab/>
        <w:t>(13)</w:t>
      </w:r>
    </w:p>
    <w:p>
      <w:pPr>
        <w:spacing w:before="0" w:after="0" w:line="240" w:lineRule="auto"/>
        <w:ind w:firstLine="288"/>
        <w:jc w:val="both"/>
      </w:pPr>
      <w:r>
        <w:rPr>
          <w:rFonts w:ascii="Times New Roman" w:hAnsi="Times New Roman"/>
          <w:b w:val="0"/>
          <w:i w:val="0"/>
          <w:sz w:val="20"/>
        </w:rPr>
        <w:t>where It is the image captured at time t, Fω is the trained model, and Qt is the predicted visual quality state.</w:t>
      </w:r>
    </w:p>
    <w:p>
      <w:pPr>
        <w:spacing w:before="0" w:after="0" w:line="240" w:lineRule="auto"/>
        <w:ind w:firstLine="288"/>
        <w:jc w:val="both"/>
      </w:pPr>
      <w:r>
        <w:rPr>
          <w:rFonts w:ascii="Times New Roman" w:hAnsi="Times New Roman"/>
          <w:b w:val="0"/>
          <w:i w:val="0"/>
          <w:sz w:val="20"/>
        </w:rPr>
        <w:t>The assessment supports quality grading and identification of observable undesirable conditions such as abnormal discoloration, uneven drying, mould like appearance, and visible damage, according to the classes represented in the training dataset. A vision result is represented as</w:t>
      </w:r>
    </w:p>
    <w:p>
      <w:pPr>
        <w:tabs>
          <w:tab w:pos="2448" w:val="center"/>
          <w:tab w:pos="4896" w:val="right"/>
        </w:tabs>
        <w:spacing w:before="120" w:after="120"/>
      </w:pPr>
      <w:r>
        <w:rPr>
          <w:rFonts w:ascii="Times New Roman" w:hAnsi="Times New Roman"/>
          <w:i/>
          <w:sz w:val="20"/>
        </w:rPr>
        <w:tab/>
        <w:t>Vt = {BID, t, qt, dt, ct},</w:t>
        <w:tab/>
        <w:t>(14)</w:t>
      </w:r>
    </w:p>
    <w:p>
      <w:pPr>
        <w:spacing w:before="0" w:after="0" w:line="240" w:lineRule="auto"/>
        <w:ind w:firstLine="288"/>
        <w:jc w:val="both"/>
      </w:pPr>
      <w:r>
        <w:rPr>
          <w:rFonts w:ascii="Times New Roman" w:hAnsi="Times New Roman"/>
          <w:b w:val="0"/>
          <w:i w:val="0"/>
          <w:sz w:val="20"/>
        </w:rPr>
        <w:t>where qt is the predicted quality class, dt is the detected visual condition or defect, and ct is the prediction confidence.</w:t>
      </w:r>
    </w:p>
    <w:p>
      <w:pPr>
        <w:spacing w:before="0" w:after="0" w:line="240" w:lineRule="auto"/>
        <w:ind w:firstLine="288"/>
        <w:jc w:val="both"/>
      </w:pPr>
      <w:r>
        <w:rPr>
          <w:rFonts w:ascii="Times New Roman" w:hAnsi="Times New Roman"/>
          <w:b w:val="0"/>
          <w:i w:val="0"/>
          <w:sz w:val="20"/>
        </w:rPr>
        <w:t>The subsystem is implemented as a segmentation model, so each detection carries a region mask in addition to a class and confidence, which localises a defect within the batch rather than only reporting its presence. Unlike an isolated image classification application, the vision result is designed to become part of the same processing state used by the wider system, enabling visual evidence to be interpreted together with temperature, humidity, gas measurements, weight progression, drying time predictions, and spoilage risk.</w:t>
      </w:r>
    </w:p>
    <w:p>
      <w:pPr>
        <w:spacing w:before="160" w:after="60" w:line="240" w:lineRule="auto"/>
      </w:pPr>
      <w:r>
        <w:rPr>
          <w:rFonts w:ascii="Times New Roman" w:hAnsi="Times New Roman"/>
          <w:b w:val="0"/>
          <w:i/>
          <w:sz w:val="20"/>
        </w:rPr>
        <w:t>E.  Waste and Salt Intelligence</w:t>
      </w:r>
    </w:p>
    <w:p>
      <w:pPr>
        <w:spacing w:before="0" w:after="0" w:line="240" w:lineRule="auto"/>
        <w:ind w:firstLine="288"/>
        <w:jc w:val="both"/>
      </w:pPr>
      <w:r>
        <w:rPr>
          <w:rFonts w:ascii="Times New Roman" w:hAnsi="Times New Roman"/>
          <w:b w:val="0"/>
          <w:i w:val="0"/>
          <w:sz w:val="20"/>
        </w:rPr>
        <w:t>At batch creation the platform estimates expected cleaning waste and the required salt quantity and salting duration, storing both against the batch rather than as isolated calculations. Salting is monitored to completion, and drying cannot begin until the salting stage is recorded complete, which enforces process order within the platform rather than relying on operator memory.</w:t>
      </w:r>
    </w:p>
    <w:p>
      <w:pPr>
        <w:spacing w:before="240" w:after="120" w:line="240" w:lineRule="auto"/>
        <w:jc w:val="center"/>
      </w:pPr>
      <w:r>
        <w:rPr>
          <w:rFonts w:ascii="Times New Roman" w:hAnsi="Times New Roman"/>
          <w:b w:val="0"/>
          <w:i w:val="0"/>
          <w:smallCaps/>
          <w:sz w:val="20"/>
        </w:rPr>
        <w:t>VI.  Intelligent Decision and Drying Control</w:t>
      </w:r>
    </w:p>
    <w:p>
      <w:pPr>
        <w:spacing w:before="160" w:after="60" w:line="240" w:lineRule="auto"/>
      </w:pPr>
      <w:r>
        <w:rPr>
          <w:rFonts w:ascii="Times New Roman" w:hAnsi="Times New Roman"/>
          <w:b w:val="0"/>
          <w:i/>
          <w:sz w:val="20"/>
        </w:rPr>
        <w:t>A.  Multi-Modal State Estimation</w:t>
      </w:r>
    </w:p>
    <w:p>
      <w:pPr>
        <w:spacing w:before="0" w:after="0" w:line="240" w:lineRule="auto"/>
        <w:ind w:firstLine="288"/>
        <w:jc w:val="both"/>
      </w:pPr>
      <w:r>
        <w:rPr>
          <w:rFonts w:ascii="Times New Roman" w:hAnsi="Times New Roman"/>
          <w:b w:val="0"/>
          <w:i w:val="0"/>
          <w:sz w:val="20"/>
        </w:rPr>
        <w:t>Environmental, physical, chemical, predictive, and visual information are combined into an overall processing state,</w:t>
      </w:r>
    </w:p>
    <w:p>
      <w:pPr>
        <w:tabs>
          <w:tab w:pos="2448" w:val="center"/>
          <w:tab w:pos="4896" w:val="right"/>
        </w:tabs>
        <w:spacing w:before="120" w:after="120"/>
      </w:pPr>
      <w:r>
        <w:rPr>
          <w:rFonts w:ascii="Times New Roman" w:hAnsi="Times New Roman"/>
          <w:i/>
          <w:sz w:val="20"/>
        </w:rPr>
        <w:tab/>
        <w:t>St = G(Et, RW(t), rW(t), Gt, R̂t,</w:t>
        <w:br/>
        <w:t>P̂risk(t), Qt).</w:t>
        <w:tab/>
        <w:t>(15)</w:t>
      </w:r>
    </w:p>
    <w:p>
      <w:pPr>
        <w:spacing w:before="0" w:after="0" w:line="240" w:lineRule="auto"/>
        <w:ind w:firstLine="288"/>
        <w:jc w:val="both"/>
      </w:pPr>
      <w:r>
        <w:rPr>
          <w:rFonts w:ascii="Times New Roman" w:hAnsi="Times New Roman"/>
          <w:b w:val="0"/>
          <w:i w:val="0"/>
          <w:sz w:val="20"/>
        </w:rPr>
        <w:t>The system therefore characterises the batch through four complementary evidence sources: environmental conditions, physical weight progression, a chemical odour proxy, and visual appearance. Conceptual processing states include initialisation, active drying, environmental risk condition, quality risk condition, approaching completion, completion verification, and drying complete.</w:t>
      </w:r>
    </w:p>
    <w:p>
      <w:pPr>
        <w:spacing w:before="160" w:after="60" w:line="240" w:lineRule="auto"/>
      </w:pPr>
      <w:r>
        <w:rPr>
          <w:rFonts w:ascii="Times New Roman" w:hAnsi="Times New Roman"/>
          <w:b w:val="0"/>
          <w:i/>
          <w:sz w:val="20"/>
        </w:rPr>
        <w:t>B.  Actuator Control</w:t>
      </w:r>
    </w:p>
    <w:p>
      <w:pPr>
        <w:spacing w:before="0" w:after="0" w:line="240" w:lineRule="auto"/>
        <w:ind w:firstLine="288"/>
        <w:jc w:val="both"/>
      </w:pPr>
      <w:r>
        <w:rPr>
          <w:rFonts w:ascii="Times New Roman" w:hAnsi="Times New Roman"/>
          <w:b w:val="0"/>
          <w:i w:val="0"/>
          <w:sz w:val="20"/>
        </w:rPr>
        <w:t>A control action is generated as</w:t>
      </w:r>
    </w:p>
    <w:p>
      <w:pPr>
        <w:tabs>
          <w:tab w:pos="2448" w:val="center"/>
          <w:tab w:pos="4896" w:val="right"/>
        </w:tabs>
        <w:spacing w:before="120" w:after="120"/>
      </w:pPr>
      <w:r>
        <w:rPr>
          <w:rFonts w:ascii="Times New Roman" w:hAnsi="Times New Roman"/>
          <w:i/>
          <w:sz w:val="20"/>
        </w:rPr>
        <w:tab/>
        <w:t>Ut = π(St, Et),</w:t>
        <w:tab/>
        <w:t>(16)</w:t>
      </w:r>
    </w:p>
    <w:p>
      <w:pPr>
        <w:spacing w:before="0" w:after="0" w:line="240" w:lineRule="auto"/>
        <w:ind w:firstLine="288"/>
        <w:jc w:val="both"/>
      </w:pPr>
      <w:r>
        <w:rPr>
          <w:rFonts w:ascii="Times New Roman" w:hAnsi="Times New Roman"/>
          <w:b w:val="0"/>
          <w:i w:val="0"/>
          <w:sz w:val="20"/>
        </w:rPr>
        <w:t>where Ut represents heater activation, heater reduction, ventilation activation, continuation, protective intervention, or process termination.</w:t>
      </w:r>
    </w:p>
    <w:p>
      <w:pPr>
        <w:spacing w:before="160" w:after="60" w:line="240" w:lineRule="auto"/>
      </w:pPr>
      <w:r>
        <w:rPr>
          <w:rFonts w:ascii="Times New Roman" w:hAnsi="Times New Roman"/>
          <w:b w:val="0"/>
          <w:i/>
          <w:sz w:val="20"/>
        </w:rPr>
        <w:t>C.  Safety Constraints</w:t>
      </w:r>
    </w:p>
    <w:p>
      <w:pPr>
        <w:spacing w:before="0" w:after="0" w:line="240" w:lineRule="auto"/>
        <w:ind w:firstLine="288"/>
        <w:jc w:val="both"/>
      </w:pPr>
      <w:r>
        <w:rPr>
          <w:rFonts w:ascii="Times New Roman" w:hAnsi="Times New Roman"/>
          <w:b w:val="0"/>
          <w:i w:val="0"/>
          <w:sz w:val="20"/>
        </w:rPr>
        <w:t>Two properties are enforced by construction. First, every recommended temperature is clamped to a configured operating envelope before reaching the controller, so an erroneous prediction cannot command an unsafe setpoint. Second, the chamber validates sensor completeness independently and transitions to a fault state that de energises the heater whenever readings are missing or implausible. Safety constraints therefore remain independent of model output, consistent with the principle that hardware protection should not depend on the software control layer.</w:t>
      </w:r>
    </w:p>
    <w:p>
      <w:pPr>
        <w:spacing w:before="160" w:after="60" w:line="240" w:lineRule="auto"/>
      </w:pPr>
      <w:r>
        <w:rPr>
          <w:rFonts w:ascii="Times New Roman" w:hAnsi="Times New Roman"/>
          <w:b w:val="0"/>
          <w:i/>
          <w:sz w:val="20"/>
        </w:rPr>
        <w:t>D.  Completion Detection</w:t>
      </w:r>
    </w:p>
    <w:p>
      <w:pPr>
        <w:spacing w:before="0" w:after="0" w:line="240" w:lineRule="auto"/>
        <w:ind w:firstLine="288"/>
        <w:jc w:val="both"/>
      </w:pPr>
      <w:r>
        <w:rPr>
          <w:rFonts w:ascii="Times New Roman" w:hAnsi="Times New Roman"/>
          <w:b w:val="0"/>
          <w:i w:val="0"/>
          <w:sz w:val="20"/>
        </w:rPr>
        <w:t>Completion is treated as a multiple evidence decision,</w:t>
      </w:r>
    </w:p>
    <w:p>
      <w:pPr>
        <w:tabs>
          <w:tab w:pos="2448" w:val="center"/>
          <w:tab w:pos="4896" w:val="right"/>
        </w:tabs>
        <w:spacing w:before="120" w:after="120"/>
      </w:pPr>
      <w:r>
        <w:rPr>
          <w:rFonts w:ascii="Times New Roman" w:hAnsi="Times New Roman"/>
          <w:i/>
          <w:sz w:val="20"/>
        </w:rPr>
        <w:tab/>
        <w:t>Dt = FD(RW(t), rW(t), R̂t, Et, Qt).</w:t>
        <w:tab/>
        <w:t>(17)</w:t>
      </w:r>
    </w:p>
    <w:p>
      <w:pPr>
        <w:spacing w:before="0" w:after="0" w:line="240" w:lineRule="auto"/>
        <w:ind w:firstLine="288"/>
        <w:jc w:val="both"/>
      </w:pPr>
      <w:r>
        <w:rPr>
          <w:rFonts w:ascii="Times New Roman" w:hAnsi="Times New Roman"/>
          <w:b w:val="0"/>
          <w:i w:val="0"/>
          <w:sz w:val="20"/>
        </w:rPr>
        <w:t>Drying completion is not determined by a single fixed timer or an isolated sensor threshold. Weight progression identifies physical advancement toward completion, remaining time prediction provides predictive evidence, environmental measurements describe current chamber conditions, and visual assessment provides complementary evidence about the observable product state. Agreement among these modalities increases confidence in the completion decision, while conflicting evidence can trigger continued monitoring or operator verification.</w:t>
      </w:r>
    </w:p>
    <w:p>
      <w:pPr>
        <w:spacing w:before="0" w:after="0" w:line="240" w:lineRule="auto"/>
        <w:ind w:firstLine="288"/>
        <w:jc w:val="both"/>
      </w:pPr>
      <w:r>
        <w:rPr>
          <w:rFonts w:ascii="Times New Roman" w:hAnsi="Times New Roman"/>
          <w:b w:val="0"/>
          <w:i w:val="0"/>
          <w:sz w:val="20"/>
        </w:rPr>
        <w:t>The weight loss threshold used by the prototype is a configurable parameter rather than a scientifically established constant, and requires per variety experimental validation.</w:t>
      </w:r>
    </w:p>
    <w:p>
      <w:pPr>
        <w:spacing w:before="240" w:after="120" w:line="240" w:lineRule="auto"/>
        <w:jc w:val="center"/>
      </w:pPr>
      <w:r>
        <w:rPr>
          <w:rFonts w:ascii="Times New Roman" w:hAnsi="Times New Roman"/>
          <w:b w:val="0"/>
          <w:i w:val="0"/>
          <w:smallCaps/>
          <w:sz w:val="20"/>
        </w:rPr>
        <w:t>VII.  Traceability and Sustainability</w:t>
      </w:r>
    </w:p>
    <w:p>
      <w:pPr>
        <w:spacing w:before="0" w:after="0" w:line="240" w:lineRule="auto"/>
        <w:ind w:firstLine="288"/>
        <w:jc w:val="both"/>
      </w:pPr>
      <w:r>
        <w:rPr>
          <w:rFonts w:ascii="Times New Roman" w:hAnsi="Times New Roman"/>
          <w:b w:val="0"/>
          <w:i w:val="0"/>
          <w:sz w:val="20"/>
        </w:rPr>
        <w:t>Processing waste is maintained as structured batch information. A waste event contains</w:t>
      </w:r>
    </w:p>
    <w:p>
      <w:pPr>
        <w:tabs>
          <w:tab w:pos="2448" w:val="center"/>
          <w:tab w:pos="4896" w:val="right"/>
        </w:tabs>
        <w:spacing w:before="120" w:after="120"/>
      </w:pPr>
      <w:r>
        <w:rPr>
          <w:rFonts w:ascii="Times New Roman" w:hAnsi="Times New Roman"/>
          <w:i/>
          <w:sz w:val="20"/>
        </w:rPr>
        <w:tab/>
        <w:t>We = {type, quantity, time,</w:t>
        <w:br/>
        <w:t>method, BID},</w:t>
        <w:tab/>
        <w:t>(18)</w:t>
      </w:r>
    </w:p>
    <w:p>
      <w:pPr>
        <w:spacing w:before="0" w:after="0" w:line="240" w:lineRule="auto"/>
        <w:ind w:firstLine="288"/>
        <w:jc w:val="both"/>
      </w:pPr>
      <w:r>
        <w:rPr>
          <w:rFonts w:ascii="Times New Roman" w:hAnsi="Times New Roman"/>
          <w:b w:val="0"/>
          <w:i w:val="0"/>
          <w:sz w:val="20"/>
        </w:rPr>
        <w:t>and each significant processing event is stored as Tk = (BID, tk, typek, valuek, sourcek). The resulting timeline spans batch creation, preparation, salt record, drying start, sensor observations, predictions, risk alerts, control actions, visual assessments, completion, and waste record. The objective is not merely to identify where a product originated, but to retain a digital history of how the batch was processed.</w:t>
      </w:r>
    </w:p>
    <w:p>
      <w:pPr>
        <w:spacing w:before="240" w:after="120" w:line="240" w:lineRule="auto"/>
        <w:jc w:val="center"/>
      </w:pPr>
      <w:r>
        <w:rPr>
          <w:rFonts w:ascii="Times New Roman" w:hAnsi="Times New Roman"/>
          <w:b w:val="0"/>
          <w:i w:val="0"/>
          <w:smallCaps/>
          <w:sz w:val="20"/>
        </w:rPr>
        <w:t>VIII.  System Implementation</w:t>
      </w:r>
    </w:p>
    <w:p>
      <w:pPr>
        <w:spacing w:before="160" w:after="60" w:line="240" w:lineRule="auto"/>
      </w:pPr>
      <w:r>
        <w:rPr>
          <w:rFonts w:ascii="Times New Roman" w:hAnsi="Times New Roman"/>
          <w:b w:val="0"/>
          <w:i/>
          <w:sz w:val="20"/>
        </w:rPr>
        <w:t>A.  Hardware</w:t>
      </w:r>
    </w:p>
    <w:p>
      <w:pPr>
        <w:spacing w:before="0" w:after="0" w:line="240" w:lineRule="auto"/>
        <w:ind w:firstLine="288"/>
        <w:jc w:val="both"/>
      </w:pPr>
      <w:r>
        <w:rPr>
          <w:rFonts w:ascii="Times New Roman" w:hAnsi="Times New Roman"/>
          <w:b w:val="0"/>
          <w:i w:val="0"/>
          <w:sz w:val="20"/>
        </w:rPr>
        <w:t>The prototype uses a microcontroller as the primary edge device, streaming a periodic sensor block over a serial link. Temperature and relative humidity sensing uses a digital environmental sensor, supplemented by a separate temperature probe. A metal oxide gas sensor provides the odour proxy, and a load cell with a signal conditioning amplifier provides continuous weight measurement. Relay circuitry interfaces the controller with heating and ventilation mechanisms.</w:t>
      </w:r>
    </w:p>
    <w:p>
      <w:pPr>
        <w:spacing w:before="160" w:after="60" w:line="240" w:lineRule="auto"/>
      </w:pPr>
      <w:r>
        <w:rPr>
          <w:rFonts w:ascii="Times New Roman" w:hAnsi="Times New Roman"/>
          <w:b w:val="0"/>
          <w:i/>
          <w:sz w:val="20"/>
        </w:rPr>
        <w:t>B.  Backend Services and Data Flow</w:t>
      </w:r>
    </w:p>
    <w:p>
      <w:pPr>
        <w:spacing w:before="0" w:after="0" w:line="240" w:lineRule="auto"/>
        <w:ind w:firstLine="288"/>
        <w:jc w:val="both"/>
      </w:pPr>
      <w:r>
        <w:rPr>
          <w:rFonts w:ascii="Times New Roman" w:hAnsi="Times New Roman"/>
          <w:b w:val="0"/>
          <w:i w:val="0"/>
          <w:sz w:val="20"/>
        </w:rPr>
        <w:t>The platform follows a service oriented architecture, with separate services for authentication, batch and waste management, environmental monitoring and actuator control, and predictive analytics, communicating over HTTP interfaces and persisting to a document database.</w:t>
      </w:r>
    </w:p>
    <w:p>
      <w:pPr>
        <w:spacing w:before="0" w:after="0" w:line="240" w:lineRule="auto"/>
        <w:ind w:firstLine="288"/>
        <w:jc w:val="both"/>
      </w:pPr>
      <w:r>
        <w:rPr>
          <w:rFonts w:ascii="Times New Roman" w:hAnsi="Times New Roman"/>
          <w:b w:val="0"/>
          <w:i w:val="0"/>
          <w:sz w:val="20"/>
        </w:rPr>
        <w:t>Starting a drying run is a two phase operation. The predicted temperature, humidity target, and duration are first registered with the chamber as a control profile. The session starts only if the chamber validates its own sensor state, and only after the chamber confirms it is running does the analytics service record the batch as drying.</w:t>
      </w:r>
    </w:p>
    <w:p>
      <w:pPr>
        <w:spacing w:before="160" w:after="60" w:line="240" w:lineRule="auto"/>
      </w:pPr>
      <w:r>
        <w:rPr>
          <w:rFonts w:ascii="Times New Roman" w:hAnsi="Times New Roman"/>
          <w:b w:val="0"/>
          <w:i/>
          <w:sz w:val="20"/>
        </w:rPr>
        <w:t>C.  Vision Subsystem</w:t>
      </w:r>
    </w:p>
    <w:p>
      <w:pPr>
        <w:spacing w:before="0" w:after="0" w:line="240" w:lineRule="auto"/>
        <w:ind w:firstLine="288"/>
        <w:jc w:val="both"/>
      </w:pPr>
      <w:r>
        <w:rPr>
          <w:rFonts w:ascii="Times New Roman" w:hAnsi="Times New Roman"/>
          <w:b w:val="0"/>
          <w:i w:val="0"/>
          <w:sz w:val="20"/>
        </w:rPr>
        <w:t>The vision subsystem is implemented as a segmentation model served by a dedicated inference service exposing health, model metadata, and prediction endpoints, together with a web application for image collection, annotation, dataset export, and model version deployment. The deployed network is a medium capacity single stage segmentation architecture trained at 640×640 resolution with geometric and photometric augmentation appropriate to small datasets. Inference returns, for each detection, a class label, a confidence score, a bounding box, and a polygon mask.</w:t>
      </w:r>
    </w:p>
    <w:p>
      <w:pPr>
        <w:spacing w:before="0" w:after="0" w:line="240" w:lineRule="auto"/>
        <w:ind w:firstLine="288"/>
        <w:jc w:val="both"/>
      </w:pPr>
      <w:r>
        <w:rPr>
          <w:rFonts w:ascii="Times New Roman" w:hAnsi="Times New Roman"/>
          <w:b w:val="0"/>
          <w:i w:val="0"/>
          <w:sz w:val="20"/>
        </w:rPr>
        <w:t>The subsystem is presently operational as a standalone service. Its integration into the batch lifecycle, so that Qt contributes directly to state estimation and completion decisions as specified in (17) and (19), is ongoing work. The architecture and interfaces required for that integration are defined above.</w:t>
      </w:r>
    </w:p>
    <w:p>
      <w:pPr>
        <w:spacing w:before="160" w:after="60" w:line="240" w:lineRule="auto"/>
      </w:pPr>
      <w:r>
        <w:rPr>
          <w:rFonts w:ascii="Times New Roman" w:hAnsi="Times New Roman"/>
          <w:b w:val="0"/>
          <w:i/>
          <w:sz w:val="20"/>
        </w:rPr>
        <w:t>D.  User Application</w:t>
      </w:r>
    </w:p>
    <w:p>
      <w:pPr>
        <w:spacing w:before="0" w:after="0" w:line="240" w:lineRule="auto"/>
        <w:ind w:firstLine="288"/>
        <w:jc w:val="both"/>
      </w:pPr>
      <w:r>
        <w:rPr>
          <w:rFonts w:ascii="Times New Roman" w:hAnsi="Times New Roman"/>
          <w:b w:val="0"/>
          <w:i w:val="0"/>
          <w:sz w:val="20"/>
        </w:rPr>
        <w:t>A cross platform mobile application presents a unified representation of the active batch, displaying batch identification, live readings, drying progression, predicted remaining time, spoilage risk, actuator status, alerts, and traceability history, so the operator does not interact separately with individual subsystems.</w:t>
      </w:r>
    </w:p>
    <w:p>
      <w:pPr>
        <w:spacing w:before="160" w:after="60" w:line="240" w:lineRule="auto"/>
      </w:pPr>
      <w:r>
        <w:rPr>
          <w:rFonts w:ascii="Times New Roman" w:hAnsi="Times New Roman"/>
          <w:b w:val="0"/>
          <w:i/>
          <w:sz w:val="20"/>
        </w:rPr>
        <w:t>E.  Reconciling Logical and Physical State</w:t>
      </w:r>
    </w:p>
    <w:p>
      <w:pPr>
        <w:spacing w:before="0" w:after="0" w:line="240" w:lineRule="auto"/>
        <w:ind w:firstLine="288"/>
        <w:jc w:val="both"/>
      </w:pPr>
      <w:r>
        <w:rPr>
          <w:rFonts w:ascii="Times New Roman" w:hAnsi="Times New Roman"/>
          <w:b w:val="0"/>
          <w:i w:val="0"/>
          <w:sz w:val="20"/>
        </w:rPr>
        <w:t>Prototype operation exposed a failure mode worth reporting. The analytics service and the chamber maintain separate notions of whether drying is occurring. When the chamber halted, through a safety fault or a lost sensor link, the analytics service continued to report an active batch and the interface continued a countdown derived from the pre drying estimate. The displayed state was internally consistent yet physically false. The resolution was to make the chamber authoritative, so that the client suspends the countdown and explains the discrepancy whenever the two disagree. A service holding a logical record of an activity must not be permitted to assert that the activity is physically occurring.</w:t>
      </w:r>
    </w:p>
    <w:p>
      <w:pPr>
        <w:spacing w:before="240" w:after="120" w:line="240" w:lineRule="auto"/>
        <w:jc w:val="center"/>
      </w:pPr>
      <w:r>
        <w:rPr>
          <w:rFonts w:ascii="Times New Roman" w:hAnsi="Times New Roman"/>
          <w:b w:val="0"/>
          <w:i w:val="0"/>
          <w:smallCaps/>
          <w:sz w:val="20"/>
        </w:rPr>
        <w:t>IX.  Experimental Methodology</w:t>
      </w:r>
    </w:p>
    <w:p>
      <w:pPr>
        <w:spacing w:before="160" w:after="60" w:line="240" w:lineRule="auto"/>
      </w:pPr>
      <w:r>
        <w:rPr>
          <w:rFonts w:ascii="Times New Roman" w:hAnsi="Times New Roman"/>
          <w:b w:val="0"/>
          <w:i/>
          <w:sz w:val="20"/>
        </w:rPr>
        <w:t>A.  Objectives and Data Collection</w:t>
      </w:r>
    </w:p>
    <w:p>
      <w:pPr>
        <w:spacing w:before="0" w:after="0" w:line="240" w:lineRule="auto"/>
        <w:ind w:firstLine="288"/>
        <w:jc w:val="both"/>
      </w:pPr>
      <w:r>
        <w:rPr>
          <w:rFonts w:ascii="Times New Roman" w:hAnsi="Times New Roman"/>
          <w:b w:val="0"/>
          <w:i w:val="0"/>
          <w:sz w:val="20"/>
        </w:rPr>
        <w:t>Evaluation establishes whether individual intelligent functions perform accurately, whether they exchange information reliably, and whether integrated operation provides measurable benefit. For every batch the following are recorded: fish variety, initial weight, preparation information, temperature, humidity and weight time series, image observations, actual drying duration, model predictions, actuator changes, and waste and salt information.</w:t>
      </w:r>
    </w:p>
    <w:p>
      <w:pPr>
        <w:spacing w:before="0" w:after="0" w:line="240" w:lineRule="auto"/>
        <w:ind w:firstLine="288"/>
        <w:jc w:val="both"/>
      </w:pPr>
      <w:r>
        <w:rPr>
          <w:rFonts w:ascii="Times New Roman" w:hAnsi="Times New Roman"/>
          <w:b w:val="0"/>
          <w:i w:val="0"/>
          <w:sz w:val="20"/>
        </w:rPr>
        <w:t>Training, validation, and test partitions must be separated at the batch level. Measurements within a single physical trial are strongly autocorrelated, so partitioning at the sample level would allow observations from one trial to appear in both training and test sets, inflating apparent accuracy.</w:t>
      </w:r>
    </w:p>
    <w:p>
      <w:pPr>
        <w:spacing w:before="160" w:after="60" w:line="240" w:lineRule="auto"/>
      </w:pPr>
      <w:r>
        <w:rPr>
          <w:rFonts w:ascii="Times New Roman" w:hAnsi="Times New Roman"/>
          <w:b w:val="0"/>
          <w:i/>
          <w:sz w:val="20"/>
        </w:rPr>
        <w:t>B.  Predictive Evaluation</w:t>
      </w:r>
    </w:p>
    <w:p>
      <w:pPr>
        <w:spacing w:before="0" w:after="0" w:line="240" w:lineRule="auto"/>
        <w:ind w:firstLine="288"/>
        <w:jc w:val="both"/>
      </w:pPr>
      <w:r>
        <w:rPr>
          <w:rFonts w:ascii="Times New Roman" w:hAnsi="Times New Roman"/>
          <w:b w:val="0"/>
          <w:i w:val="0"/>
          <w:sz w:val="20"/>
        </w:rPr>
        <w:t>Remaining time prediction is evaluated using mean absolute error and root mean squared error,</w:t>
      </w:r>
    </w:p>
    <w:p>
      <w:pPr>
        <w:tabs>
          <w:tab w:pos="2448" w:val="center"/>
          <w:tab w:pos="4896" w:val="right"/>
        </w:tabs>
        <w:spacing w:before="120" w:after="120"/>
      </w:pPr>
      <w:r>
        <w:rPr>
          <w:rFonts w:ascii="Times New Roman" w:hAnsi="Times New Roman"/>
          <w:i/>
          <w:sz w:val="20"/>
        </w:rPr>
        <w:tab/>
        <w:t xml:space="preserve">MAE = 1/NΣ|yi - ŷi|, </w:t>
        <w:br/>
        <w:t>RMSE = √{1/NΣ(yi - ŷi)^2}.</w:t>
        <w:tab/>
        <w:t>(19)</w:t>
      </w:r>
    </w:p>
    <w:p>
      <w:pPr>
        <w:spacing w:before="0" w:after="0" w:line="240" w:lineRule="auto"/>
        <w:ind w:firstLine="288"/>
        <w:jc w:val="both"/>
      </w:pPr>
      <w:r>
        <w:rPr>
          <w:rFonts w:ascii="Times New Roman" w:hAnsi="Times New Roman"/>
          <w:b w:val="0"/>
          <w:i w:val="0"/>
          <w:sz w:val="20"/>
        </w:rPr>
        <w:t>Spoilage risk classification is evaluated using precision, recall, F1 score, and confusion matrices.</w:t>
      </w:r>
    </w:p>
    <w:p>
      <w:pPr>
        <w:spacing w:before="160" w:after="60" w:line="240" w:lineRule="auto"/>
      </w:pPr>
      <w:r>
        <w:rPr>
          <w:rFonts w:ascii="Times New Roman" w:hAnsi="Times New Roman"/>
          <w:b w:val="0"/>
          <w:i/>
          <w:sz w:val="20"/>
        </w:rPr>
        <w:t>C.  Computer Vision Evaluation</w:t>
      </w:r>
    </w:p>
    <w:p>
      <w:pPr>
        <w:spacing w:before="0" w:after="0" w:line="240" w:lineRule="auto"/>
        <w:ind w:firstLine="288"/>
        <w:jc w:val="both"/>
      </w:pPr>
      <w:r>
        <w:rPr>
          <w:rFonts w:ascii="Times New Roman" w:hAnsi="Times New Roman"/>
          <w:b w:val="0"/>
          <w:i w:val="0"/>
          <w:sz w:val="20"/>
        </w:rPr>
        <w:t>The visual quality assessment model is evaluated on an independent test set using accuracy, precision, recall, F1 score, and a confusion matrix,</w:t>
      </w:r>
    </w:p>
    <w:p>
      <w:pPr>
        <w:tabs>
          <w:tab w:pos="2448" w:val="center"/>
          <w:tab w:pos="4896" w:val="right"/>
        </w:tabs>
        <w:spacing w:before="120" w:after="120"/>
      </w:pPr>
      <w:r>
        <w:rPr>
          <w:rFonts w:ascii="Times New Roman" w:hAnsi="Times New Roman"/>
          <w:i/>
          <w:sz w:val="20"/>
        </w:rPr>
        <w:tab/>
        <w:t xml:space="preserve">P = TP/(TP+FP), R = TP/(TP+FN), </w:t>
        <w:br/>
        <w:t>F1 = 2PR/(P + R).</w:t>
        <w:tab/>
        <w:t>(20)</w:t>
      </w:r>
    </w:p>
    <w:p>
      <w:pPr>
        <w:spacing w:before="0" w:after="0" w:line="240" w:lineRule="auto"/>
        <w:ind w:firstLine="288"/>
        <w:jc w:val="both"/>
      </w:pPr>
      <w:r>
        <w:rPr>
          <w:rFonts w:ascii="Times New Roman" w:hAnsi="Times New Roman"/>
          <w:b w:val="0"/>
          <w:i w:val="0"/>
          <w:sz w:val="20"/>
        </w:rPr>
        <w:t>For the segmentation formulation, mean average precision at intersection over union thresholds of 0.5 and 0.5 to 0.95 is additionally reported.</w:t>
      </w:r>
    </w:p>
    <w:p>
      <w:pPr>
        <w:spacing w:before="0" w:after="0" w:line="240" w:lineRule="auto"/>
        <w:ind w:firstLine="288"/>
        <w:jc w:val="both"/>
      </w:pPr>
      <w:r>
        <w:rPr>
          <w:rFonts w:ascii="Times New Roman" w:hAnsi="Times New Roman"/>
          <w:b w:val="0"/>
          <w:i w:val="0"/>
          <w:sz w:val="20"/>
        </w:rPr>
        <w:t>To assess practical robustness, testing includes variation in illumination, camera position, fish orientation, and surface appearance where represented by the collected dataset. Particular attention is given to class wise performance, because high overall accuracy alone may conceal poor detection of infrequently occurring defect classes. Evaluation requires a held out test set that is disjoint from both the training and validation partitions.</w:t>
      </w:r>
    </w:p>
    <w:p>
      <w:pPr>
        <w:spacing w:before="160" w:after="60" w:line="240" w:lineRule="auto"/>
      </w:pPr>
      <w:r>
        <w:rPr>
          <w:rFonts w:ascii="Times New Roman" w:hAnsi="Times New Roman"/>
          <w:b w:val="0"/>
          <w:i/>
          <w:sz w:val="20"/>
        </w:rPr>
        <w:t>D.  Control and Traceability Evaluation</w:t>
      </w:r>
    </w:p>
    <w:p>
      <w:pPr>
        <w:spacing w:before="0" w:after="0" w:line="240" w:lineRule="auto"/>
        <w:ind w:firstLine="288"/>
        <w:jc w:val="both"/>
      </w:pPr>
      <w:r>
        <w:rPr>
          <w:rFonts w:ascii="Times New Roman" w:hAnsi="Times New Roman"/>
          <w:b w:val="0"/>
          <w:i w:val="0"/>
          <w:sz w:val="20"/>
        </w:rPr>
        <w:t>Environmental control is evaluated using mean absolute temperature deviation,</w:t>
      </w:r>
    </w:p>
    <w:p>
      <w:pPr>
        <w:tabs>
          <w:tab w:pos="2448" w:val="center"/>
          <w:tab w:pos="4896" w:val="right"/>
        </w:tabs>
        <w:spacing w:before="120" w:after="120"/>
      </w:pPr>
      <w:r>
        <w:rPr>
          <w:rFonts w:ascii="Times New Roman" w:hAnsi="Times New Roman"/>
          <w:i/>
          <w:sz w:val="20"/>
        </w:rPr>
        <w:tab/>
        <w:t>MAET = 1/NΣ|Ti - Tset,i|,</w:t>
        <w:tab/>
        <w:t>(21)</w:t>
      </w:r>
    </w:p>
    <w:p>
      <w:pPr>
        <w:spacing w:before="0" w:after="0" w:line="240" w:lineRule="auto"/>
        <w:ind w:firstLine="288"/>
        <w:jc w:val="both"/>
      </w:pPr>
      <w:r>
        <w:rPr>
          <w:rFonts w:ascii="Times New Roman" w:hAnsi="Times New Roman"/>
          <w:b w:val="0"/>
          <w:i w:val="0"/>
          <w:sz w:val="20"/>
        </w:rPr>
        <w:t>together with time outside the permitted humidity range, actuator response latency, sensor availability, and communication success rate. Traceability completeness is</w:t>
      </w:r>
    </w:p>
    <w:p>
      <w:pPr>
        <w:tabs>
          <w:tab w:pos="2448" w:val="center"/>
          <w:tab w:pos="4896" w:val="right"/>
        </w:tabs>
        <w:spacing w:before="120" w:after="120"/>
      </w:pPr>
      <w:r>
        <w:rPr>
          <w:rFonts w:ascii="Times New Roman" w:hAnsi="Times New Roman"/>
          <w:i/>
          <w:sz w:val="20"/>
        </w:rPr>
        <w:tab/>
        <w:t>TC = (Nrecorded)/(Nexpected) × 100.</w:t>
        <w:tab/>
        <w:t>(22)</w:t>
      </w:r>
    </w:p>
    <w:p>
      <w:pPr>
        <w:spacing w:before="160" w:after="60" w:line="240" w:lineRule="auto"/>
      </w:pPr>
      <w:r>
        <w:rPr>
          <w:rFonts w:ascii="Times New Roman" w:hAnsi="Times New Roman"/>
          <w:b w:val="0"/>
          <w:i/>
          <w:sz w:val="20"/>
        </w:rPr>
        <w:t>E.  End to End Evaluation</w:t>
      </w:r>
    </w:p>
    <w:p>
      <w:pPr>
        <w:spacing w:before="0" w:after="0" w:line="240" w:lineRule="auto"/>
        <w:ind w:firstLine="288"/>
        <w:jc w:val="both"/>
      </w:pPr>
      <w:r>
        <w:rPr>
          <w:rFonts w:ascii="Times New Roman" w:hAnsi="Times New Roman"/>
          <w:b w:val="0"/>
          <w:i w:val="0"/>
          <w:sz w:val="20"/>
        </w:rPr>
        <w:t>The integrated system is compared with a baseline such as conventional operator managed processing or threshold based control, investigating drying duration, unsafe humidity exposure, temperature stability, completion detection error, manual interventions, risk event detection, batch record completeness, and end to end reliability.</w:t>
      </w:r>
    </w:p>
    <w:p>
      <w:pPr>
        <w:spacing w:before="240" w:after="120" w:line="240" w:lineRule="auto"/>
        <w:jc w:val="center"/>
      </w:pPr>
      <w:r>
        <w:rPr>
          <w:rFonts w:ascii="Times New Roman" w:hAnsi="Times New Roman"/>
          <w:b w:val="0"/>
          <w:i w:val="0"/>
          <w:smallCaps/>
          <w:sz w:val="20"/>
        </w:rPr>
        <w:t>X.  Results and Discussion</w:t>
      </w:r>
    </w:p>
    <w:p>
      <w:pPr>
        <w:spacing w:before="0" w:after="0" w:line="240" w:lineRule="auto"/>
        <w:ind w:firstLine="288"/>
        <w:jc w:val="both"/>
      </w:pPr>
      <w:r>
        <w:rPr>
          <w:rFonts w:ascii="Times New Roman" w:hAnsi="Times New Roman"/>
          <w:b w:val="0"/>
          <w:i w:val="0"/>
          <w:sz w:val="20"/>
        </w:rPr>
        <w:t>Measured experimental results are not reported at this stage. The drying predictors are presently calibrated against a limited number of validated physical runs, and the vision model has been trained but not yet evaluated on a held out test set that is disjoint from its training and validation data. Reporting performance figures under these conditions would misrepresent their empirical standing. Table~I and Table~II define the intended reporting structure.</w:t>
      </w:r>
    </w:p>
    <w:p>
      <w:pPr>
        <w:spacing w:before="160" w:after="60"/>
        <w:jc w:val="center"/>
      </w:pPr>
      <w:r>
        <w:rPr>
          <w:rFonts w:ascii="Times New Roman" w:hAnsi="Times New Roman"/>
          <w:sz w:val="16"/>
        </w:rPr>
        <w:t>TABLE I</w:t>
        <w:br/>
      </w:r>
      <w:r>
        <w:rPr>
          <w:rFonts w:ascii="Times New Roman" w:hAnsi="Times New Roman"/>
          <w:smallCaps/>
          <w:sz w:val="16"/>
        </w:rPr>
        <w:t>Intelligent Model Performance</w:t>
      </w:r>
    </w:p>
    <w:tbl>
      <w:tblPr>
        <w:tblStyle w:val="TableGrid"/>
        <w:tblW w:type="auto" w:w="0"/>
        <w:tblLook w:firstColumn="1" w:firstRow="1" w:lastColumn="0" w:lastRow="0" w:noHBand="0" w:noVBand="1" w:val="04A0"/>
      </w:tblPr>
      <w:tblGrid>
        <w:gridCol w:w="3480"/>
        <w:gridCol w:w="3480"/>
        <w:gridCol w:w="3480"/>
      </w:tblGrid>
      <w:tr>
        <w:tc>
          <w:tcPr>
            <w:tcW w:type="dxa" w:w="3480"/>
          </w:tcPr>
          <w:p>
            <w:pPr>
              <w:spacing w:after="0"/>
              <w:jc w:val="center"/>
            </w:pPr>
            <w:r/>
            <w:r>
              <w:rPr>
                <w:rFonts w:ascii="Times New Roman" w:hAnsi="Times New Roman"/>
                <w:b/>
                <w:sz w:val="16"/>
              </w:rPr>
              <w:t>Function</w:t>
            </w:r>
          </w:p>
        </w:tc>
        <w:tc>
          <w:tcPr>
            <w:tcW w:type="dxa" w:w="3480"/>
          </w:tcPr>
          <w:p>
            <w:pPr>
              <w:spacing w:after="0"/>
              <w:jc w:val="center"/>
            </w:pPr>
            <w:r/>
            <w:r>
              <w:rPr>
                <w:rFonts w:ascii="Times New Roman" w:hAnsi="Times New Roman"/>
                <w:b/>
                <w:sz w:val="16"/>
              </w:rPr>
              <w:t>Primary metric</w:t>
            </w:r>
          </w:p>
        </w:tc>
        <w:tc>
          <w:tcPr>
            <w:tcW w:type="dxa" w:w="3480"/>
          </w:tcPr>
          <w:p>
            <w:pPr>
              <w:spacing w:after="0"/>
              <w:jc w:val="center"/>
            </w:pPr>
            <w:r/>
            <w:r>
              <w:rPr>
                <w:rFonts w:ascii="Times New Roman" w:hAnsi="Times New Roman"/>
                <w:b/>
                <w:sz w:val="16"/>
              </w:rPr>
              <w:t>Result</w:t>
            </w:r>
          </w:p>
        </w:tc>
      </w:tr>
      <w:tr>
        <w:tc>
          <w:tcPr>
            <w:tcW w:type="dxa" w:w="3480"/>
          </w:tcPr>
          <w:p>
            <w:pPr>
              <w:spacing w:after="0"/>
            </w:pPr>
            <w:r/>
            <w:r>
              <w:rPr>
                <w:rFonts w:ascii="Times New Roman" w:hAnsi="Times New Roman"/>
                <w:b w:val="0"/>
                <w:sz w:val="16"/>
              </w:rPr>
              <w:t>Pre drying temperature</w:t>
            </w:r>
          </w:p>
        </w:tc>
        <w:tc>
          <w:tcPr>
            <w:tcW w:type="dxa" w:w="3480"/>
          </w:tcPr>
          <w:p>
            <w:pPr>
              <w:spacing w:after="0"/>
            </w:pPr>
            <w:r/>
            <w:r>
              <w:rPr>
                <w:rFonts w:ascii="Times New Roman" w:hAnsi="Times New Roman"/>
                <w:b w:val="0"/>
                <w:sz w:val="16"/>
              </w:rPr>
              <w:t>MAE (° C)</w:t>
            </w:r>
          </w:p>
        </w:tc>
        <w:tc>
          <w:tcPr>
            <w:tcW w:type="dxa" w:w="3480"/>
          </w:tcPr>
          <w:p>
            <w:pPr>
              <w:spacing w:after="0"/>
            </w:pPr>
            <w:r/>
            <w:r>
              <w:rPr>
                <w:rFonts w:ascii="Times New Roman" w:hAnsi="Times New Roman"/>
                <w:b w:val="0"/>
                <w:sz w:val="16"/>
              </w:rPr>
              <w:t>Pending</w:t>
            </w:r>
          </w:p>
        </w:tc>
      </w:tr>
      <w:tr>
        <w:tc>
          <w:tcPr>
            <w:tcW w:type="dxa" w:w="3480"/>
          </w:tcPr>
          <w:p>
            <w:pPr>
              <w:spacing w:after="0"/>
            </w:pPr>
            <w:r/>
            <w:r>
              <w:rPr>
                <w:rFonts w:ascii="Times New Roman" w:hAnsi="Times New Roman"/>
                <w:b w:val="0"/>
                <w:sz w:val="16"/>
              </w:rPr>
              <w:t>Pre drying duration</w:t>
            </w:r>
          </w:p>
        </w:tc>
        <w:tc>
          <w:tcPr>
            <w:tcW w:type="dxa" w:w="3480"/>
          </w:tcPr>
          <w:p>
            <w:pPr>
              <w:spacing w:after="0"/>
            </w:pPr>
            <w:r/>
            <w:r>
              <w:rPr>
                <w:rFonts w:ascii="Times New Roman" w:hAnsi="Times New Roman"/>
                <w:b w:val="0"/>
                <w:sz w:val="16"/>
              </w:rPr>
              <w:t>MAE (min)</w:t>
            </w:r>
          </w:p>
        </w:tc>
        <w:tc>
          <w:tcPr>
            <w:tcW w:type="dxa" w:w="3480"/>
          </w:tcPr>
          <w:p>
            <w:pPr>
              <w:spacing w:after="0"/>
            </w:pPr>
            <w:r/>
            <w:r>
              <w:rPr>
                <w:rFonts w:ascii="Times New Roman" w:hAnsi="Times New Roman"/>
                <w:b w:val="0"/>
                <w:sz w:val="16"/>
              </w:rPr>
              <w:t>Pending</w:t>
            </w:r>
          </w:p>
        </w:tc>
      </w:tr>
      <w:tr>
        <w:tc>
          <w:tcPr>
            <w:tcW w:type="dxa" w:w="3480"/>
          </w:tcPr>
          <w:p>
            <w:pPr>
              <w:spacing w:after="0"/>
            </w:pPr>
            <w:r/>
            <w:r>
              <w:rPr>
                <w:rFonts w:ascii="Times New Roman" w:hAnsi="Times New Roman"/>
                <w:b w:val="0"/>
                <w:sz w:val="16"/>
              </w:rPr>
              <w:t>Remaining time prediction</w:t>
            </w:r>
          </w:p>
        </w:tc>
        <w:tc>
          <w:tcPr>
            <w:tcW w:type="dxa" w:w="3480"/>
          </w:tcPr>
          <w:p>
            <w:pPr>
              <w:spacing w:after="0"/>
            </w:pPr>
            <w:r/>
            <w:r>
              <w:rPr>
                <w:rFonts w:ascii="Times New Roman" w:hAnsi="Times New Roman"/>
                <w:b w:val="0"/>
                <w:sz w:val="16"/>
              </w:rPr>
              <w:t>MAE, RMSE</w:t>
            </w:r>
          </w:p>
        </w:tc>
        <w:tc>
          <w:tcPr>
            <w:tcW w:type="dxa" w:w="3480"/>
          </w:tcPr>
          <w:p>
            <w:pPr>
              <w:spacing w:after="0"/>
            </w:pPr>
            <w:r/>
            <w:r>
              <w:rPr>
                <w:rFonts w:ascii="Times New Roman" w:hAnsi="Times New Roman"/>
                <w:b w:val="0"/>
                <w:sz w:val="16"/>
              </w:rPr>
              <w:t>Pending</w:t>
            </w:r>
          </w:p>
        </w:tc>
      </w:tr>
      <w:tr>
        <w:tc>
          <w:tcPr>
            <w:tcW w:type="dxa" w:w="3480"/>
          </w:tcPr>
          <w:p>
            <w:pPr>
              <w:spacing w:after="0"/>
            </w:pPr>
            <w:r/>
            <w:r>
              <w:rPr>
                <w:rFonts w:ascii="Times New Roman" w:hAnsi="Times New Roman"/>
                <w:b w:val="0"/>
                <w:sz w:val="16"/>
              </w:rPr>
              <w:t>Spoilage risk prediction</w:t>
            </w:r>
          </w:p>
        </w:tc>
        <w:tc>
          <w:tcPr>
            <w:tcW w:type="dxa" w:w="3480"/>
          </w:tcPr>
          <w:p>
            <w:pPr>
              <w:spacing w:after="0"/>
            </w:pPr>
            <w:r/>
            <w:r>
              <w:rPr>
                <w:rFonts w:ascii="Times New Roman" w:hAnsi="Times New Roman"/>
                <w:b w:val="0"/>
                <w:sz w:val="16"/>
              </w:rPr>
              <w:t>F1 score</w:t>
            </w:r>
          </w:p>
        </w:tc>
        <w:tc>
          <w:tcPr>
            <w:tcW w:type="dxa" w:w="3480"/>
          </w:tcPr>
          <w:p>
            <w:pPr>
              <w:spacing w:after="0"/>
            </w:pPr>
            <w:r/>
            <w:r>
              <w:rPr>
                <w:rFonts w:ascii="Times New Roman" w:hAnsi="Times New Roman"/>
                <w:b w:val="0"/>
                <w:sz w:val="16"/>
              </w:rPr>
              <w:t>Pending</w:t>
            </w:r>
          </w:p>
        </w:tc>
      </w:tr>
      <w:tr>
        <w:tc>
          <w:tcPr>
            <w:tcW w:type="dxa" w:w="3480"/>
          </w:tcPr>
          <w:p>
            <w:pPr>
              <w:spacing w:after="0"/>
            </w:pPr>
            <w:r/>
            <w:r>
              <w:rPr>
                <w:rFonts w:ascii="Times New Roman" w:hAnsi="Times New Roman"/>
                <w:b w:val="0"/>
                <w:sz w:val="16"/>
              </w:rPr>
              <w:t>Visual quality grading</w:t>
            </w:r>
          </w:p>
        </w:tc>
        <w:tc>
          <w:tcPr>
            <w:tcW w:type="dxa" w:w="3480"/>
          </w:tcPr>
          <w:p>
            <w:pPr>
              <w:spacing w:after="0"/>
            </w:pPr>
            <w:r/>
            <w:r>
              <w:rPr>
                <w:rFonts w:ascii="Times New Roman" w:hAnsi="Times New Roman"/>
                <w:b w:val="0"/>
                <w:sz w:val="16"/>
              </w:rPr>
              <w:t>Accuracy, F1</w:t>
            </w:r>
          </w:p>
        </w:tc>
        <w:tc>
          <w:tcPr>
            <w:tcW w:type="dxa" w:w="3480"/>
          </w:tcPr>
          <w:p>
            <w:pPr>
              <w:spacing w:after="0"/>
            </w:pPr>
            <w:r/>
            <w:r>
              <w:rPr>
                <w:rFonts w:ascii="Times New Roman" w:hAnsi="Times New Roman"/>
                <w:b w:val="0"/>
                <w:sz w:val="16"/>
              </w:rPr>
              <w:t>Pending</w:t>
            </w:r>
          </w:p>
        </w:tc>
      </w:tr>
      <w:tr>
        <w:tc>
          <w:tcPr>
            <w:tcW w:type="dxa" w:w="3480"/>
          </w:tcPr>
          <w:p>
            <w:pPr>
              <w:spacing w:after="0"/>
            </w:pPr>
            <w:r/>
            <w:r>
              <w:rPr>
                <w:rFonts w:ascii="Times New Roman" w:hAnsi="Times New Roman"/>
                <w:b w:val="0"/>
                <w:sz w:val="16"/>
              </w:rPr>
              <w:t>Defect detection</w:t>
            </w:r>
          </w:p>
        </w:tc>
        <w:tc>
          <w:tcPr>
            <w:tcW w:type="dxa" w:w="3480"/>
          </w:tcPr>
          <w:p>
            <w:pPr>
              <w:spacing w:after="0"/>
            </w:pPr>
            <w:r/>
            <w:r>
              <w:rPr>
                <w:rFonts w:ascii="Times New Roman" w:hAnsi="Times New Roman"/>
                <w:b w:val="0"/>
                <w:sz w:val="16"/>
              </w:rPr>
              <w:t>Precision, recall, F1</w:t>
            </w:r>
          </w:p>
        </w:tc>
        <w:tc>
          <w:tcPr>
            <w:tcW w:type="dxa" w:w="3480"/>
          </w:tcPr>
          <w:p>
            <w:pPr>
              <w:spacing w:after="0"/>
            </w:pPr>
            <w:r/>
            <w:r>
              <w:rPr>
                <w:rFonts w:ascii="Times New Roman" w:hAnsi="Times New Roman"/>
                <w:b w:val="0"/>
                <w:sz w:val="16"/>
              </w:rPr>
              <w:t>Pending</w:t>
            </w:r>
          </w:p>
        </w:tc>
      </w:tr>
    </w:tbl>
    <w:p>
      <w:pPr>
        <w:spacing w:after="120"/>
      </w:pPr>
    </w:p>
    <w:p>
      <w:pPr>
        <w:spacing w:before="160" w:after="60"/>
        <w:jc w:val="center"/>
      </w:pPr>
      <w:r>
        <w:rPr>
          <w:rFonts w:ascii="Times New Roman" w:hAnsi="Times New Roman"/>
          <w:sz w:val="16"/>
        </w:rPr>
        <w:t>TABLE II</w:t>
        <w:br/>
      </w:r>
      <w:r>
        <w:rPr>
          <w:rFonts w:ascii="Times New Roman" w:hAnsi="Times New Roman"/>
          <w:smallCaps/>
          <w:sz w:val="16"/>
        </w:rPr>
        <w:t>Baseline and Proposed System Comparison</w:t>
      </w:r>
    </w:p>
    <w:tbl>
      <w:tblPr>
        <w:tblStyle w:val="TableGrid"/>
        <w:tblW w:type="auto" w:w="0"/>
        <w:tblLook w:firstColumn="1" w:firstRow="1" w:lastColumn="0" w:lastRow="0" w:noHBand="0" w:noVBand="1" w:val="04A0"/>
      </w:tblPr>
      <w:tblGrid>
        <w:gridCol w:w="3480"/>
        <w:gridCol w:w="3480"/>
        <w:gridCol w:w="3480"/>
      </w:tblGrid>
      <w:tr>
        <w:tc>
          <w:tcPr>
            <w:tcW w:type="dxa" w:w="3480"/>
          </w:tcPr>
          <w:p>
            <w:pPr>
              <w:spacing w:after="0"/>
              <w:jc w:val="center"/>
            </w:pPr>
            <w:r/>
            <w:r>
              <w:rPr>
                <w:rFonts w:ascii="Times New Roman" w:hAnsi="Times New Roman"/>
                <w:b/>
                <w:sz w:val="16"/>
              </w:rPr>
              <w:t>Metric</w:t>
            </w:r>
          </w:p>
        </w:tc>
        <w:tc>
          <w:tcPr>
            <w:tcW w:type="dxa" w:w="3480"/>
          </w:tcPr>
          <w:p>
            <w:pPr>
              <w:spacing w:after="0"/>
              <w:jc w:val="center"/>
            </w:pPr>
            <w:r/>
            <w:r>
              <w:rPr>
                <w:rFonts w:ascii="Times New Roman" w:hAnsi="Times New Roman"/>
                <w:b/>
                <w:sz w:val="16"/>
              </w:rPr>
              <w:t>Baseline</w:t>
            </w:r>
          </w:p>
        </w:tc>
        <w:tc>
          <w:tcPr>
            <w:tcW w:type="dxa" w:w="3480"/>
          </w:tcPr>
          <w:p>
            <w:pPr>
              <w:spacing w:after="0"/>
              <w:jc w:val="center"/>
            </w:pPr>
            <w:r/>
            <w:r>
              <w:rPr>
                <w:rFonts w:ascii="Times New Roman" w:hAnsi="Times New Roman"/>
                <w:b/>
                <w:sz w:val="16"/>
              </w:rPr>
              <w:t>Proposed</w:t>
            </w:r>
          </w:p>
        </w:tc>
      </w:tr>
      <w:tr>
        <w:tc>
          <w:tcPr>
            <w:tcW w:type="dxa" w:w="3480"/>
          </w:tcPr>
          <w:p>
            <w:pPr>
              <w:spacing w:after="0"/>
            </w:pPr>
            <w:r/>
            <w:r>
              <w:rPr>
                <w:rFonts w:ascii="Times New Roman" w:hAnsi="Times New Roman"/>
                <w:b w:val="0"/>
                <w:sz w:val="16"/>
              </w:rPr>
              <w:t>Temperature MAE</w:t>
            </w:r>
          </w:p>
        </w:tc>
        <w:tc>
          <w:tcPr>
            <w:tcW w:type="dxa" w:w="3480"/>
          </w:tcPr>
          <w:p>
            <w:pPr>
              <w:spacing w:after="0"/>
            </w:pPr>
            <w:r/>
            <w:r>
              <w:rPr>
                <w:rFonts w:ascii="Times New Roman" w:hAnsi="Times New Roman"/>
                <w:b w:val="0"/>
                <w:sz w:val="16"/>
              </w:rPr>
              <w:t>Pending</w:t>
            </w:r>
          </w:p>
        </w:tc>
        <w:tc>
          <w:tcPr>
            <w:tcW w:type="dxa" w:w="3480"/>
          </w:tcPr>
          <w:p>
            <w:pPr>
              <w:spacing w:after="0"/>
            </w:pPr>
            <w:r/>
            <w:r>
              <w:rPr>
                <w:rFonts w:ascii="Times New Roman" w:hAnsi="Times New Roman"/>
                <w:b w:val="0"/>
                <w:sz w:val="16"/>
              </w:rPr>
              <w:t>Pending</w:t>
            </w:r>
          </w:p>
        </w:tc>
      </w:tr>
      <w:tr>
        <w:tc>
          <w:tcPr>
            <w:tcW w:type="dxa" w:w="3480"/>
          </w:tcPr>
          <w:p>
            <w:pPr>
              <w:spacing w:after="0"/>
            </w:pPr>
            <w:r/>
            <w:r>
              <w:rPr>
                <w:rFonts w:ascii="Times New Roman" w:hAnsi="Times New Roman"/>
                <w:b w:val="0"/>
                <w:sz w:val="16"/>
              </w:rPr>
              <w:t>Unsafe humidity exposure</w:t>
            </w:r>
          </w:p>
        </w:tc>
        <w:tc>
          <w:tcPr>
            <w:tcW w:type="dxa" w:w="3480"/>
          </w:tcPr>
          <w:p>
            <w:pPr>
              <w:spacing w:after="0"/>
            </w:pPr>
            <w:r/>
            <w:r>
              <w:rPr>
                <w:rFonts w:ascii="Times New Roman" w:hAnsi="Times New Roman"/>
                <w:b w:val="0"/>
                <w:sz w:val="16"/>
              </w:rPr>
              <w:t>Pending</w:t>
            </w:r>
          </w:p>
        </w:tc>
        <w:tc>
          <w:tcPr>
            <w:tcW w:type="dxa" w:w="3480"/>
          </w:tcPr>
          <w:p>
            <w:pPr>
              <w:spacing w:after="0"/>
            </w:pPr>
            <w:r/>
            <w:r>
              <w:rPr>
                <w:rFonts w:ascii="Times New Roman" w:hAnsi="Times New Roman"/>
                <w:b w:val="0"/>
                <w:sz w:val="16"/>
              </w:rPr>
              <w:t>Pending</w:t>
            </w:r>
          </w:p>
        </w:tc>
      </w:tr>
      <w:tr>
        <w:tc>
          <w:tcPr>
            <w:tcW w:type="dxa" w:w="3480"/>
          </w:tcPr>
          <w:p>
            <w:pPr>
              <w:spacing w:after="0"/>
            </w:pPr>
            <w:r/>
            <w:r>
              <w:rPr>
                <w:rFonts w:ascii="Times New Roman" w:hAnsi="Times New Roman"/>
                <w:b w:val="0"/>
                <w:sz w:val="16"/>
              </w:rPr>
              <w:t>Completion error</w:t>
            </w:r>
          </w:p>
        </w:tc>
        <w:tc>
          <w:tcPr>
            <w:tcW w:type="dxa" w:w="3480"/>
          </w:tcPr>
          <w:p>
            <w:pPr>
              <w:spacing w:after="0"/>
            </w:pPr>
            <w:r/>
            <w:r>
              <w:rPr>
                <w:rFonts w:ascii="Times New Roman" w:hAnsi="Times New Roman"/>
                <w:b w:val="0"/>
                <w:sz w:val="16"/>
              </w:rPr>
              <w:t>Pending</w:t>
            </w:r>
          </w:p>
        </w:tc>
        <w:tc>
          <w:tcPr>
            <w:tcW w:type="dxa" w:w="3480"/>
          </w:tcPr>
          <w:p>
            <w:pPr>
              <w:spacing w:after="0"/>
            </w:pPr>
            <w:r/>
            <w:r>
              <w:rPr>
                <w:rFonts w:ascii="Times New Roman" w:hAnsi="Times New Roman"/>
                <w:b w:val="0"/>
                <w:sz w:val="16"/>
              </w:rPr>
              <w:t>Pending</w:t>
            </w:r>
          </w:p>
        </w:tc>
      </w:tr>
      <w:tr>
        <w:tc>
          <w:tcPr>
            <w:tcW w:type="dxa" w:w="3480"/>
          </w:tcPr>
          <w:p>
            <w:pPr>
              <w:spacing w:after="0"/>
            </w:pPr>
            <w:r/>
            <w:r>
              <w:rPr>
                <w:rFonts w:ascii="Times New Roman" w:hAnsi="Times New Roman"/>
                <w:b w:val="0"/>
                <w:sz w:val="16"/>
              </w:rPr>
              <w:t>Drying duration</w:t>
            </w:r>
          </w:p>
        </w:tc>
        <w:tc>
          <w:tcPr>
            <w:tcW w:type="dxa" w:w="3480"/>
          </w:tcPr>
          <w:p>
            <w:pPr>
              <w:spacing w:after="0"/>
            </w:pPr>
            <w:r/>
            <w:r>
              <w:rPr>
                <w:rFonts w:ascii="Times New Roman" w:hAnsi="Times New Roman"/>
                <w:b w:val="0"/>
                <w:sz w:val="16"/>
              </w:rPr>
              <w:t>Pending</w:t>
            </w:r>
          </w:p>
        </w:tc>
        <w:tc>
          <w:tcPr>
            <w:tcW w:type="dxa" w:w="3480"/>
          </w:tcPr>
          <w:p>
            <w:pPr>
              <w:spacing w:after="0"/>
            </w:pPr>
            <w:r/>
            <w:r>
              <w:rPr>
                <w:rFonts w:ascii="Times New Roman" w:hAnsi="Times New Roman"/>
                <w:b w:val="0"/>
                <w:sz w:val="16"/>
              </w:rPr>
              <w:t>Pending</w:t>
            </w:r>
          </w:p>
        </w:tc>
      </w:tr>
      <w:tr>
        <w:tc>
          <w:tcPr>
            <w:tcW w:type="dxa" w:w="3480"/>
          </w:tcPr>
          <w:p>
            <w:pPr>
              <w:spacing w:after="0"/>
            </w:pPr>
            <w:r/>
            <w:r>
              <w:rPr>
                <w:rFonts w:ascii="Times New Roman" w:hAnsi="Times New Roman"/>
                <w:b w:val="0"/>
                <w:sz w:val="16"/>
              </w:rPr>
              <w:t>Manual interventions</w:t>
            </w:r>
          </w:p>
        </w:tc>
        <w:tc>
          <w:tcPr>
            <w:tcW w:type="dxa" w:w="3480"/>
          </w:tcPr>
          <w:p>
            <w:pPr>
              <w:spacing w:after="0"/>
            </w:pPr>
            <w:r/>
            <w:r>
              <w:rPr>
                <w:rFonts w:ascii="Times New Roman" w:hAnsi="Times New Roman"/>
                <w:b w:val="0"/>
                <w:sz w:val="16"/>
              </w:rPr>
              <w:t>Pending</w:t>
            </w:r>
          </w:p>
        </w:tc>
        <w:tc>
          <w:tcPr>
            <w:tcW w:type="dxa" w:w="3480"/>
          </w:tcPr>
          <w:p>
            <w:pPr>
              <w:spacing w:after="0"/>
            </w:pPr>
            <w:r/>
            <w:r>
              <w:rPr>
                <w:rFonts w:ascii="Times New Roman" w:hAnsi="Times New Roman"/>
                <w:b w:val="0"/>
                <w:sz w:val="16"/>
              </w:rPr>
              <w:t>Pending</w:t>
            </w:r>
          </w:p>
        </w:tc>
      </w:tr>
      <w:tr>
        <w:tc>
          <w:tcPr>
            <w:tcW w:type="dxa" w:w="3480"/>
          </w:tcPr>
          <w:p>
            <w:pPr>
              <w:spacing w:after="0"/>
            </w:pPr>
            <w:r/>
            <w:r>
              <w:rPr>
                <w:rFonts w:ascii="Times New Roman" w:hAnsi="Times New Roman"/>
                <w:b w:val="0"/>
                <w:sz w:val="16"/>
              </w:rPr>
              <w:t>Traceability completeness</w:t>
            </w:r>
          </w:p>
        </w:tc>
        <w:tc>
          <w:tcPr>
            <w:tcW w:type="dxa" w:w="3480"/>
          </w:tcPr>
          <w:p>
            <w:pPr>
              <w:spacing w:after="0"/>
            </w:pPr>
            <w:r/>
            <w:r>
              <w:rPr>
                <w:rFonts w:ascii="Times New Roman" w:hAnsi="Times New Roman"/>
                <w:b w:val="0"/>
                <w:sz w:val="16"/>
              </w:rPr>
              <w:t>Pending</w:t>
            </w:r>
          </w:p>
        </w:tc>
        <w:tc>
          <w:tcPr>
            <w:tcW w:type="dxa" w:w="3480"/>
          </w:tcPr>
          <w:p>
            <w:pPr>
              <w:spacing w:after="0"/>
            </w:pPr>
            <w:r/>
            <w:r>
              <w:rPr>
                <w:rFonts w:ascii="Times New Roman" w:hAnsi="Times New Roman"/>
                <w:b w:val="0"/>
                <w:sz w:val="16"/>
              </w:rPr>
              <w:t>Pending</w:t>
            </w:r>
          </w:p>
        </w:tc>
      </w:tr>
    </w:tbl>
    <w:p>
      <w:pPr>
        <w:spacing w:after="120"/>
      </w:pPr>
    </w:p>
    <w:p>
      <w:pPr>
        <w:spacing w:before="0" w:after="0" w:line="240" w:lineRule="auto"/>
        <w:ind w:firstLine="288"/>
        <w:jc w:val="both"/>
      </w:pPr>
      <w:r>
        <w:rPr>
          <w:rFonts w:ascii="Times New Roman" w:hAnsi="Times New Roman"/>
          <w:b w:val="0"/>
          <w:i w:val="0"/>
          <w:sz w:val="20"/>
        </w:rPr>
        <w:t>The evaluation should not claim that the integrated system is superior simply because it contains more technologies. It should determine whether multi-modal information provides practical value unavailable from single mode processing. Two cases illustrate the argument. A humidity increase alone identifies an environmental event; the same increase coinciding with a reduced weight loss rate and rising predicted spoilage risk is materially stronger evidence for intervention. Likewise, a weight threshold alone suggests possible completion, whereas agreement between weight stabilisation, the remaining time prediction, and the visual quality state supports termination far more strongly. Disagreement among modalities is equally informative and should be analysed rather than suppressed.</w:t>
      </w:r>
    </w:p>
    <w:p>
      <w:pPr>
        <w:spacing w:before="0" w:after="0" w:line="240" w:lineRule="auto"/>
        <w:ind w:firstLine="288"/>
        <w:jc w:val="both"/>
      </w:pPr>
      <w:r>
        <w:rPr>
          <w:rFonts w:ascii="Times New Roman" w:hAnsi="Times New Roman"/>
          <w:b w:val="0"/>
          <w:i w:val="0"/>
          <w:sz w:val="20"/>
        </w:rPr>
        <w:t>Prototype experience further indicates that integration benefits are contingent on sensing reliability. Intermittent load cell dropouts repeatedly triggered protective faults that terminated otherwise healthy runs. No application layer logic compensates for an unreliable measurement chain, so sensor robustness is a precondition for intelligent control rather than an implementation detail.</w:t>
      </w:r>
    </w:p>
    <w:p>
      <w:pPr>
        <w:spacing w:before="240" w:after="120" w:line="240" w:lineRule="auto"/>
        <w:jc w:val="center"/>
      </w:pPr>
      <w:r>
        <w:rPr>
          <w:rFonts w:ascii="Times New Roman" w:hAnsi="Times New Roman"/>
          <w:b w:val="0"/>
          <w:i w:val="0"/>
          <w:smallCaps/>
          <w:sz w:val="20"/>
        </w:rPr>
        <w:t>XI.  Limitations</w:t>
      </w:r>
    </w:p>
    <w:p>
      <w:pPr>
        <w:spacing w:before="0" w:after="0" w:line="240" w:lineRule="auto"/>
        <w:ind w:firstLine="288"/>
        <w:jc w:val="both"/>
      </w:pPr>
      <w:r>
        <w:rPr>
          <w:rFonts w:ascii="Times New Roman" w:hAnsi="Times New Roman"/>
          <w:b w:val="0"/>
          <w:i w:val="0"/>
          <w:sz w:val="20"/>
        </w:rPr>
        <w:t>Several limitations should be considered. First, model performance depends strongly on the number and diversity of real drying trials. The present predictors are anchored to a small set of validated runs, with variety specific profiles partly parameterised rather than measured, so results should not be generalised to all dry fish products.</w:t>
      </w:r>
    </w:p>
    <w:p>
      <w:pPr>
        <w:spacing w:before="0" w:after="0" w:line="240" w:lineRule="auto"/>
        <w:ind w:firstLine="288"/>
        <w:jc w:val="both"/>
      </w:pPr>
      <w:r>
        <w:rPr>
          <w:rFonts w:ascii="Times New Roman" w:hAnsi="Times New Roman"/>
          <w:b w:val="0"/>
          <w:i w:val="0"/>
          <w:sz w:val="20"/>
        </w:rPr>
        <w:t>Second, weight reduction is a useful indicator of drying progression but should not be interpreted as equivalent to laboratory measured moisture content without experimental validation.</w:t>
      </w:r>
    </w:p>
    <w:p>
      <w:pPr>
        <w:spacing w:before="0" w:after="0" w:line="240" w:lineRule="auto"/>
        <w:ind w:firstLine="288"/>
        <w:jc w:val="both"/>
      </w:pPr>
      <w:r>
        <w:rPr>
          <w:rFonts w:ascii="Times New Roman" w:hAnsi="Times New Roman"/>
          <w:b w:val="0"/>
          <w:i w:val="0"/>
          <w:sz w:val="20"/>
        </w:rPr>
        <w:t>Third, low cost sensors introduce measurement uncertainty and require calibration. An uncalibrated load cell directly corrupts both completion detection and remaining time estimation, because both depend on the same weight signal.</w:t>
      </w:r>
    </w:p>
    <w:p>
      <w:pPr>
        <w:spacing w:before="0" w:after="0" w:line="240" w:lineRule="auto"/>
        <w:ind w:firstLine="288"/>
        <w:jc w:val="both"/>
      </w:pPr>
      <w:r>
        <w:rPr>
          <w:rFonts w:ascii="Times New Roman" w:hAnsi="Times New Roman"/>
          <w:b w:val="0"/>
          <w:i w:val="0"/>
          <w:sz w:val="20"/>
        </w:rPr>
        <w:t>Fourth, the vision model has been trained but not yet evaluated on an independent held out test set, and its dataset scale has not been established. Quantitative visual performance claims are therefore deferred.</w:t>
      </w:r>
    </w:p>
    <w:p>
      <w:pPr>
        <w:spacing w:before="0" w:after="0" w:line="240" w:lineRule="auto"/>
        <w:ind w:firstLine="288"/>
        <w:jc w:val="both"/>
      </w:pPr>
      <w:r>
        <w:rPr>
          <w:rFonts w:ascii="Times New Roman" w:hAnsi="Times New Roman"/>
          <w:b w:val="0"/>
          <w:i w:val="0"/>
          <w:sz w:val="20"/>
        </w:rPr>
        <w:t>Fifth, several operating thresholds in the prototype, including the weight loss completion criterion, the gas to smell level mapping, and the temperature envelope, are configurable engineering parameters rather than experimentally established constants.</w:t>
      </w:r>
    </w:p>
    <w:p>
      <w:pPr>
        <w:spacing w:before="0" w:after="0" w:line="240" w:lineRule="auto"/>
        <w:ind w:firstLine="288"/>
        <w:jc w:val="both"/>
      </w:pPr>
      <w:r>
        <w:rPr>
          <w:rFonts w:ascii="Times New Roman" w:hAnsi="Times New Roman"/>
          <w:b w:val="0"/>
          <w:i w:val="0"/>
          <w:sz w:val="20"/>
        </w:rPr>
        <w:t>Finally, the integrated architecture increases system complexity. Failure of communication, of individual sensors, or of analytical services must be considered when evaluating practical deployment.</w:t>
      </w:r>
    </w:p>
    <w:p>
      <w:pPr>
        <w:spacing w:before="240" w:after="120" w:line="240" w:lineRule="auto"/>
        <w:jc w:val="center"/>
      </w:pPr>
      <w:r>
        <w:rPr>
          <w:rFonts w:ascii="Times New Roman" w:hAnsi="Times New Roman"/>
          <w:b w:val="0"/>
          <w:i w:val="0"/>
          <w:smallCaps/>
          <w:sz w:val="20"/>
        </w:rPr>
        <w:t>XII.  Conclusion and Future Work</w:t>
      </w:r>
    </w:p>
    <w:p>
      <w:pPr>
        <w:spacing w:before="0" w:after="0" w:line="240" w:lineRule="auto"/>
        <w:ind w:firstLine="288"/>
        <w:jc w:val="both"/>
      </w:pPr>
      <w:r>
        <w:rPr>
          <w:rFonts w:ascii="Times New Roman" w:hAnsi="Times New Roman"/>
          <w:b w:val="0"/>
          <w:i w:val="0"/>
          <w:sz w:val="20"/>
        </w:rPr>
        <w:t>This paper presented an integrated AI and IoT framework for intelligent dry fish processing that combines environmental sensing, continuous weight monitoring, gas based spoilage indicators, machine learning based drying prediction, computer vision quality assessment, automated drying control, sustainability management, and digital traceability within a unified batch lifecycle.</w:t>
      </w:r>
    </w:p>
    <w:p>
      <w:pPr>
        <w:spacing w:before="0" w:after="0" w:line="240" w:lineRule="auto"/>
        <w:ind w:firstLine="288"/>
        <w:jc w:val="both"/>
      </w:pPr>
      <w:r>
        <w:rPr>
          <w:rFonts w:ascii="Times New Roman" w:hAnsi="Times New Roman"/>
          <w:b w:val="0"/>
          <w:i w:val="0"/>
          <w:sz w:val="20"/>
        </w:rPr>
        <w:t>The proposed architecture observes both the processing environment and the changing state of the product. Temperature and humidity describe environmental conditions, continuous weight measurements characterise physical drying progression, gas sensing provides an additional spoilage related signal, predictive models estimate drying requirements and process risk, and computer vision provides complementary evidence about visible product quality. These heterogeneous observations contribute to a common processing state from which control, completion, quality, and traceability decisions can be generated.</w:t>
      </w:r>
    </w:p>
    <w:p>
      <w:pPr>
        <w:spacing w:before="0" w:after="0" w:line="240" w:lineRule="auto"/>
        <w:ind w:firstLine="288"/>
        <w:jc w:val="both"/>
      </w:pPr>
      <w:r>
        <w:rPr>
          <w:rFonts w:ascii="Times New Roman" w:hAnsi="Times New Roman"/>
          <w:b w:val="0"/>
          <w:i w:val="0"/>
          <w:sz w:val="20"/>
        </w:rPr>
        <w:t>Beyond the architecture itself, two findings are practically significant. Predicted parameters must be constrained by a safety layer that operates independently of model output. In addition, the component holding a logical record of an activity must never be treated as authoritative about whether that activity is physically occurring, because the device itself is the only reliable authority.</w:t>
      </w:r>
    </w:p>
    <w:p>
      <w:pPr>
        <w:spacing w:before="0" w:after="0" w:line="240" w:lineRule="auto"/>
        <w:ind w:firstLine="288"/>
        <w:jc w:val="both"/>
      </w:pPr>
      <w:r>
        <w:rPr>
          <w:rFonts w:ascii="Times New Roman" w:hAnsi="Times New Roman"/>
          <w:b w:val="0"/>
          <w:i w:val="0"/>
          <w:sz w:val="20"/>
        </w:rPr>
        <w:t>The resulting sense, predict, assess, decide, control, verify, and trace architecture demonstrates how previously isolated intelligent functions can be organised into a single cyber physical processing framework. Future work should complete the integration of the vision subsystem into the batch lifecycle, expand the number of experimentally validated drying batches, investigate multi-modal fusion techniques, establish laboratory reference measurements for moisture and product quality, improve sensor robustness, and validate the framework across multiple fish varieties in real small scale processing environments.</w:t>
      </w:r>
    </w:p>
    <w:p>
      <w:pPr>
        <w:spacing w:before="240" w:after="120" w:line="240" w:lineRule="auto"/>
        <w:jc w:val="center"/>
      </w:pPr>
      <w:r>
        <w:rPr>
          <w:rFonts w:ascii="Times New Roman" w:hAnsi="Times New Roman"/>
          <w:b w:val="0"/>
          <w:i w:val="0"/>
          <w:smallCaps/>
          <w:sz w:val="20"/>
        </w:rPr>
        <w:t>Acknowledgment</w:t>
      </w:r>
    </w:p>
    <w:p>
      <w:pPr>
        <w:spacing w:before="0" w:after="0" w:line="240" w:lineRule="auto"/>
        <w:ind w:firstLine="288"/>
        <w:jc w:val="both"/>
      </w:pPr>
      <w:r>
        <w:rPr>
          <w:rFonts w:ascii="Times New Roman" w:hAnsi="Times New Roman"/>
          <w:b w:val="0"/>
          <w:i w:val="0"/>
          <w:sz w:val="20"/>
        </w:rPr>
        <w:t>The authors would like to acknowledge the academic supervisors, domain experts, dry fish processors, and members of the Smart Karawala research project who support the design, implementation, and evaluation of the proposed system.</w:t>
      </w:r>
    </w:p>
    <w:p>
      <w:pPr>
        <w:spacing w:before="240" w:after="120" w:line="240" w:lineRule="auto"/>
        <w:jc w:val="center"/>
      </w:pPr>
      <w:r>
        <w:rPr>
          <w:rFonts w:ascii="Times New Roman" w:hAnsi="Times New Roman"/>
          <w:b w:val="0"/>
          <w:i w:val="0"/>
          <w:smallCaps/>
          <w:sz w:val="20"/>
        </w:rPr>
        <w:t>References</w:t>
      </w:r>
    </w:p>
    <w:p>
      <w:pPr>
        <w:spacing w:after="60"/>
        <w:ind w:hanging="360" w:left="360"/>
      </w:pPr>
      <w:r>
        <w:rPr>
          <w:rFonts w:ascii="Times New Roman" w:hAnsi="Times New Roman"/>
          <w:sz w:val="16"/>
        </w:rPr>
        <w:t>[1]</w:t>
        <w:tab/>
        <w:t>N. Mishra, S. K. Jain, N. Agrawal, N. K. Jain, N. Wadhawan, and N. L. Panwar, “Development of drying system by using internet of things for food quality monitoring and controlling,” Energy Nexus, vol. 11, art. no. 100219, Sep. 2023.</w:t>
      </w:r>
    </w:p>
    <w:p>
      <w:pPr>
        <w:spacing w:after="60"/>
        <w:ind w:hanging="360" w:left="360"/>
      </w:pPr>
      <w:r>
        <w:rPr>
          <w:rFonts w:ascii="Times New Roman" w:hAnsi="Times New Roman"/>
          <w:sz w:val="16"/>
        </w:rPr>
        <w:t>[2]</w:t>
        <w:tab/>
        <w:t>Y. Alvinika, D. B. Setyohadi, and M. Sulistyoningsih, “IoT-based monitoring and design of automatic fish drying equipment using fuzzy logic,” IOP Conf. Ser.: Earth Environ. Sci., vol. 704, no. 1, art. no. 012042, 2021.</w:t>
      </w:r>
    </w:p>
    <w:p>
      <w:pPr>
        <w:spacing w:after="60"/>
        <w:ind w:hanging="360" w:left="360"/>
      </w:pPr>
      <w:r>
        <w:rPr>
          <w:rFonts w:ascii="Times New Roman" w:hAnsi="Times New Roman"/>
          <w:sz w:val="16"/>
        </w:rPr>
        <w:t>[3]</w:t>
        <w:tab/>
        <w:t>J. Guo, X. Zhang, Y. Liu, J. Wu, H. Xu, H. Xiao, Z. Ai, and P. Gong, “Intelligent monitoring, predicting, and control technology of food drying: recent advances, challenges, and future prospects,” Food Control, vol. 180, art. no. 111666, 2026.</w:t>
      </w:r>
    </w:p>
    <w:p>
      <w:pPr>
        <w:spacing w:after="60"/>
        <w:ind w:hanging="360" w:left="360"/>
      </w:pPr>
      <w:r>
        <w:rPr>
          <w:rFonts w:ascii="Times New Roman" w:hAnsi="Times New Roman"/>
          <w:sz w:val="16"/>
        </w:rPr>
        <w:t>[4]</w:t>
        <w:tab/>
        <w:t>R. Rakholia, A. L. Suárez-Cetrulo, M. Singh, and R. S. Carbajo, “AI-driven meat food drying time prediction for resource optimization and production planning in smart manufacturing,” IEEE Access, vol. 13, pp. 22420--22428, 2025.</w:t>
      </w:r>
    </w:p>
    <w:p>
      <w:pPr>
        <w:spacing w:after="60"/>
        <w:ind w:hanging="360" w:left="360"/>
      </w:pPr>
      <w:r>
        <w:rPr>
          <w:rFonts w:ascii="Times New Roman" w:hAnsi="Times New Roman"/>
          <w:sz w:val="16"/>
        </w:rPr>
        <w:t>[5]</w:t>
        <w:tab/>
        <w:t>F. Ahmad, M. S. Younis, R. U. Zahid, and L. A. Shahid, “Machine learning based grain moisture estimation for real-time monitoring of high-temperature paddy drying silo,” in Proc. IEEE 23rd Int. Multitopic Conf. (INMIC), 2020, pp. 1--6.</w:t>
      </w:r>
    </w:p>
    <w:p>
      <w:pPr>
        <w:spacing w:after="60"/>
        <w:ind w:hanging="360" w:left="360"/>
      </w:pPr>
      <w:r>
        <w:rPr>
          <w:rFonts w:ascii="Times New Roman" w:hAnsi="Times New Roman"/>
          <w:sz w:val="16"/>
        </w:rPr>
        <w:t>[6]</w:t>
        <w:tab/>
        <w:t>T. H. M. Ghanem et al., “Thin-layer modeling, drying parameters, and techno-enviro-economic analysis of a solar dried salted tilapia fish fillets,” Sci. Rep., vol. 15, art. no. 5073, 2025.</w:t>
      </w:r>
    </w:p>
    <w:p>
      <w:pPr>
        <w:spacing w:after="60"/>
        <w:ind w:hanging="360" w:left="360"/>
      </w:pPr>
      <w:r>
        <w:rPr>
          <w:rFonts w:ascii="Times New Roman" w:hAnsi="Times New Roman"/>
          <w:sz w:val="16"/>
        </w:rPr>
        <w:t>[7]</w:t>
        <w:tab/>
        <w:t>J. H. Friedman, “Greedy function approximation: a gradient boosting machine,” Ann. Statist., vol. 29, no. 5, pp. 1189--1232, 2001.</w:t>
      </w:r>
    </w:p>
    <w:p>
      <w:pPr>
        <w:spacing w:after="60"/>
        <w:ind w:hanging="360" w:left="360"/>
      </w:pPr>
      <w:r>
        <w:rPr>
          <w:rFonts w:ascii="Times New Roman" w:hAnsi="Times New Roman"/>
          <w:sz w:val="16"/>
        </w:rPr>
        <w:t>[8]</w:t>
        <w:tab/>
        <w:t>M. R. M. Setyagraha, H. A. Nurqamaradillah, L. M. Hermawan, N. R. Pratama, L. Novamizanti, and D. R. Wijaya, “A portable real-time electronic nose for evaluating seafood freshness using machine learning,” IEEE Access, vol. 13, pp. 99583--99602, 2025.</w:t>
      </w:r>
    </w:p>
    <w:p>
      <w:pPr>
        <w:spacing w:after="60"/>
        <w:ind w:hanging="360" w:left="360"/>
      </w:pPr>
      <w:r>
        <w:rPr>
          <w:rFonts w:ascii="Times New Roman" w:hAnsi="Times New Roman"/>
          <w:sz w:val="16"/>
        </w:rPr>
        <w:t>[9]</w:t>
        <w:tab/>
        <w:t>S. S. N. Chakravartula, A. Bandiera, M. Nardella, G. Bedini, P. Ibba, R. Massantini, and R. Moscetti, “Computer vision-based smart monitoring and control system for food drying: a study on carrot slices,” Comput. Electron. Agricult., vol. 206, art. no. 107654, Mar. 2023.</w:t>
      </w:r>
    </w:p>
    <w:p>
      <w:pPr>
        <w:spacing w:after="60"/>
        <w:ind w:hanging="360" w:left="360"/>
      </w:pPr>
      <w:r>
        <w:rPr>
          <w:rFonts w:ascii="Times New Roman" w:hAnsi="Times New Roman"/>
          <w:sz w:val="16"/>
        </w:rPr>
        <w:t>[10]</w:t>
        <w:tab/>
        <w:t>R. Karmaker, M. A. Tinky, and S. Akter, “Deep learning and image processing approach for fish freshness detection,” in Proc. IEEE Int. Conf. Power, Elect., Electron. Ind. Appl. (PEEIACON), 2024, pp. 1--6.</w:t>
      </w:r>
    </w:p>
    <w:p>
      <w:pPr>
        <w:spacing w:after="60"/>
        <w:ind w:hanging="360" w:left="360"/>
      </w:pPr>
      <w:r>
        <w:rPr>
          <w:rFonts w:ascii="Times New Roman" w:hAnsi="Times New Roman"/>
          <w:sz w:val="16"/>
        </w:rPr>
        <w:t>[11]</w:t>
        <w:tab/>
        <w:t>J. Cromwell, C. Turkson, M. Dora, and F. A. Yamoah, “Digital technologies for traceability and transparency in the global fish supply chains: a systematic review and future directions,” Marine Policy, vol. 178, art. no. 106700, Aug. 2025.</w:t>
      </w:r>
    </w:p>
    <w:p>
      <w:pPr>
        <w:spacing w:after="60"/>
        <w:ind w:hanging="360" w:left="360"/>
      </w:pPr>
      <w:r>
        <w:rPr>
          <w:rFonts w:ascii="Times New Roman" w:hAnsi="Times New Roman"/>
          <w:sz w:val="16"/>
        </w:rPr>
        <w:t>[12]</w:t>
        <w:tab/>
        <w:t>Y. P. Tsang, K. L. Choy, C. H. Wu, G. T. S. Ho, and H. Y. Lam, “Blockchain-driven IoT for food traceability with an integrated consensus mechanism,” IEEE Access, vol. 7, pp. 129000--129017, 2019.</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